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石家庄市藁城区医疗保障局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both"/>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医保局</w:t>
      </w: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楷体" w:hAnsi="楷体" w:eastAsia="楷体" w:cs="楷体"/>
          <w:sz w:val="32"/>
          <w:szCs w:val="32"/>
          <w:lang w:val="en-US" w:eastAsia="zh-CN"/>
        </w:rPr>
        <w:t>1.</w:t>
      </w:r>
      <w:r>
        <w:rPr>
          <w:rFonts w:hint="eastAsia" w:ascii="仿宋" w:hAnsi="仿宋" w:eastAsia="仿宋" w:cs="仿宋"/>
          <w:sz w:val="32"/>
          <w:szCs w:val="32"/>
        </w:rPr>
        <w:t>贯彻落实省市城镇职工和城乡居民医疗保险、生育保险、长期护理保险、医疗救助等医疗保障法规、政府规章以及政策、制度、规划和标准。</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sz w:val="32"/>
          <w:szCs w:val="32"/>
        </w:rPr>
      </w:pPr>
      <w:r>
        <w:rPr>
          <w:rFonts w:hint="eastAsia" w:ascii="楷体" w:hAnsi="楷体" w:eastAsia="楷体" w:cs="楷体"/>
          <w:sz w:val="32"/>
          <w:szCs w:val="32"/>
          <w:lang w:val="en-US" w:eastAsia="zh-CN"/>
        </w:rPr>
        <w:t>2.</w:t>
      </w:r>
      <w:r>
        <w:rPr>
          <w:rFonts w:hint="eastAsia" w:ascii="仿宋" w:hAnsi="仿宋" w:eastAsia="仿宋" w:cs="仿宋"/>
          <w:sz w:val="32"/>
          <w:szCs w:val="32"/>
        </w:rPr>
        <w:t>贯彻落实省市医疗保障基金监督管理办法、医疗保障基金安全防控机制，做好医疗保障基金支付方式改革。</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楷体" w:hAnsi="楷体" w:eastAsia="楷体" w:cs="楷体"/>
          <w:sz w:val="32"/>
          <w:szCs w:val="32"/>
          <w:lang w:val="en-US" w:eastAsia="zh-CN"/>
        </w:rPr>
        <w:t>3.</w:t>
      </w:r>
      <w:r>
        <w:rPr>
          <w:rFonts w:hint="eastAsia" w:ascii="仿宋" w:hAnsi="仿宋" w:eastAsia="仿宋" w:cs="仿宋"/>
          <w:sz w:val="32"/>
          <w:szCs w:val="32"/>
        </w:rPr>
        <w:t>贯彻执行省市城镇职工、城乡居民参保筹资和保障待遇政策，执行好城乡医疗保障政策标准。</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楷体" w:hAnsi="楷体" w:eastAsia="楷体" w:cs="楷体"/>
          <w:sz w:val="32"/>
          <w:szCs w:val="32"/>
          <w:lang w:val="en-US" w:eastAsia="zh-CN"/>
        </w:rPr>
        <w:t>4.</w:t>
      </w:r>
      <w:r>
        <w:rPr>
          <w:rFonts w:hint="eastAsia" w:ascii="仿宋" w:hAnsi="仿宋" w:eastAsia="仿宋" w:cs="仿宋"/>
          <w:sz w:val="32"/>
          <w:szCs w:val="32"/>
        </w:rPr>
        <w:t>贯彻执行城乡统一的药品、医用药材、医疗服务项目、医疗服务设施等医保支付标准。</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楷体" w:hAnsi="楷体" w:eastAsia="楷体" w:cs="楷体"/>
          <w:sz w:val="32"/>
          <w:szCs w:val="32"/>
          <w:lang w:val="en-US" w:eastAsia="zh-CN"/>
        </w:rPr>
        <w:t>5.</w:t>
      </w:r>
      <w:r>
        <w:rPr>
          <w:rFonts w:hint="eastAsia" w:ascii="仿宋" w:hAnsi="仿宋" w:eastAsia="仿宋" w:cs="仿宋"/>
          <w:sz w:val="32"/>
          <w:szCs w:val="32"/>
        </w:rPr>
        <w:t>贯彻执行药品、医用耗材价格和医疗服务项目、医疗服务设施收费等政策。依法管理药品、医用耗材、医疗服务价格政策执行情况。</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楷体" w:hAnsi="楷体" w:eastAsia="楷体" w:cs="楷体"/>
          <w:sz w:val="32"/>
          <w:szCs w:val="32"/>
          <w:lang w:val="en-US" w:eastAsia="zh-CN"/>
        </w:rPr>
        <w:t>6.</w:t>
      </w:r>
      <w:r>
        <w:rPr>
          <w:rFonts w:hint="eastAsia" w:ascii="仿宋" w:hAnsi="仿宋" w:eastAsia="仿宋" w:cs="仿宋"/>
          <w:sz w:val="32"/>
          <w:szCs w:val="32"/>
        </w:rPr>
        <w:t>贯彻执行定点医药机构协议和支付管理办法。执行好医疗保障信用评价体系和信息披露制度，监督管理定点医药机构的医疗服务行为、医疗费用和医药价格，依法查处医疗保障领域违法违规行为。</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负责医疗保障经办管理、公共服务体系和信息化建设。执行好异地就医管理、费用结算政策和医疗保障关系转移接续制度。</w:t>
      </w:r>
    </w:p>
    <w:p>
      <w:pPr>
        <w:keepNext w:val="0"/>
        <w:keepLines w:val="0"/>
        <w:pageBreakBefore w:val="0"/>
        <w:widowControl w:val="0"/>
        <w:kinsoku/>
        <w:wordWrap/>
        <w:overflowPunct/>
        <w:topLinePunct w:val="0"/>
        <w:autoSpaceDE/>
        <w:autoSpaceDN/>
        <w:bidi w:val="0"/>
        <w:adjustRightInd/>
        <w:snapToGrid w:val="0"/>
        <w:spacing w:line="588" w:lineRule="exact"/>
        <w:ind w:left="0" w:leftChars="0" w:right="0" w:firstLine="640" w:firstLineChars="200"/>
        <w:textAlignment w:val="auto"/>
        <w:outlineLvl w:val="9"/>
        <w:rPr>
          <w:rFonts w:hint="eastAsia"/>
          <w:sz w:val="32"/>
          <w:szCs w:val="32"/>
        </w:rPr>
      </w:pPr>
      <w:r>
        <w:rPr>
          <w:rFonts w:hint="eastAsia" w:ascii="楷体" w:hAnsi="楷体" w:eastAsia="楷体" w:cs="楷体"/>
          <w:sz w:val="32"/>
          <w:szCs w:val="32"/>
          <w:lang w:val="en-US" w:eastAsia="zh-CN"/>
        </w:rPr>
        <w:t>8.</w:t>
      </w:r>
      <w:r>
        <w:rPr>
          <w:rFonts w:hint="eastAsia" w:ascii="仿宋" w:hAnsi="仿宋" w:eastAsia="仿宋" w:cs="仿宋"/>
          <w:sz w:val="32"/>
          <w:szCs w:val="32"/>
        </w:rPr>
        <w:t>完成区委、区政府交办的其他任务</w:t>
      </w:r>
      <w:r>
        <w:rPr>
          <w:rFonts w:hint="eastAsia"/>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keepNext w:val="0"/>
        <w:keepLines w:val="0"/>
        <w:pageBreakBefore w:val="0"/>
        <w:widowControl w:val="0"/>
        <w:kinsoku/>
        <w:wordWrap/>
        <w:overflowPunct/>
        <w:topLinePunct w:val="0"/>
        <w:autoSpaceDE/>
        <w:autoSpaceDN/>
        <w:bidi w:val="0"/>
        <w:adjustRightInd/>
        <w:spacing w:line="588"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本单位2023年度共8个预算项目，预算数10400.8万元，实际支出数10386.85万元，总体完成率99.87%，</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我单位总体绩效目标为</w:t>
      </w:r>
      <w:r>
        <w:rPr>
          <w:rFonts w:hint="eastAsia" w:ascii="仿宋_GB2312" w:hAnsi="仿宋_GB2312" w:eastAsia="仿宋_GB2312" w:cs="仿宋_GB2312"/>
          <w:sz w:val="32"/>
          <w:szCs w:val="32"/>
          <w:highlight w:val="none"/>
          <w:lang w:eastAsia="zh-CN"/>
        </w:rPr>
        <w:t>贯彻落实省市城镇职工和城乡居民医疗保险、生育保险、医疗救助等医疗保障政策。落实《医疗保障基金使用监督管理条例》、医疗保障基金安全防控机制，做好医疗保障基金支付方式改革。执行城镇职工、城乡居民参保筹资和保障待遇政策，执行好城乡医疗保障政策标准。执行城乡统一的药品、医用药材、医疗服务项目、医疗服务设施等医保支付标准。执行药品、医用耗材价格和医疗服务项目、医疗服务设施收费等政策。依法管理药品、医用耗材、医疗服务价格政策执行情况。执行定点医药机构协议和支付管理办法。执行好医疗保障信用评价体系和信息披露制度，监督管理定点医药机构的医疗服务行为、医疗费用和医药价格，依法查处医疗保障领域违法违规行为。</w:t>
      </w:r>
    </w:p>
    <w:p>
      <w:pPr>
        <w:pStyle w:val="8"/>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为</w:t>
      </w:r>
      <w:r>
        <w:rPr>
          <w:rFonts w:hint="eastAsia" w:ascii="仿宋_GB2312" w:hAnsi="仿宋_GB2312" w:eastAsia="仿宋_GB2312" w:cs="仿宋_GB2312"/>
          <w:kern w:val="2"/>
          <w:sz w:val="32"/>
          <w:szCs w:val="32"/>
          <w:highlight w:val="none"/>
          <w:lang w:val="en-US" w:eastAsia="zh-CN" w:bidi="ar-SA"/>
        </w:rPr>
        <w:t>做好推动全民参保计划，落实医保待遇，保障参保权益、健全医疗救助制度，加强基金监管，依法管理药品、医用耗材、医疗服务价格政策执行情况，加强医保信息化强度，开展标准化建设，让服务更便民等工作，设置了居民医保参保率，做好医疗救助资助到位率，定点医药机构检查次数，电子社保卡激活率，医保系统正常运行天数等分项指标以显示项目运行情况，按要求开展绩效运行监控，发现问题及时采取措施，确保绩效目标如期保质实现。</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kinsoku/>
        <w:wordWrap/>
        <w:overflowPunct/>
        <w:topLinePunct w:val="0"/>
        <w:autoSpaceDE/>
        <w:autoSpaceDN/>
        <w:bidi w:val="0"/>
        <w:adjustRightInd/>
        <w:snapToGrid/>
        <w:spacing w:line="588" w:lineRule="exact"/>
        <w:ind w:firstLine="640" w:firstLineChars="200"/>
        <w:textAlignment w:val="auto"/>
        <w:rPr>
          <w:rFonts w:hint="default" w:ascii="楷体_GB2312" w:hAnsi="楷体_GB2312" w:eastAsia="楷体_GB2312" w:cs="楷体_GB2312"/>
          <w:bCs/>
          <w:sz w:val="32"/>
          <w:szCs w:val="32"/>
          <w:lang w:val="en-US" w:eastAsia="zh-CN"/>
        </w:rPr>
      </w:pPr>
      <w:r>
        <w:rPr>
          <w:rFonts w:hint="eastAsia" w:ascii="仿宋" w:eastAsia="仿宋"/>
          <w:sz w:val="32"/>
          <w:szCs w:val="32"/>
          <w:lang w:val="en-US" w:eastAsia="zh-CN"/>
        </w:rPr>
        <w:t>对2023年绩效目标的执行情况进行客观公正的评价，我单位成立了绩效评价小组，评价小组严格按照区财政局关于绩效管理办法执行绩效目标自评工作，从深化预算改革和加强绩效管理的实际需要出发，对各项目资金进行客观公正的评分。</w:t>
      </w:r>
      <w:r>
        <w:rPr>
          <w:rFonts w:hint="eastAsia" w:ascii="楷体_GB2312" w:hAnsi="楷体_GB2312" w:eastAsia="楷体_GB2312" w:cs="楷体_GB2312"/>
          <w:bCs/>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我单位在2023年度贯彻落实省市城镇职工和城乡居民医疗保险、生育保险、医疗救助等医疗保障政策。落实《医疗保障基金使用监督管理条例》、医疗保障基金安全防控机制，做好医疗保障基金支付方式改革。执行城镇职工、城乡居民参保筹资和保障待遇政策，执行好城乡医疗保障政策标准。执行城乡统一的药品、医用药材、医疗服务项目、医疗服务设施等医保支付标准。执行药品、医用耗材价格和医疗服务项目、医疗服务设施收费等政策。依法管理药品、医用耗材、医疗服务价格政策执行情况。执行定点医药机构协议和支付管理办法。执行好医疗保障信用评价体系和信息披露制度，监督管理定点医药机构的医疗服务行为、医疗费用和医药价格，依法查处医疗保障领域违法违规行为。</w:t>
      </w:r>
    </w:p>
    <w:p>
      <w:pPr>
        <w:keepNext w:val="0"/>
        <w:keepLines w:val="0"/>
        <w:pageBreakBefore w:val="0"/>
        <w:widowControl w:val="0"/>
        <w:numPr>
          <w:ilvl w:val="0"/>
          <w:numId w:val="2"/>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分项绩效目标实现情况及指标分析</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1.推动全民参保计划：扎实做好基本医疗保险的全民参保工作，配合好税务部门做好征缴工作，做到应参尽参、应保尽保。2023年度居民参保率为97.87%，市区排名第一。</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2.落实医保待遇，保障参保权益：落实职工医疗保险门诊共济保障机制实施细则，落实城乡居民基本医疗保险实施办法。政策落实率达到100%。异地就医结算率达到95%以上，增强人们的幸福感。</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3.健全医疗救助制度：进一步健全重大疾病医疗保险和救助制度，深入做好精准扶贫工作，发挥好医保三重保障制度的重要作用，做好一站式直接结算服务。医疗救助资助率100%，一站式结算率100%。</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加强基金监管：打击欺诈骗保高压态势，加大基金监管力度。做好对“两定点”医药机构的管理，维护好基金安全。切实增强做好医保基金监管工作的责任感与紧迫感，确保全面排查整治取得实效，建立完善“不敢骗”“不能骗”“不想骗”的监管长效机制。全年检查定点医药机构176家，按监督条例对至少2所医疗机构进行行政处罚。</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5.依法管理药品、医用耗材、医疗服务价格政策执行情况：积极做好前五批药品集采续签工作，积极推进后续药品集采落地实施。提高药品招采占比，确保医疗保障待遇落实到位。</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6.加强医保信息化强度：慢性病、特殊病种网上认定继续规范，电子社保卡激活量有所提高，保证医保信息系统正常运行。</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电子社保卡激活率达到91.04%，医保系统正常运行天数不低于360天。</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开展标准化建设，让服务更便民：对与办事群众息息相关的办公场所进行标准化建设。对与办事群众接触较多的职工医审科、居民医审科、征收科、门诊部等科室开展标准化建设，为办事群众提供更好的服务条件，让群众办事更舒心、更满意。群众满意度达到95以上%。</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部门整体支出综合绩效评价</w:t>
      </w:r>
      <w:r>
        <w:rPr>
          <w:rFonts w:hint="eastAsia" w:ascii="仿宋_GB2312" w:hAnsi="仿宋_GB2312" w:eastAsia="仿宋_GB2312" w:cs="仿宋_GB2312"/>
          <w:sz w:val="32"/>
          <w:szCs w:val="32"/>
          <w:highlight w:val="none"/>
          <w:lang w:val="en-US" w:eastAsia="zh-CN"/>
        </w:rPr>
        <w:t>优秀，总体得</w:t>
      </w:r>
      <w:r>
        <w:rPr>
          <w:rFonts w:hint="eastAsia" w:ascii="仿宋_GB2312" w:hAnsi="仿宋_GB2312" w:eastAsia="仿宋_GB2312" w:cs="仿宋_GB2312"/>
          <w:sz w:val="32"/>
          <w:szCs w:val="32"/>
          <w:highlight w:val="none"/>
          <w:lang w:eastAsia="zh-CN"/>
        </w:rPr>
        <w:t>分</w:t>
      </w:r>
      <w:r>
        <w:rPr>
          <w:rFonts w:hint="eastAsia" w:ascii="仿宋_GB2312" w:hAnsi="仿宋_GB2312" w:eastAsia="仿宋_GB2312" w:cs="仿宋_GB2312"/>
          <w:sz w:val="32"/>
          <w:szCs w:val="32"/>
          <w:highlight w:val="none"/>
          <w:lang w:val="en-US" w:eastAsia="zh-CN"/>
        </w:rPr>
        <w:t>90分。</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rPr>
        <w:t>存在的主要问题</w:t>
      </w:r>
    </w:p>
    <w:p>
      <w:pPr>
        <w:keepNext w:val="0"/>
        <w:keepLines w:val="0"/>
        <w:pageBreakBefore w:val="0"/>
        <w:widowControl w:val="0"/>
        <w:numPr>
          <w:numId w:val="0"/>
        </w:numPr>
        <w:kinsoku/>
        <w:wordWrap/>
        <w:overflowPunct/>
        <w:topLinePunct w:val="0"/>
        <w:autoSpaceDE/>
        <w:autoSpaceDN/>
        <w:bidi w:val="0"/>
        <w:spacing w:line="560" w:lineRule="exact"/>
        <w:ind w:firstLine="640" w:firstLineChars="200"/>
        <w:textAlignment w:val="auto"/>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无</w:t>
      </w:r>
      <w:bookmarkStart w:id="0" w:name="_GoBack"/>
      <w:bookmarkEnd w:id="0"/>
    </w:p>
    <w:p>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rPr>
        <w:t>针对问题提出具体的改进措施或建议</w:t>
      </w:r>
    </w:p>
    <w:p>
      <w:pPr>
        <w:keepNext w:val="0"/>
        <w:keepLines w:val="0"/>
        <w:pageBreakBefore w:val="0"/>
        <w:widowControl w:val="0"/>
        <w:numPr>
          <w:numId w:val="0"/>
        </w:numPr>
        <w:kinsoku/>
        <w:wordWrap/>
        <w:overflowPunct/>
        <w:topLinePunct w:val="0"/>
        <w:autoSpaceDE/>
        <w:autoSpaceDN/>
        <w:bidi w:val="0"/>
        <w:spacing w:line="560" w:lineRule="exact"/>
        <w:ind w:firstLine="640" w:firstLineChars="200"/>
        <w:textAlignment w:val="auto"/>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无</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pPr>
        <w:adjustRightInd w:val="0"/>
        <w:snapToGrid w:val="0"/>
        <w:spacing w:line="620" w:lineRule="exact"/>
        <w:ind w:firstLine="640" w:firstLineChars="200"/>
        <w:rPr>
          <w:rFonts w:hint="eastAsia" w:ascii="仿宋" w:hAnsi="仿宋" w:eastAsia="仿宋" w:cs="黑体"/>
          <w:sz w:val="32"/>
          <w:szCs w:val="32"/>
          <w:lang w:val="en-US" w:eastAsia="zh-CN"/>
        </w:rPr>
      </w:pPr>
      <w:r>
        <w:rPr>
          <w:rFonts w:hint="eastAsia" w:ascii="仿宋" w:hAnsi="仿宋" w:eastAsia="仿宋" w:cs="黑体"/>
          <w:sz w:val="32"/>
          <w:szCs w:val="32"/>
          <w:lang w:val="en-US" w:eastAsia="zh-CN"/>
        </w:rPr>
        <w:t>赵强胜</w:t>
      </w:r>
      <w:r>
        <w:rPr>
          <w:rFonts w:hint="eastAsia" w:ascii="仿宋" w:hAnsi="仿宋" w:eastAsia="仿宋" w:cs="黑体"/>
          <w:sz w:val="32"/>
          <w:szCs w:val="32"/>
        </w:rPr>
        <w:t xml:space="preserve">  医疗保障局   </w:t>
      </w:r>
      <w:r>
        <w:rPr>
          <w:rFonts w:hint="eastAsia" w:ascii="仿宋" w:hAnsi="仿宋" w:eastAsia="仿宋" w:cs="黑体"/>
          <w:sz w:val="32"/>
          <w:szCs w:val="32"/>
          <w:lang w:val="en-US" w:eastAsia="zh-CN"/>
        </w:rPr>
        <w:t>党组书记</w:t>
      </w:r>
    </w:p>
    <w:p>
      <w:pPr>
        <w:adjustRightInd w:val="0"/>
        <w:snapToGrid w:val="0"/>
        <w:spacing w:line="620" w:lineRule="exact"/>
        <w:ind w:firstLine="640" w:firstLineChars="200"/>
        <w:rPr>
          <w:rFonts w:ascii="仿宋" w:hAnsi="仿宋" w:eastAsia="仿宋" w:cs="黑体"/>
          <w:sz w:val="32"/>
          <w:szCs w:val="32"/>
        </w:rPr>
      </w:pPr>
      <w:r>
        <w:rPr>
          <w:rFonts w:hint="eastAsia" w:ascii="仿宋" w:hAnsi="仿宋" w:eastAsia="仿宋" w:cs="黑体"/>
          <w:sz w:val="32"/>
          <w:szCs w:val="32"/>
        </w:rPr>
        <w:t>高玲玲  医疗保障局   局长</w:t>
      </w:r>
    </w:p>
    <w:p>
      <w:pPr>
        <w:adjustRightInd w:val="0"/>
        <w:snapToGrid w:val="0"/>
        <w:spacing w:line="620" w:lineRule="exact"/>
        <w:ind w:firstLine="640" w:firstLineChars="200"/>
        <w:rPr>
          <w:rFonts w:hint="eastAsia" w:ascii="仿宋" w:hAnsi="仿宋" w:eastAsia="仿宋" w:cs="黑体"/>
          <w:sz w:val="32"/>
          <w:szCs w:val="32"/>
        </w:rPr>
      </w:pPr>
      <w:r>
        <w:rPr>
          <w:rFonts w:hint="eastAsia" w:ascii="仿宋" w:hAnsi="仿宋" w:eastAsia="仿宋" w:cs="黑体"/>
          <w:sz w:val="32"/>
          <w:szCs w:val="32"/>
        </w:rPr>
        <w:t>史增华  医疗保障局   办公室主任</w:t>
      </w:r>
    </w:p>
    <w:p>
      <w:pPr>
        <w:adjustRightInd w:val="0"/>
        <w:snapToGrid w:val="0"/>
        <w:spacing w:line="620" w:lineRule="exact"/>
        <w:ind w:firstLine="640" w:firstLineChars="200"/>
        <w:rPr>
          <w:rFonts w:hint="default" w:ascii="仿宋" w:hAnsi="仿宋" w:eastAsia="仿宋" w:cs="黑体"/>
          <w:sz w:val="32"/>
          <w:szCs w:val="32"/>
          <w:lang w:val="en-US" w:eastAsia="zh-CN"/>
        </w:rPr>
      </w:pPr>
      <w:r>
        <w:rPr>
          <w:rFonts w:hint="eastAsia" w:ascii="仿宋" w:hAnsi="仿宋" w:eastAsia="仿宋" w:cs="黑体"/>
          <w:sz w:val="32"/>
          <w:szCs w:val="32"/>
          <w:lang w:val="en-US" w:eastAsia="zh-CN"/>
        </w:rPr>
        <w:t>田广朋  医保中心     主任</w:t>
      </w:r>
    </w:p>
    <w:p>
      <w:pPr>
        <w:keepNext w:val="0"/>
        <w:keepLines w:val="0"/>
        <w:pageBreakBefore w:val="0"/>
        <w:widowControl w:val="0"/>
        <w:kinsoku/>
        <w:wordWrap/>
        <w:overflowPunct/>
        <w:topLinePunct w:val="0"/>
        <w:autoSpaceDE/>
        <w:autoSpaceDN/>
        <w:bidi w:val="0"/>
        <w:adjustRightInd w:val="0"/>
        <w:snapToGrid w:val="0"/>
        <w:spacing w:line="560" w:lineRule="exact"/>
        <w:ind w:right="0"/>
        <w:textAlignment w:val="auto"/>
        <w:outlineLvl w:val="9"/>
        <w:rPr>
          <w:rFonts w:ascii="仿宋" w:hAnsi="仿宋" w:eastAsia="仿宋" w:cs="黑体"/>
          <w:szCs w:val="22"/>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87C1D4C"/>
    <w:multiLevelType w:val="singleLevel"/>
    <w:tmpl w:val="887C1D4C"/>
    <w:lvl w:ilvl="0" w:tentative="0">
      <w:start w:val="2"/>
      <w:numFmt w:val="chineseCounting"/>
      <w:suff w:val="nothing"/>
      <w:lvlText w:val="（%1）"/>
      <w:lvlJc w:val="left"/>
      <w:rPr>
        <w:rFonts w:hint="eastAsia"/>
      </w:rPr>
    </w:lvl>
  </w:abstractNum>
  <w:abstractNum w:abstractNumId="1">
    <w:nsid w:val="98E0822F"/>
    <w:multiLevelType w:val="singleLevel"/>
    <w:tmpl w:val="98E0822F"/>
    <w:lvl w:ilvl="0" w:tentative="0">
      <w:start w:val="2"/>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50D73097"/>
    <w:multiLevelType w:val="singleLevel"/>
    <w:tmpl w:val="50D73097"/>
    <w:lvl w:ilvl="0" w:tentative="0">
      <w:start w:val="1"/>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16826FB"/>
    <w:rsid w:val="055B525F"/>
    <w:rsid w:val="0A1C1533"/>
    <w:rsid w:val="0D2304CB"/>
    <w:rsid w:val="13B61930"/>
    <w:rsid w:val="17B54842"/>
    <w:rsid w:val="18ED00C5"/>
    <w:rsid w:val="1A3B21A2"/>
    <w:rsid w:val="1BA75E71"/>
    <w:rsid w:val="1BAF1154"/>
    <w:rsid w:val="1C655171"/>
    <w:rsid w:val="20276775"/>
    <w:rsid w:val="26B75F6B"/>
    <w:rsid w:val="2F2C2A40"/>
    <w:rsid w:val="344704E1"/>
    <w:rsid w:val="39744C0B"/>
    <w:rsid w:val="3AEF6FE7"/>
    <w:rsid w:val="40D443E5"/>
    <w:rsid w:val="441F3676"/>
    <w:rsid w:val="493B718D"/>
    <w:rsid w:val="53A42ADD"/>
    <w:rsid w:val="563B01B4"/>
    <w:rsid w:val="56604927"/>
    <w:rsid w:val="590F0BE0"/>
    <w:rsid w:val="5C4A315B"/>
    <w:rsid w:val="661D3074"/>
    <w:rsid w:val="686B257C"/>
    <w:rsid w:val="6B1C1E0E"/>
    <w:rsid w:val="6BDE7164"/>
    <w:rsid w:val="6D8D0F4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插入文本样式-插入职责分类绩效目标文件"/>
    <w:basedOn w:val="1"/>
    <w:qFormat/>
    <w:uiPriority w:val="0"/>
    <w:pPr>
      <w:spacing w:line="500" w:lineRule="exact"/>
      <w:ind w:firstLine="560"/>
    </w:pPr>
    <w:rPr>
      <w:rFonts w:eastAsia="方正仿宋_GBK"/>
      <w:sz w:val="28"/>
    </w:rPr>
  </w:style>
  <w:style w:type="paragraph" w:customStyle="1" w:styleId="9">
    <w:name w:val="插入文本样式-插入总体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373</Words>
  <Characters>373</Characters>
  <Lines>3</Lines>
  <Paragraphs>1</Paragraphs>
  <TotalTime>18</TotalTime>
  <ScaleCrop>false</ScaleCrop>
  <LinksUpToDate>false</LinksUpToDate>
  <CharactersWithSpaces>373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晴朗</cp:lastModifiedBy>
  <cp:lastPrinted>2021-02-24T05:43:00Z</cp:lastPrinted>
  <dcterms:modified xsi:type="dcterms:W3CDTF">2024-05-30T01:20:39Z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28C64EFCB758481798A31117B3E7B5E3</vt:lpwstr>
  </property>
</Properties>
</file>