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石家庄市藁城区应急管理局</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则，对石家庄市藁城区应急管理局202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区应急管理局机关内设办公室、应急管理协调股、综合减灾救援股、危险化学品安全监督管理股、工商贸行业安全监督管理股、培训和科技信息化股、政策法规宣传和事故调查统计股等7个职能股室，编制42人，2023年末实有38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2023年末固定资产总值1626189.71元。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年部门收支预算数为</w:t>
      </w:r>
      <w:r>
        <w:rPr>
          <w:rFonts w:hint="eastAsia" w:ascii="仿宋_GB2312" w:hAnsi="仿宋_GB2312" w:eastAsia="仿宋_GB2312" w:cs="仿宋_GB2312"/>
          <w:color w:val="auto"/>
          <w:sz w:val="32"/>
          <w:szCs w:val="32"/>
          <w:highlight w:val="none"/>
          <w:lang w:val="en-US" w:eastAsia="zh-CN"/>
        </w:rPr>
        <w:t>10831000</w:t>
      </w:r>
      <w:r>
        <w:rPr>
          <w:rFonts w:hint="eastAsia" w:ascii="仿宋_GB2312" w:hAnsi="仿宋_GB2312" w:eastAsia="仿宋_GB2312" w:cs="仿宋_GB2312"/>
          <w:sz w:val="32"/>
          <w:szCs w:val="32"/>
          <w:highlight w:val="none"/>
          <w:lang w:eastAsia="zh-CN"/>
        </w:rPr>
        <w:t>元，决算数为10701149.18元。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eastAsia" w:ascii="仿宋" w:hAnsi="仿宋" w:eastAsia="仿宋" w:cs="仿宋"/>
          <w:sz w:val="32"/>
          <w:szCs w:val="32"/>
          <w:lang w:eastAsia="zh-CN"/>
        </w:rPr>
      </w:pPr>
      <w:r>
        <w:rPr>
          <w:rFonts w:hint="eastAsia" w:ascii="仿宋" w:hAnsi="仿宋" w:eastAsia="仿宋" w:cs="仿宋"/>
          <w:sz w:val="32"/>
          <w:szCs w:val="32"/>
          <w:lang w:eastAsia="zh-CN"/>
        </w:rP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bCs/>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1.全区安全生产形势持续稳定。</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落实全区安全隐患排查工作，增强全区人民的安全防范意识，在全区营造全民参与的安全生产工作氛围。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bCs/>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2.区安委会日常工作能力进一步提升。</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kern w:val="0"/>
          <w:sz w:val="32"/>
          <w:szCs w:val="32"/>
          <w:lang w:val="en-US" w:eastAsia="zh-CN" w:bidi="ar"/>
        </w:rPr>
      </w:pPr>
      <w:r>
        <w:rPr>
          <w:rFonts w:hint="eastAsia" w:ascii="仿宋" w:hAnsi="仿宋" w:eastAsia="仿宋" w:cs="仿宋"/>
          <w:b/>
          <w:bCs/>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印制安全生产法律法规和区政府各类政策文件，及时贯彻落实安全生产规章标准。组织安全生产考评、定期开展安全生产督导检查。</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bCs/>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3.应对自然灾害的能力显著提高。</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组织全区防灾减灾及救灾储备体系建设、灾害信息员体系建设，提升监测能力，强化震情跟踪，发挥防汛抗旱减灾体系作用，维持全区安全的生产生活氛围。</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获得地震监测数据的准确率达到100%，突发公共卫生事件报告率为100%，处理各种宏、微观异常的及时率为100%。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应急度汛、抗旱应急、山洪灾害防治项目工程的完成率达到95%以上，确保全区造成重大损失的水旱灾害为0件，全区群众对防灾减灾、应急救援工作的满意比例达95%以上。</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bCs/>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4.应急管理机制更加健全。</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加强生产安全事故应急能力建设，健全全区安全生产应急救援体系；完善安全生产应急管理资源数据库；完善应急救援预案并进行培训和演练。</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本辖区企业安全管理员应急技能集训完成率达到90%以上；面对突发事件的应急救援平均响应时间不超过0.25小时。开展应急演练1次，建设减灾示范区5个，物资保障人数达1万人。</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0"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val="0"/>
          <w:i w:val="0"/>
          <w:caps w:val="0"/>
          <w:color w:val="000000"/>
          <w:spacing w:val="0"/>
          <w:kern w:val="0"/>
          <w:sz w:val="32"/>
          <w:szCs w:val="32"/>
          <w:lang w:val="en-US" w:eastAsia="zh-CN" w:bidi="ar"/>
        </w:rPr>
        <w:t>视频监控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bCs/>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5.全区农村安全生活得到有效保障。</w:t>
      </w:r>
    </w:p>
    <w:p>
      <w:pPr>
        <w:keepNext w:val="0"/>
        <w:keepLines w:val="0"/>
        <w:pageBreakBefore w:val="0"/>
        <w:widowControl/>
        <w:suppressLineNumbers w:val="0"/>
        <w:kinsoku/>
        <w:wordWrap/>
        <w:overflowPunct/>
        <w:topLinePunct w:val="0"/>
        <w:bidi w:val="0"/>
        <w:snapToGrid/>
        <w:spacing w:before="0" w:beforeAutospacing="0" w:after="0" w:afterAutospacing="0" w:line="560" w:lineRule="exact"/>
        <w:ind w:left="0" w:right="0" w:firstLine="643" w:firstLineChars="200"/>
        <w:jc w:val="left"/>
        <w:textAlignment w:val="auto"/>
        <w:rPr>
          <w:rFonts w:hint="eastAsia" w:ascii="仿宋" w:hAnsi="仿宋" w:eastAsia="仿宋" w:cs="仿宋"/>
          <w:b w:val="0"/>
          <w:i w:val="0"/>
          <w:caps w:val="0"/>
          <w:color w:val="000000"/>
          <w:spacing w:val="0"/>
          <w:sz w:val="32"/>
          <w:szCs w:val="32"/>
        </w:rPr>
      </w:pPr>
      <w:r>
        <w:rPr>
          <w:rFonts w:hint="eastAsia" w:ascii="仿宋" w:hAnsi="仿宋" w:eastAsia="仿宋" w:cs="仿宋"/>
          <w:b/>
          <w:bCs/>
          <w:i w:val="0"/>
          <w:caps w:val="0"/>
          <w:color w:val="000000"/>
          <w:spacing w:val="0"/>
          <w:kern w:val="0"/>
          <w:sz w:val="32"/>
          <w:szCs w:val="32"/>
          <w:lang w:val="en-US" w:eastAsia="zh-CN" w:bidi="ar"/>
        </w:rPr>
        <w:t>绩效目标：</w:t>
      </w:r>
      <w:r>
        <w:rPr>
          <w:rFonts w:hint="eastAsia" w:ascii="仿宋" w:hAnsi="仿宋" w:eastAsia="仿宋" w:cs="仿宋"/>
          <w:b w:val="0"/>
          <w:i w:val="0"/>
          <w:caps w:val="0"/>
          <w:color w:val="000000"/>
          <w:spacing w:val="0"/>
          <w:kern w:val="0"/>
          <w:sz w:val="32"/>
          <w:szCs w:val="32"/>
          <w:lang w:val="en-US" w:eastAsia="zh-CN" w:bidi="ar"/>
        </w:rPr>
        <w:t>构建新型农民群众农村住房灾害救助体系，帮助农民住房灾后重建，有效提升农村农民群众住房抵御自然灾害风险的能力和灾后补偿水平。</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Lines="0" w:afterLines="0"/>
        <w:ind w:firstLine="640"/>
        <w:jc w:val="left"/>
        <w:rPr>
          <w:rFonts w:hint="default" w:ascii="仿宋" w:hAnsi="仿宋" w:eastAsia="仿宋" w:cs="仿宋"/>
          <w:sz w:val="32"/>
          <w:szCs w:val="32"/>
          <w:lang w:val="en-US" w:eastAsia="zh-CN"/>
        </w:rPr>
      </w:pPr>
      <w:r>
        <w:rPr>
          <w:rFonts w:hint="eastAsia" w:ascii="仿宋" w:hAnsi="仿宋" w:eastAsia="仿宋" w:cs="仿宋"/>
          <w:b/>
          <w:bCs/>
          <w:i w:val="0"/>
          <w:caps w:val="0"/>
          <w:color w:val="000000"/>
          <w:spacing w:val="0"/>
          <w:kern w:val="0"/>
          <w:sz w:val="32"/>
          <w:szCs w:val="32"/>
          <w:lang w:val="en-US" w:eastAsia="zh-CN" w:bidi="ar"/>
        </w:rPr>
        <w:t>绩效指标：</w:t>
      </w:r>
      <w:r>
        <w:rPr>
          <w:rFonts w:hint="eastAsia" w:ascii="仿宋" w:hAnsi="仿宋" w:eastAsia="仿宋" w:cs="仿宋"/>
          <w:b w:val="0"/>
          <w:i w:val="0"/>
          <w:caps w:val="0"/>
          <w:color w:val="000000"/>
          <w:spacing w:val="0"/>
          <w:kern w:val="0"/>
          <w:sz w:val="32"/>
          <w:szCs w:val="32"/>
          <w:lang w:val="en-US" w:eastAsia="zh-CN" w:bidi="ar"/>
        </w:rPr>
        <w:t>有效帮助农民灾后重建住房的数量占发生住房灾害数量总数的比率达90%以上，保险公司灾后补偿水平达到100%，理赔金额依照合同规定及时全额补贴给受灾群众，接受帮助和理赔的群众满意度达90%以上。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我单位对202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年项目绩效自评工作高度重视，经局领导讨论研究，为我单位202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年1</w:t>
      </w:r>
      <w:r>
        <w:rPr>
          <w:rFonts w:hint="eastAsia" w:ascii="仿宋_GB2312" w:hAnsi="仿宋_GB2312" w:eastAsia="仿宋_GB2312" w:cs="仿宋_GB2312"/>
          <w:sz w:val="32"/>
          <w:szCs w:val="32"/>
          <w:highlight w:val="none"/>
          <w:lang w:val="en-US" w:eastAsia="zh-CN"/>
        </w:rPr>
        <w:t>2</w:t>
      </w:r>
      <w:bookmarkStart w:id="0" w:name="_GoBack"/>
      <w:bookmarkEnd w:id="0"/>
      <w:r>
        <w:rPr>
          <w:rFonts w:hint="eastAsia" w:ascii="仿宋_GB2312" w:hAnsi="仿宋_GB2312" w:eastAsia="仿宋_GB2312" w:cs="仿宋_GB2312"/>
          <w:sz w:val="32"/>
          <w:szCs w:val="32"/>
          <w:highlight w:val="none"/>
          <w:lang w:eastAsia="zh-CN"/>
        </w:rPr>
        <w:t>个项目分别成立了自评工作小组，明确了主管领导、业务科室等相关负责人，制定了自评工作方案，为此次自评工作做好了准备。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color w:val="auto"/>
          <w:sz w:val="32"/>
          <w:szCs w:val="32"/>
        </w:rPr>
      </w:pPr>
      <w:r>
        <w:rPr>
          <w:rFonts w:hint="eastAsia" w:ascii="楷体_GB2312" w:hAnsi="楷体_GB2312" w:eastAsia="楷体_GB2312" w:cs="楷体_GB2312"/>
          <w:bCs/>
          <w:color w:val="auto"/>
          <w:sz w:val="32"/>
          <w:szCs w:val="32"/>
          <w:lang w:eastAsia="zh-CN"/>
        </w:rPr>
        <w:t>（二）</w:t>
      </w:r>
      <w:r>
        <w:rPr>
          <w:rFonts w:hint="eastAsia" w:ascii="楷体_GB2312" w:hAnsi="楷体_GB2312" w:eastAsia="楷体_GB2312" w:cs="楷体_GB2312"/>
          <w:bCs/>
          <w:color w:val="auto"/>
          <w:sz w:val="32"/>
          <w:szCs w:val="32"/>
        </w:rPr>
        <w:t>自评的方法和过程</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黑体" w:hAnsi="黑体" w:eastAsia="黑体" w:cs="黑体"/>
          <w:color w:val="auto"/>
          <w:sz w:val="32"/>
          <w:szCs w:val="32"/>
          <w:lang w:eastAsia="zh-CN"/>
        </w:rPr>
      </w:pPr>
      <w:r>
        <w:rPr>
          <w:rFonts w:hint="eastAsia" w:ascii="仿宋" w:hAnsi="仿宋" w:eastAsia="仿宋" w:cs="仿宋"/>
          <w:color w:val="auto"/>
          <w:sz w:val="32"/>
          <w:szCs w:val="32"/>
          <w:lang w:val="en-US" w:eastAsia="zh-CN"/>
        </w:rPr>
        <w:t>项目绩效自评由自评工作小组主要负责实施，相关业务科室做好配合工作。首先对12个项目的实际完成情况进行全面的了解，是否达到年初预算的目标效果并较好地完成了当年工作；其次对项目资金的使用情况进行评价，通过查阅2023年项目明细账，年初预算项目绩效表，年终总结等材料，审查项目资金是否做到专款专用、支出进度是否达到年初计划；最后对项目的实施过程中存在的问题或潜在问题进行分析讨论，并提出可行性建议和措施。</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lang w:eastAsia="zh-CN"/>
        </w:rPr>
        <w:t>年以来，我单位认真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1.全区安全生产形势持续稳定。</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落实全区安全隐患排查工作，增强全区人民的安全防范意识，在全区营造全民参与的安全生产工作氛围。深化三年行动，全面排查治理各类风险隐患。联合专家团队，对全区危化、工贸等行业领域进行专家查隐患活动，排查企业数150家以上，隐患排查率95%以上，隐患整改率100%。广泛开展培训，印发宣传资料提升各类人员履职意识和知识水平。</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2.区安委会日常工作能力进一步提升。</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印制安全生产法律法规和区政府各类政策文件，及时贯彻落实安全生产规章标准。组织安全生产考评、定期开展安全生产督导检查。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全年召开4次以上安全生产例会安排部署、督促检查、指导协调全区安全生产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3.应对自然灾害的能力显著提高。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健全自然灾害监测预警体系、推进自然灾害综合风险普查，提升监测能力，强化震情跟踪，发挥防汛抗旱减灾体系作用，维持全区安全的生产生活氛围。</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应急防汛物资储备资金补助力度达100%；坚持部门负责、属地为主的原则，逐层逐级压实防汛责任，灾害信息在12小时内进行报送，未发生重大负面舆情和事件。</w:t>
      </w:r>
    </w:p>
    <w:p>
      <w:pPr>
        <w:widowControl w:val="0"/>
        <w:numPr>
          <w:ilvl w:val="0"/>
          <w:numId w:val="0"/>
        </w:numPr>
        <w:wordWrap/>
        <w:adjustRightInd/>
        <w:snapToGrid w:val="0"/>
        <w:spacing w:line="560" w:lineRule="exact"/>
        <w:ind w:leftChars="200" w:right="0" w:rightChars="0" w:firstLine="320" w:firstLineChars="1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4.应急管理机制更加健全。</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突出综合性联合演练。围绕汛情、城市内涝、危险化学品泄漏爆炸等复杂场景，组织开展跨区域、跨部门实战演练。突出基层应急演练。围绕提升乡镇（街道）、村（社区）最初半小时响应和先期处置能力，普及应急知识，提高社会公众的主动避险意识和自救互助技能，全年合计开展50次应急演练。</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调研并完成藁城区“十四五”应急管理规划中期评估报告。继续梳理健全应急预案体系，《藁城区突发公共事件总体预案》等12个应急预案已修订完成并印发，着眼防大汛、抗大震、抢大险、灭大火，进一步提升应急处置能力，提升社会公众的自救能力。</w:t>
      </w:r>
    </w:p>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5.全区农村安全生活得到有效保障。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为全区199209农户购买农房保险，2023年完成赔付113户，合计赔付52.25万元。完善新型农民群众农村住房灾害救助体系，帮助农民住房灾后重建，有效提升农村农民群众住房抵御自然灾害风险的能力和灾后补偿水平。</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2023年我单位明确</w:t>
      </w:r>
      <w:r>
        <w:rPr>
          <w:rFonts w:hint="eastAsia" w:ascii="仿宋_GB2312" w:hAnsi="仿宋_GB2312" w:eastAsia="仿宋_GB2312" w:cs="仿宋_GB2312"/>
          <w:sz w:val="32"/>
          <w:szCs w:val="32"/>
          <w:highlight w:val="none"/>
          <w:lang w:eastAsia="zh-CN"/>
        </w:rPr>
        <w:t>部门职责定位，严格按照年初整体绩效目标和分项绩效目标开展工作，圆满的完成了各项任务目标，在上级安全生产年度考核中取得优秀成绩。各项工作履职情况总得分</w:t>
      </w:r>
      <w:r>
        <w:rPr>
          <w:rFonts w:hint="eastAsia" w:ascii="仿宋_GB2312" w:hAnsi="仿宋_GB2312" w:eastAsia="仿宋_GB2312" w:cs="仿宋_GB2312"/>
          <w:sz w:val="32"/>
          <w:szCs w:val="32"/>
          <w:highlight w:val="none"/>
          <w:lang w:val="en-US" w:eastAsia="zh-CN"/>
        </w:rPr>
        <w:t>95</w:t>
      </w:r>
      <w:r>
        <w:rPr>
          <w:rFonts w:hint="eastAsia" w:ascii="仿宋_GB2312" w:hAnsi="仿宋_GB2312" w:eastAsia="仿宋_GB2312" w:cs="仿宋_GB2312"/>
          <w:sz w:val="32"/>
          <w:szCs w:val="32"/>
          <w:highlight w:val="none"/>
          <w:lang w:eastAsia="zh-CN"/>
        </w:rPr>
        <w:t>分，综合绩效评价等级为优秀。</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无。</w:t>
      </w:r>
    </w:p>
    <w:p>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无。</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pPr w:leftFromText="180" w:rightFromText="180" w:vertAnchor="text" w:horzAnchor="page" w:tblpXSpec="center" w:tblpY="189"/>
        <w:tblOverlap w:val="never"/>
        <w:tblW w:w="841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510"/>
        <w:gridCol w:w="1972"/>
        <w:gridCol w:w="2148"/>
        <w:gridCol w:w="2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姓名</w:t>
            </w:r>
          </w:p>
        </w:tc>
        <w:tc>
          <w:tcPr>
            <w:tcW w:w="197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工作单位</w:t>
            </w:r>
          </w:p>
        </w:tc>
        <w:tc>
          <w:tcPr>
            <w:tcW w:w="2148"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职务</w:t>
            </w:r>
          </w:p>
        </w:tc>
        <w:tc>
          <w:tcPr>
            <w:tcW w:w="2068"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倪建青</w:t>
            </w:r>
          </w:p>
        </w:tc>
        <w:tc>
          <w:tcPr>
            <w:tcW w:w="197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2148"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局长</w:t>
            </w:r>
          </w:p>
        </w:tc>
        <w:tc>
          <w:tcPr>
            <w:tcW w:w="2068"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吴国立</w:t>
            </w:r>
          </w:p>
        </w:tc>
        <w:tc>
          <w:tcPr>
            <w:tcW w:w="197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2148" w:type="dxa"/>
            <w:noWrap w:val="0"/>
            <w:vAlign w:val="center"/>
          </w:tcPr>
          <w:p>
            <w:pPr>
              <w:ind w:left="0" w:leftChars="0" w:right="0" w:rightChars="0" w:firstLine="0" w:firstLineChars="0"/>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副局长</w:t>
            </w:r>
          </w:p>
        </w:tc>
        <w:tc>
          <w:tcPr>
            <w:tcW w:w="2068"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6" w:hRule="atLeast"/>
          <w:jc w:val="center"/>
        </w:trPr>
        <w:tc>
          <w:tcPr>
            <w:tcW w:w="71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p>
        </w:tc>
        <w:tc>
          <w:tcPr>
            <w:tcW w:w="1510"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吴立娴</w:t>
            </w:r>
          </w:p>
        </w:tc>
        <w:tc>
          <w:tcPr>
            <w:tcW w:w="1972"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应急管理局</w:t>
            </w:r>
          </w:p>
        </w:tc>
        <w:tc>
          <w:tcPr>
            <w:tcW w:w="2148" w:type="dxa"/>
            <w:noWrap w:val="0"/>
            <w:vAlign w:val="center"/>
          </w:tcPr>
          <w:p>
            <w:pPr>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办公室主任</w:t>
            </w:r>
          </w:p>
        </w:tc>
        <w:tc>
          <w:tcPr>
            <w:tcW w:w="2068" w:type="dxa"/>
            <w:noWrap w:val="0"/>
            <w:vAlign w:val="center"/>
          </w:tcPr>
          <w:p>
            <w:pPr>
              <w:ind w:left="0" w:leftChars="0" w:right="0" w:rightChars="0" w:firstLine="0" w:firstLineChars="0"/>
              <w:rPr>
                <w:rFonts w:hint="eastAsia" w:ascii="仿宋" w:hAnsi="仿宋" w:eastAsia="仿宋" w:cs="仿宋"/>
                <w:sz w:val="32"/>
                <w:szCs w:val="32"/>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195642E"/>
    <w:multiLevelType w:val="singleLevel"/>
    <w:tmpl w:val="D195642E"/>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A762295"/>
    <w:rsid w:val="13A519BE"/>
    <w:rsid w:val="13B61930"/>
    <w:rsid w:val="16F82250"/>
    <w:rsid w:val="172154E4"/>
    <w:rsid w:val="18FF0B1D"/>
    <w:rsid w:val="1A3B21A2"/>
    <w:rsid w:val="1BAF1154"/>
    <w:rsid w:val="1C655171"/>
    <w:rsid w:val="1F793A14"/>
    <w:rsid w:val="20276775"/>
    <w:rsid w:val="26B75F6B"/>
    <w:rsid w:val="2D106180"/>
    <w:rsid w:val="2DD376F8"/>
    <w:rsid w:val="2F2C2A40"/>
    <w:rsid w:val="344704E1"/>
    <w:rsid w:val="36FE11FE"/>
    <w:rsid w:val="39744C0B"/>
    <w:rsid w:val="3AEF6FE7"/>
    <w:rsid w:val="3DFA5733"/>
    <w:rsid w:val="3E2251A6"/>
    <w:rsid w:val="42375BFF"/>
    <w:rsid w:val="42EA4EDB"/>
    <w:rsid w:val="441F3676"/>
    <w:rsid w:val="460E1025"/>
    <w:rsid w:val="46B21C33"/>
    <w:rsid w:val="493B718D"/>
    <w:rsid w:val="50320A39"/>
    <w:rsid w:val="53A42ADD"/>
    <w:rsid w:val="543C4EE2"/>
    <w:rsid w:val="563B01B4"/>
    <w:rsid w:val="56604927"/>
    <w:rsid w:val="58551805"/>
    <w:rsid w:val="58F04E2C"/>
    <w:rsid w:val="590F0BE0"/>
    <w:rsid w:val="5AD75C21"/>
    <w:rsid w:val="5B622C16"/>
    <w:rsid w:val="5B72459D"/>
    <w:rsid w:val="5C4A315B"/>
    <w:rsid w:val="5CFB37DD"/>
    <w:rsid w:val="62D53303"/>
    <w:rsid w:val="661D3074"/>
    <w:rsid w:val="6B1C1E0E"/>
    <w:rsid w:val="6B930031"/>
    <w:rsid w:val="6BDE7164"/>
    <w:rsid w:val="6F9615B6"/>
    <w:rsid w:val="73EB261C"/>
    <w:rsid w:val="74245FB9"/>
    <w:rsid w:val="77FD34C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4</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gaj</cp:lastModifiedBy>
  <cp:lastPrinted>2021-02-24T05:43:00Z</cp:lastPrinted>
  <dcterms:modified xsi:type="dcterms:W3CDTF">2024-05-30T08:09:56Z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28C64EFCB758481798A31117B3E7B5E3</vt:lpwstr>
  </property>
</Properties>
</file>