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9D5723">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2AC8B6D5">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p>
    <w:p w14:paraId="035D1E71">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石家庄市藁城区南营镇人民政府部门</w:t>
      </w:r>
    </w:p>
    <w:p w14:paraId="6106140B">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14:paraId="528BCB5A">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（参考</w:t>
      </w:r>
      <w:r>
        <w:rPr>
          <w:rFonts w:hint="eastAsia" w:ascii="仿宋_GB2312" w:hAnsi="仿宋_GB2312" w:eastAsia="仿宋_GB2312" w:cs="仿宋_GB2312"/>
          <w:sz w:val="32"/>
          <w:szCs w:val="32"/>
          <w:lang w:eastAsia="zh-CN"/>
        </w:rPr>
        <w:t>格式</w:t>
      </w:r>
      <w:r>
        <w:rPr>
          <w:rFonts w:hint="eastAsia" w:ascii="仿宋_GB2312" w:hAnsi="仿宋_GB2312" w:eastAsia="仿宋_GB2312" w:cs="仿宋_GB2312"/>
          <w:sz w:val="32"/>
          <w:szCs w:val="32"/>
        </w:rPr>
        <w:t>）</w:t>
      </w:r>
    </w:p>
    <w:p w14:paraId="73CBBB4C">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14:paraId="43AFEC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则，对石家庄市藁城区南营镇人民政府部门202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335DCAAE">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54DEA0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2C36F1E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根据《石家庄市藁城区南营镇人民政府职能配置、内设机构和人员编制规定》，石家庄市藁城区南营镇人民政府的主要职责是：</w:t>
      </w:r>
    </w:p>
    <w:p w14:paraId="4D962EE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部门职责及机构设置情况</w:t>
      </w:r>
    </w:p>
    <w:p w14:paraId="0000F5B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(一)</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政务管理</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依法依规履行机关日常管理职责。依法依规履行机关日常管理职责，确保政府工作正常运行。</w:t>
      </w:r>
    </w:p>
    <w:p w14:paraId="6CBE8E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(二)</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保证镇政府值班工作，及时报告重要情况，传达和督促落实镇党委、政府领导指示。有效保证镇政府日常应急值守和突发事件应对处置工作；完善应急预案体系建设，确保遇突发事件能够有效应对。</w:t>
      </w:r>
    </w:p>
    <w:p w14:paraId="74C3AFA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维护社会稳定和国家安全</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6A402B1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推动经济发展，完善基础设施，惠及民生。承担经济发展和民生改善培育支柱产业，加强基础设施建设和新型农村服务体系建设。落实安全生产责任制，搞好农业新技术示范推广。</w:t>
      </w:r>
    </w:p>
    <w:p w14:paraId="6D8563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社会救助政策及管理</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承担社会救助体系建设，负责农村居民最低生活保障、五保供养、医疗救助。完善农村社会救助制度，实施分类救助，应保尽保,动态管理。</w:t>
      </w:r>
    </w:p>
    <w:p w14:paraId="03688DE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计生政策落实</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提供各类计划生育技术服务，建立利益导向机制，开展出生人口性别比治理以及流动人口计划生育管理等各项工作。保障计生法律法规落实。</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稳定适度的低生育水平，有效保障计划生育家庭生活水平，提高妇女生殖健康水平，降低出生缺陷的发生，有效遏制出生人口性别比偏高问题。保障计生法律法规落实。</w:t>
      </w:r>
    </w:p>
    <w:p w14:paraId="3C783D7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计生服务</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开展计划生育各种知识宣传和咨询服务</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以提高育龄群众对计划生育认知能力为目标，开展计划生育各种知识宣传和咨询服务。</w:t>
      </w:r>
    </w:p>
    <w:p w14:paraId="10B2626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(八)</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预算管理</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负责镇财政预算管理与执行保证镇机关正常运转。</w:t>
      </w:r>
    </w:p>
    <w:p w14:paraId="637E9B5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(九)</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财务管理</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负责镇机关收支活动，组织实施镇财务核算及监督工作</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以收定支，合理安排支出，严防出现资金支出不规范现象发生。</w:t>
      </w:r>
    </w:p>
    <w:p w14:paraId="049F0D4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(十)</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村财镇代管</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负责村级财务核算及监督工作</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对村级财务进行规范化管理，严防支出票据不规范现象发生。</w:t>
      </w:r>
    </w:p>
    <w:p w14:paraId="18E09B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(十一)</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涉农资金</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负责涉农资金的落实，将各项涉农资金兑付落实，监督管理资金的合理有效使用。</w:t>
      </w:r>
    </w:p>
    <w:p w14:paraId="2E36DBB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(十二)</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国有资产管理</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负责管理镇国有资产，加强国有资产管理，严防国有资产流失。</w:t>
      </w:r>
    </w:p>
    <w:p w14:paraId="6E36AD0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(十三)</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债权债务管理</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实施债权债务监督管理，实施债权债务监督管理，杜绝增加政府债务。</w:t>
      </w:r>
    </w:p>
    <w:p w14:paraId="700DF47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(十四)</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完善农村土地经营管理体制</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推进农村集体产权制度改革，完善农村土地承包制度，引导农村土地合理流转。创新农业经营主体。规范流转行为，优化资源配置，促进农民专业合作经济组织健康发展，加快新农村建设和城镇化进程。</w:t>
      </w:r>
    </w:p>
    <w:p w14:paraId="4C3EE50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(十五)</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推动文化发展</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运用多种文化艺术手段，开展丰富多彩群众活动。运用多种文化艺术手段，丰富群众文化、提高农民基本素质。</w:t>
      </w:r>
    </w:p>
    <w:p w14:paraId="38D7D56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(十六)</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农村管理</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对各行政村村容村貌及卫生维护提升，农村卫生长效管理机制。</w:t>
      </w:r>
    </w:p>
    <w:p w14:paraId="346A330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(十七)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政务管理</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加强对社会关注关系民生的社会事管理，抓好土地、环保、安全生产、食品安全、社会环境等的治理。</w:t>
      </w:r>
    </w:p>
    <w:p w14:paraId="5243EB6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2EB3A3E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年度部门整体预决算</w:t>
      </w:r>
      <w:r>
        <w:rPr>
          <w:rFonts w:hint="eastAsia" w:ascii="仿宋_GB2312" w:hAnsi="仿宋_GB2312" w:eastAsia="仿宋_GB2312" w:cs="仿宋_GB2312"/>
          <w:sz w:val="32"/>
          <w:szCs w:val="32"/>
          <w:highlight w:val="none"/>
          <w:lang w:val="en-US" w:eastAsia="zh-CN"/>
        </w:rPr>
        <w:t>收入</w:t>
      </w:r>
      <w:r>
        <w:rPr>
          <w:rFonts w:hint="eastAsia" w:ascii="仿宋_GB2312" w:hAnsi="仿宋_GB2312" w:eastAsia="仿宋_GB2312" w:cs="仿宋_GB2312"/>
          <w:sz w:val="32"/>
          <w:szCs w:val="32"/>
          <w:highlight w:val="none"/>
          <w:lang w:eastAsia="zh-CN"/>
        </w:rPr>
        <w:t>为</w:t>
      </w:r>
      <w:r>
        <w:rPr>
          <w:rFonts w:hint="eastAsia" w:ascii="仿宋_GB2312" w:hAnsi="仿宋_GB2312" w:eastAsia="仿宋_GB2312" w:cs="仿宋_GB2312"/>
          <w:sz w:val="32"/>
          <w:szCs w:val="32"/>
          <w:highlight w:val="none"/>
          <w:lang w:val="en-US" w:eastAsia="zh-CN"/>
        </w:rPr>
        <w:t>1711.57万</w:t>
      </w:r>
      <w:r>
        <w:rPr>
          <w:rFonts w:hint="eastAsia" w:ascii="仿宋_GB2312" w:hAnsi="仿宋_GB2312" w:eastAsia="仿宋_GB2312" w:cs="仿宋_GB2312"/>
          <w:sz w:val="32"/>
          <w:szCs w:val="32"/>
          <w:highlight w:val="none"/>
          <w:lang w:eastAsia="zh-CN"/>
        </w:rPr>
        <w:t>元，其中:财政拨款收入</w:t>
      </w:r>
      <w:r>
        <w:rPr>
          <w:rFonts w:hint="eastAsia" w:ascii="仿宋_GB2312" w:hAnsi="仿宋_GB2312" w:eastAsia="仿宋_GB2312" w:cs="仿宋_GB2312"/>
          <w:sz w:val="32"/>
          <w:szCs w:val="32"/>
          <w:highlight w:val="none"/>
          <w:lang w:val="en-US" w:eastAsia="zh-CN"/>
        </w:rPr>
        <w:t>1711.57万</w:t>
      </w:r>
      <w:r>
        <w:rPr>
          <w:rFonts w:hint="eastAsia" w:ascii="仿宋_GB2312" w:hAnsi="仿宋_GB2312" w:eastAsia="仿宋_GB2312" w:cs="仿宋_GB2312"/>
          <w:sz w:val="32"/>
          <w:szCs w:val="32"/>
          <w:highlight w:val="none"/>
          <w:lang w:eastAsia="zh-CN"/>
        </w:rPr>
        <w:t>元，非财政补助收入0元。202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年度部门整体预决算支出为</w:t>
      </w:r>
      <w:r>
        <w:rPr>
          <w:rFonts w:hint="eastAsia" w:ascii="仿宋_GB2312" w:hAnsi="仿宋_GB2312" w:eastAsia="仿宋_GB2312" w:cs="仿宋_GB2312"/>
          <w:sz w:val="32"/>
          <w:szCs w:val="32"/>
          <w:highlight w:val="none"/>
          <w:lang w:val="en-US" w:eastAsia="zh-CN"/>
        </w:rPr>
        <w:t>1711.57万</w:t>
      </w:r>
      <w:r>
        <w:rPr>
          <w:rFonts w:hint="eastAsia" w:ascii="仿宋_GB2312" w:hAnsi="仿宋_GB2312" w:eastAsia="仿宋_GB2312" w:cs="仿宋_GB2312"/>
          <w:sz w:val="32"/>
          <w:szCs w:val="32"/>
          <w:highlight w:val="none"/>
          <w:lang w:eastAsia="zh-CN"/>
        </w:rPr>
        <w:t>元。其中:基本支出</w:t>
      </w:r>
      <w:r>
        <w:rPr>
          <w:rFonts w:hint="eastAsia" w:ascii="仿宋_GB2312" w:hAnsi="仿宋_GB2312" w:eastAsia="仿宋_GB2312" w:cs="仿宋_GB2312"/>
          <w:sz w:val="32"/>
          <w:szCs w:val="32"/>
          <w:highlight w:val="none"/>
          <w:lang w:val="en-US" w:eastAsia="zh-CN"/>
        </w:rPr>
        <w:t>1141.91万</w:t>
      </w:r>
      <w:r>
        <w:rPr>
          <w:rFonts w:hint="eastAsia" w:ascii="仿宋_GB2312" w:hAnsi="仿宋_GB2312" w:eastAsia="仿宋_GB2312" w:cs="仿宋_GB2312"/>
          <w:sz w:val="32"/>
          <w:szCs w:val="32"/>
          <w:highlight w:val="none"/>
          <w:lang w:eastAsia="zh-CN"/>
        </w:rPr>
        <w:t>元，项目支出</w:t>
      </w:r>
      <w:r>
        <w:rPr>
          <w:rFonts w:hint="eastAsia" w:ascii="仿宋_GB2312" w:hAnsi="仿宋_GB2312" w:eastAsia="仿宋_GB2312" w:cs="仿宋_GB2312"/>
          <w:sz w:val="32"/>
          <w:szCs w:val="32"/>
          <w:highlight w:val="none"/>
          <w:lang w:val="en-US" w:eastAsia="zh-CN"/>
        </w:rPr>
        <w:t>569.66万</w:t>
      </w:r>
      <w:r>
        <w:rPr>
          <w:rFonts w:hint="eastAsia" w:ascii="仿宋_GB2312" w:hAnsi="仿宋_GB2312" w:eastAsia="仿宋_GB2312" w:cs="仿宋_GB2312"/>
          <w:sz w:val="32"/>
          <w:szCs w:val="32"/>
          <w:highlight w:val="none"/>
          <w:lang w:eastAsia="zh-CN"/>
        </w:rPr>
        <w:t>元。</w:t>
      </w:r>
    </w:p>
    <w:p w14:paraId="165F60C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年度部门整体收支预决算</w:t>
      </w:r>
      <w:r>
        <w:rPr>
          <w:rFonts w:hint="eastAsia" w:ascii="仿宋_GB2312" w:hAnsi="仿宋_GB2312" w:eastAsia="仿宋_GB2312" w:cs="仿宋_GB2312"/>
          <w:sz w:val="32"/>
          <w:szCs w:val="32"/>
          <w:highlight w:val="none"/>
          <w:lang w:val="en-US" w:eastAsia="zh-CN"/>
        </w:rPr>
        <w:t>无</w:t>
      </w:r>
      <w:r>
        <w:rPr>
          <w:rFonts w:hint="eastAsia" w:ascii="仿宋_GB2312" w:hAnsi="仿宋_GB2312" w:eastAsia="仿宋_GB2312" w:cs="仿宋_GB2312"/>
          <w:sz w:val="32"/>
          <w:szCs w:val="32"/>
          <w:highlight w:val="none"/>
          <w:lang w:eastAsia="zh-CN"/>
        </w:rPr>
        <w:t>资金结存。</w:t>
      </w:r>
    </w:p>
    <w:p w14:paraId="2842DFB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51ED490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认真落实国家的方针、政策，严格依法行政，充分发挥南营镇政府经济管理职能作用，加强本镇全体民众的政策引导，制定本镇的发展规划，为全镇人民提供公共服务，主动维护社会稳定，积极构建和谐社会。按照藁城区区委委、区政府等上级机关关于乡镇各项工作安排，保障便</w:t>
      </w:r>
      <w:bookmarkStart w:id="0" w:name="_GoBack"/>
      <w:bookmarkEnd w:id="0"/>
      <w:r>
        <w:rPr>
          <w:rFonts w:hint="eastAsia" w:ascii="仿宋_GB2312" w:hAnsi="仿宋_GB2312" w:eastAsia="仿宋_GB2312" w:cs="仿宋_GB2312"/>
          <w:sz w:val="32"/>
          <w:szCs w:val="32"/>
          <w:highlight w:val="none"/>
          <w:lang w:eastAsia="zh-CN"/>
        </w:rPr>
        <w:t>民服务中心、城乡环境综合治理、信访、安全维稳、安全生产、党代会、人代会、纪检监察、党建、扶贫攻坚、服务群众等各项工作正常开展，按时、按质、按量完成各项工作任务，及时保障政府机关人员、村级工作经费、服务群众经费的发放，按时兑付村民的地力补偿、五保、低保、民政优抚、扶贫工作领域的各项资金，牢固树立立党为公、执政为民的工作理念，确保南营镇社会稳定、服务民生、道路畅通、环境干净优美、村民办事方便快捷。</w:t>
      </w:r>
    </w:p>
    <w:p w14:paraId="08F1CF4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分项绩效目标</w:t>
      </w:r>
    </w:p>
    <w:p w14:paraId="7350728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（一）政务管理上水平</w:t>
      </w:r>
      <w:r>
        <w:rPr>
          <w:rFonts w:hint="eastAsia" w:ascii="仿宋_GB2312" w:hAnsi="仿宋_GB2312" w:eastAsia="仿宋_GB2312" w:cs="仿宋_GB2312"/>
          <w:sz w:val="32"/>
          <w:szCs w:val="32"/>
          <w:highlight w:val="none"/>
          <w:lang w:eastAsia="zh-CN"/>
        </w:rPr>
        <w:tab/>
      </w:r>
    </w:p>
    <w:p w14:paraId="0DD6B03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绩效目标：依法依规履行机关日常管理职责，确保政府工作正常运行。</w:t>
      </w:r>
    </w:p>
    <w:p w14:paraId="1F1E499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1、综合业务管理，依法依规完成工作任务，推进科学决策。确保机关工作正常运行，工作任务完成率98%以上；2、应急管理，做好各类突发事件得到及时妥善处置，突发事件处理及时率90%以上；3、综合事务管理，环保、土地、食品安全、安全生产、文化体育事业、医疗教育各项工作有序开展，完成全年工作目标。</w:t>
      </w:r>
    </w:p>
    <w:p w14:paraId="7EB5C3F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（二）社会治安有保障</w:t>
      </w:r>
    </w:p>
    <w:p w14:paraId="218158B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绩效目标：宣传贯彻国家法律法规和政策，增强农民法律知识，做好社会治安综合治理工作。</w:t>
      </w:r>
    </w:p>
    <w:p w14:paraId="18D5DD8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绩效指标：做好社会治安综合治理工作，做好司法、宗教工作，打击邪教；做好群众 来信来访、搞好农村矛盾纠纷排查调处；妥善处理突发性、群体性事件，维护社会稳定；打击各类犯罪活动。协调督导事项化解率90%以上</w:t>
      </w:r>
    </w:p>
    <w:p w14:paraId="177A3C9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（三）乡村治理上台阶</w:t>
      </w:r>
    </w:p>
    <w:p w14:paraId="1F9381C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绩效目标：认真落实区委区政府及上级有关部门乡村振兴战略有关部署。</w:t>
      </w:r>
    </w:p>
    <w:p w14:paraId="66A2BD4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新时代文明实践活动、星级文明户评选活动等各项活动开展率95%以上，营造积极向上的乡村风貌；充分发挥村两委的乡村治理能力，积极做好乡村治理工作；村级工作经费、服务群众经费拨付及时率98%以上，保障村民自治组织正常办公、服务群众活动顺利开展。</w:t>
      </w:r>
    </w:p>
    <w:p w14:paraId="4911A7C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（四）社会救助显实效</w:t>
      </w:r>
    </w:p>
    <w:p w14:paraId="471A9FB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绩效目标：进一步强化社会救助体系建设，保障农村居民低保、五保供养等各项工作。</w:t>
      </w:r>
    </w:p>
    <w:p w14:paraId="0C804DB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绩效指标：完善农村社会救助制度，实施分类救助，落实动态管理，实现应保尽保。最低生活保障、五保户供养、临时生活救助及时率、准确率98%以上，精准扶贫户脱贫率100%。</w:t>
      </w:r>
    </w:p>
    <w:p w14:paraId="7BC38C9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（五）经济发展求突破</w:t>
      </w:r>
    </w:p>
    <w:p w14:paraId="0C00181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绩效目标：充分发挥南营镇区位优势，提升南营镇经济发展水平。</w:t>
      </w:r>
    </w:p>
    <w:p w14:paraId="156D9B2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 xml:space="preserve">绩效指标：1、上级下达的各项年度经济指标完成率98%以上，2、年度财税收入完成率100%。 </w:t>
      </w:r>
    </w:p>
    <w:p w14:paraId="26C22E01">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7ABCF715">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62A15292">
      <w:pPr>
        <w:spacing w:line="600" w:lineRule="exact"/>
        <w:ind w:firstLine="720"/>
        <w:rPr>
          <w:rFonts w:hint="eastAsia" w:ascii="仿宋_GB2312" w:hAnsi="仿宋" w:eastAsia="仿宋_GB2312"/>
          <w:sz w:val="32"/>
          <w:szCs w:val="32"/>
        </w:rPr>
      </w:pPr>
      <w:r>
        <w:rPr>
          <w:rFonts w:hint="eastAsia" w:ascii="仿宋_GB2312" w:hAnsi="仿宋" w:eastAsia="仿宋_GB2312"/>
          <w:sz w:val="32"/>
          <w:szCs w:val="32"/>
        </w:rPr>
        <w:t>成立预算绩效评价小组。为保证绩效评价工作顺利开展，石家庄市藁城区</w:t>
      </w:r>
      <w:r>
        <w:rPr>
          <w:rFonts w:hint="eastAsia" w:ascii="仿宋_GB2312" w:hAnsi="仿宋" w:eastAsia="仿宋_GB2312"/>
          <w:sz w:val="32"/>
          <w:szCs w:val="32"/>
          <w:lang w:eastAsia="zh-CN"/>
        </w:rPr>
        <w:t>南营镇</w:t>
      </w:r>
      <w:r>
        <w:rPr>
          <w:rFonts w:hint="eastAsia" w:ascii="仿宋_GB2312" w:hAnsi="仿宋" w:eastAsia="仿宋_GB2312"/>
          <w:sz w:val="32"/>
          <w:szCs w:val="32"/>
        </w:rPr>
        <w:t>人民政府成立了绩效评价小组，负责绩效评价的组织管理等工作。</w:t>
      </w:r>
    </w:p>
    <w:p w14:paraId="411A4E49">
      <w:pPr>
        <w:keepNext w:val="0"/>
        <w:keepLines w:val="0"/>
        <w:pageBreakBefore w:val="0"/>
        <w:widowControl w:val="0"/>
        <w:numPr>
          <w:ilvl w:val="0"/>
          <w:numId w:val="2"/>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4E7F308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石家庄市藁城区南营镇人民政府按照要求整理相关数据和资料，对部门综合绩效情况进行自我评价，由绩效评价领导小组牵头，组织机关各科室对20</w:t>
      </w:r>
      <w:r>
        <w:rPr>
          <w:rFonts w:hint="eastAsia" w:ascii="仿宋_GB2312" w:hAnsi="仿宋_GB2312" w:eastAsia="仿宋_GB2312" w:cs="仿宋_GB2312"/>
          <w:sz w:val="32"/>
          <w:szCs w:val="32"/>
          <w:highlight w:val="none"/>
          <w:lang w:val="en-US" w:eastAsia="zh-CN"/>
        </w:rPr>
        <w:t>23</w:t>
      </w:r>
      <w:r>
        <w:rPr>
          <w:rFonts w:hint="eastAsia" w:ascii="仿宋_GB2312" w:hAnsi="仿宋_GB2312" w:eastAsia="仿宋_GB2312" w:cs="仿宋_GB2312"/>
          <w:sz w:val="32"/>
          <w:szCs w:val="32"/>
          <w:highlight w:val="none"/>
          <w:lang w:eastAsia="zh-CN"/>
        </w:rPr>
        <w:t>年所有与本部门相关的财政支出项目开展了自评，逐个项目填报了《区级部门预算项目自评表》，并撰写《20</w:t>
      </w:r>
      <w:r>
        <w:rPr>
          <w:rFonts w:hint="eastAsia" w:ascii="仿宋_GB2312" w:hAnsi="仿宋_GB2312" w:eastAsia="仿宋_GB2312" w:cs="仿宋_GB2312"/>
          <w:sz w:val="32"/>
          <w:szCs w:val="32"/>
          <w:highlight w:val="none"/>
          <w:lang w:val="en-US" w:eastAsia="zh-CN"/>
        </w:rPr>
        <w:t>23</w:t>
      </w:r>
      <w:r>
        <w:rPr>
          <w:rFonts w:hint="eastAsia" w:ascii="仿宋_GB2312" w:hAnsi="仿宋_GB2312" w:eastAsia="仿宋_GB2312" w:cs="仿宋_GB2312"/>
          <w:sz w:val="32"/>
          <w:szCs w:val="32"/>
          <w:highlight w:val="none"/>
          <w:lang w:eastAsia="zh-CN"/>
        </w:rPr>
        <w:t>部门年度绩效自评工作报告》。</w:t>
      </w:r>
    </w:p>
    <w:p w14:paraId="017E5E4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石家庄市藁城区南营镇人民政府执行财务制度和管理规定，按时完成预算执行进度，严格控制、合理利用各项经费，按要求进行预算管理。</w:t>
      </w:r>
    </w:p>
    <w:p w14:paraId="6C9D1AAF">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2A2308D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南营镇20</w:t>
      </w:r>
      <w:r>
        <w:rPr>
          <w:rFonts w:hint="eastAsia" w:ascii="仿宋_GB2312" w:hAnsi="仿宋_GB2312" w:eastAsia="仿宋_GB2312" w:cs="仿宋_GB2312"/>
          <w:sz w:val="32"/>
          <w:szCs w:val="32"/>
          <w:highlight w:val="none"/>
          <w:lang w:val="en-US" w:eastAsia="zh-CN"/>
        </w:rPr>
        <w:t>23</w:t>
      </w:r>
      <w:r>
        <w:rPr>
          <w:rFonts w:hint="eastAsia" w:ascii="仿宋_GB2312" w:hAnsi="仿宋_GB2312" w:eastAsia="仿宋_GB2312" w:cs="仿宋_GB2312"/>
          <w:sz w:val="32"/>
          <w:szCs w:val="32"/>
          <w:highlight w:val="none"/>
          <w:lang w:eastAsia="zh-CN"/>
        </w:rPr>
        <w:t>年共有学区工会费、政府工会费、</w:t>
      </w:r>
      <w:r>
        <w:rPr>
          <w:rFonts w:hint="eastAsia" w:ascii="仿宋_GB2312" w:hAnsi="仿宋_GB2312" w:eastAsia="仿宋_GB2312" w:cs="仿宋_GB2312"/>
          <w:sz w:val="32"/>
          <w:szCs w:val="32"/>
          <w:highlight w:val="none"/>
          <w:lang w:val="en-US" w:eastAsia="zh-CN"/>
        </w:rPr>
        <w:t>综合工作经费等19</w:t>
      </w:r>
      <w:r>
        <w:rPr>
          <w:rFonts w:hint="eastAsia" w:ascii="仿宋_GB2312" w:hAnsi="仿宋_GB2312" w:eastAsia="仿宋_GB2312" w:cs="仿宋_GB2312"/>
          <w:sz w:val="32"/>
          <w:szCs w:val="32"/>
          <w:highlight w:val="none"/>
          <w:lang w:eastAsia="zh-CN"/>
        </w:rPr>
        <w:t>个项目，年初预算金额为</w:t>
      </w:r>
      <w:r>
        <w:rPr>
          <w:rFonts w:hint="eastAsia" w:ascii="仿宋_GB2312" w:hAnsi="仿宋_GB2312" w:eastAsia="仿宋_GB2312" w:cs="仿宋_GB2312"/>
          <w:sz w:val="32"/>
          <w:szCs w:val="32"/>
          <w:highlight w:val="none"/>
          <w:lang w:val="en-US" w:eastAsia="zh-CN"/>
        </w:rPr>
        <w:t>589.1038</w:t>
      </w:r>
      <w:r>
        <w:rPr>
          <w:rFonts w:hint="eastAsia" w:ascii="仿宋_GB2312" w:hAnsi="仿宋_GB2312" w:eastAsia="仿宋_GB2312" w:cs="仿宋_GB2312"/>
          <w:sz w:val="32"/>
          <w:szCs w:val="32"/>
          <w:highlight w:val="none"/>
          <w:lang w:eastAsia="zh-CN"/>
        </w:rPr>
        <w:t>万元，主要支出明细如下：</w:t>
      </w:r>
    </w:p>
    <w:p w14:paraId="1F83FACB">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lang w:eastAsia="zh-CN"/>
        </w:rPr>
        <w:t>拨付原经贸系统关闭企业下放回乡的合同工、副业工涉军人员生活补贴</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3.96</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09663A92">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农村独生子女费</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5.5</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0B5FD124">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南营镇2023年度政府工会费</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6.05</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6DEA1372">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衡井线石衡高速占地补占地补贴</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6.3555</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4F827FB7">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执法执纪等业务活动经费（综合工作经费）</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20</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62E43F51">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农村文化建设</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12</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17DA0F29">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机关运转（综合工作经费）</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15</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20DB7C42">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8、</w:t>
      </w:r>
      <w:r>
        <w:rPr>
          <w:rFonts w:hint="eastAsia" w:ascii="仿宋_GB2312" w:hAnsi="仿宋_GB2312" w:eastAsia="仿宋_GB2312" w:cs="仿宋_GB2312"/>
          <w:sz w:val="32"/>
          <w:szCs w:val="32"/>
          <w:highlight w:val="none"/>
          <w:lang w:eastAsia="zh-CN"/>
        </w:rPr>
        <w:t>农村环境整治经费（综合工作经费）</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20</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0AF19083">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lang w:eastAsia="zh-CN"/>
        </w:rPr>
        <w:t>南营镇2023年度学区工会费</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34.3</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78322903">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10、</w:t>
      </w:r>
      <w:r>
        <w:rPr>
          <w:rFonts w:hint="eastAsia" w:ascii="仿宋_GB2312" w:hAnsi="仿宋_GB2312" w:eastAsia="仿宋_GB2312" w:cs="仿宋_GB2312"/>
          <w:sz w:val="32"/>
          <w:szCs w:val="32"/>
          <w:highlight w:val="none"/>
          <w:lang w:eastAsia="zh-CN"/>
        </w:rPr>
        <w:t>社会综合治理（综合工作经费）</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45.8</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47813547">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11、</w:t>
      </w:r>
      <w:r>
        <w:rPr>
          <w:rFonts w:hint="eastAsia" w:ascii="仿宋_GB2312" w:hAnsi="仿宋_GB2312" w:eastAsia="仿宋_GB2312" w:cs="仿宋_GB2312"/>
          <w:sz w:val="32"/>
          <w:szCs w:val="32"/>
          <w:highlight w:val="none"/>
          <w:lang w:eastAsia="zh-CN"/>
        </w:rPr>
        <w:t>人居环境综合经费</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146.23</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04B70609">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12、</w:t>
      </w:r>
      <w:r>
        <w:rPr>
          <w:rFonts w:hint="eastAsia" w:ascii="仿宋_GB2312" w:hAnsi="仿宋_GB2312" w:eastAsia="仿宋_GB2312" w:cs="仿宋_GB2312"/>
          <w:sz w:val="32"/>
          <w:szCs w:val="32"/>
          <w:highlight w:val="none"/>
          <w:lang w:eastAsia="zh-CN"/>
        </w:rPr>
        <w:t>刘周线环境提升资金</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8</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0B7AAC09">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13、</w:t>
      </w:r>
      <w:r>
        <w:rPr>
          <w:rFonts w:hint="eastAsia" w:ascii="仿宋_GB2312" w:hAnsi="仿宋_GB2312" w:eastAsia="仿宋_GB2312" w:cs="仿宋_GB2312"/>
          <w:sz w:val="32"/>
          <w:szCs w:val="32"/>
          <w:highlight w:val="none"/>
          <w:lang w:eastAsia="zh-CN"/>
        </w:rPr>
        <w:t>信访维稳经费</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10</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79F8DCDA">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14、</w:t>
      </w:r>
      <w:r>
        <w:rPr>
          <w:rFonts w:hint="eastAsia" w:ascii="仿宋_GB2312" w:hAnsi="仿宋_GB2312" w:eastAsia="仿宋_GB2312" w:cs="仿宋_GB2312"/>
          <w:sz w:val="32"/>
          <w:szCs w:val="32"/>
          <w:highlight w:val="none"/>
          <w:lang w:eastAsia="zh-CN"/>
        </w:rPr>
        <w:t>信访工作经费</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15</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4ADDF17A">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15、</w:t>
      </w:r>
      <w:r>
        <w:rPr>
          <w:rFonts w:hint="eastAsia" w:ascii="仿宋_GB2312" w:hAnsi="仿宋_GB2312" w:eastAsia="仿宋_GB2312" w:cs="仿宋_GB2312"/>
          <w:sz w:val="32"/>
          <w:szCs w:val="32"/>
          <w:highlight w:val="none"/>
          <w:lang w:eastAsia="zh-CN"/>
        </w:rPr>
        <w:t>廉西大街两侧地表废弃物清理</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39.9031</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45B89006">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16、</w:t>
      </w:r>
      <w:r>
        <w:rPr>
          <w:rFonts w:hint="eastAsia" w:ascii="仿宋_GB2312" w:hAnsi="仿宋_GB2312" w:eastAsia="仿宋_GB2312" w:cs="仿宋_GB2312"/>
          <w:sz w:val="32"/>
          <w:szCs w:val="32"/>
          <w:highlight w:val="none"/>
          <w:lang w:eastAsia="zh-CN"/>
        </w:rPr>
        <w:t>廉西大街拆违二期工作经费</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82.2368</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7174DAA2">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廉西大街拆迁及搬迁剩余资金</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83.9684</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[13]乡镇财政</w:t>
      </w:r>
    </w:p>
    <w:p w14:paraId="55D71241">
      <w:pPr>
        <w:spacing w:line="600" w:lineRule="exact"/>
        <w:rPr>
          <w:rFonts w:hint="eastAsia" w:ascii="仿宋_GB2312" w:hAnsi="仿宋" w:eastAsia="仿宋_GB2312" w:cs="Times New Roman"/>
          <w:sz w:val="32"/>
          <w:szCs w:val="32"/>
        </w:rPr>
      </w:pPr>
      <w:r>
        <w:rPr>
          <w:rFonts w:hint="eastAsia" w:ascii="仿宋_GB2312" w:hAnsi="仿宋_GB2312" w:eastAsia="仿宋_GB2312" w:cs="仿宋_GB2312"/>
          <w:sz w:val="32"/>
          <w:szCs w:val="32"/>
          <w:highlight w:val="none"/>
          <w:lang w:val="en-US" w:eastAsia="zh-CN"/>
        </w:rPr>
        <w:t>18、</w:t>
      </w:r>
      <w:r>
        <w:rPr>
          <w:rFonts w:hint="eastAsia" w:ascii="仿宋_GB2312" w:hAnsi="仿宋" w:eastAsia="仿宋_GB2312" w:cs="Times New Roman"/>
          <w:sz w:val="32"/>
          <w:szCs w:val="32"/>
        </w:rPr>
        <w:t>南营镇人居环境整治资金</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9.8</w:t>
      </w:r>
      <w:r>
        <w:rPr>
          <w:rFonts w:hint="eastAsia" w:ascii="仿宋_GB2312" w:hAnsi="仿宋" w:eastAsia="仿宋_GB2312" w:cs="Times New Roman"/>
          <w:sz w:val="32"/>
          <w:szCs w:val="32"/>
          <w:lang w:val="en-US" w:eastAsia="zh-CN"/>
        </w:rPr>
        <w:t>万元</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[03]农业科</w:t>
      </w:r>
    </w:p>
    <w:p w14:paraId="44638AAC">
      <w:pPr>
        <w:spacing w:line="600" w:lineRule="exact"/>
        <w:rPr>
          <w:rFonts w:hint="default"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19、</w:t>
      </w:r>
      <w:r>
        <w:rPr>
          <w:rFonts w:hint="eastAsia" w:ascii="仿宋_GB2312" w:hAnsi="仿宋" w:eastAsia="仿宋_GB2312" w:cs="Times New Roman"/>
          <w:sz w:val="32"/>
          <w:szCs w:val="32"/>
        </w:rPr>
        <w:t>和美乡村创建资金</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25</w:t>
      </w:r>
      <w:r>
        <w:rPr>
          <w:rFonts w:hint="eastAsia" w:ascii="仿宋_GB2312" w:hAnsi="仿宋" w:eastAsia="仿宋_GB2312" w:cs="Times New Roman"/>
          <w:sz w:val="32"/>
          <w:szCs w:val="32"/>
          <w:lang w:val="en-US" w:eastAsia="zh-CN"/>
        </w:rPr>
        <w:t>万元</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[03]农业科</w:t>
      </w:r>
    </w:p>
    <w:p w14:paraId="0486FB15">
      <w:pPr>
        <w:keepNext w:val="0"/>
        <w:keepLines w:val="0"/>
        <w:pageBreakBefore w:val="0"/>
        <w:widowControl w:val="0"/>
        <w:kinsoku/>
        <w:wordWrap/>
        <w:overflowPunct/>
        <w:topLinePunct w:val="0"/>
        <w:autoSpaceDE/>
        <w:autoSpaceDN/>
        <w:bidi w:val="0"/>
        <w:spacing w:line="560" w:lineRule="exact"/>
        <w:textAlignment w:val="auto"/>
        <w:rPr>
          <w:rFonts w:hint="default" w:ascii="仿宋_GB2312" w:hAnsi="仿宋_GB2312" w:eastAsia="仿宋_GB2312" w:cs="仿宋_GB2312"/>
          <w:sz w:val="32"/>
          <w:szCs w:val="32"/>
          <w:highlight w:val="none"/>
          <w:lang w:val="en-US" w:eastAsia="zh-CN"/>
        </w:rPr>
      </w:pPr>
    </w:p>
    <w:p w14:paraId="7F939564">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3ACE815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南营镇20</w:t>
      </w:r>
      <w:r>
        <w:rPr>
          <w:rFonts w:hint="eastAsia" w:ascii="仿宋_GB2312" w:hAnsi="仿宋_GB2312" w:eastAsia="仿宋_GB2312" w:cs="仿宋_GB2312"/>
          <w:sz w:val="32"/>
          <w:szCs w:val="32"/>
          <w:highlight w:val="none"/>
          <w:lang w:val="en-US" w:eastAsia="zh-CN"/>
        </w:rPr>
        <w:t>23</w:t>
      </w:r>
      <w:r>
        <w:rPr>
          <w:rFonts w:hint="eastAsia" w:ascii="仿宋_GB2312" w:hAnsi="仿宋_GB2312" w:eastAsia="仿宋_GB2312" w:cs="仿宋_GB2312"/>
          <w:sz w:val="32"/>
          <w:szCs w:val="32"/>
          <w:highlight w:val="none"/>
          <w:lang w:eastAsia="zh-CN"/>
        </w:rPr>
        <w:t>年共有学区工会费、政府工会费、</w:t>
      </w:r>
      <w:r>
        <w:rPr>
          <w:rFonts w:hint="eastAsia" w:ascii="仿宋_GB2312" w:hAnsi="仿宋_GB2312" w:eastAsia="仿宋_GB2312" w:cs="仿宋_GB2312"/>
          <w:sz w:val="32"/>
          <w:szCs w:val="32"/>
          <w:highlight w:val="none"/>
          <w:lang w:val="en-US" w:eastAsia="zh-CN"/>
        </w:rPr>
        <w:t>综合工作经费等19</w:t>
      </w:r>
      <w:r>
        <w:rPr>
          <w:rFonts w:hint="eastAsia" w:ascii="仿宋_GB2312" w:hAnsi="仿宋_GB2312" w:eastAsia="仿宋_GB2312" w:cs="仿宋_GB2312"/>
          <w:sz w:val="32"/>
          <w:szCs w:val="32"/>
          <w:highlight w:val="none"/>
          <w:lang w:eastAsia="zh-CN"/>
        </w:rPr>
        <w:t>个项目，年初预算金额为</w:t>
      </w:r>
      <w:r>
        <w:rPr>
          <w:rFonts w:hint="eastAsia" w:ascii="仿宋_GB2312" w:hAnsi="仿宋_GB2312" w:eastAsia="仿宋_GB2312" w:cs="仿宋_GB2312"/>
          <w:sz w:val="32"/>
          <w:szCs w:val="32"/>
          <w:highlight w:val="none"/>
          <w:lang w:val="en-US" w:eastAsia="zh-CN"/>
        </w:rPr>
        <w:t>589.1038</w:t>
      </w:r>
      <w:r>
        <w:rPr>
          <w:rFonts w:hint="eastAsia" w:ascii="仿宋_GB2312" w:hAnsi="仿宋_GB2312" w:eastAsia="仿宋_GB2312" w:cs="仿宋_GB2312"/>
          <w:sz w:val="32"/>
          <w:szCs w:val="32"/>
          <w:highlight w:val="none"/>
          <w:lang w:eastAsia="zh-CN"/>
        </w:rPr>
        <w:t>万元。</w:t>
      </w:r>
    </w:p>
    <w:p w14:paraId="41A2EA9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实施单位为南营镇人民政府，上述项目是依据区财政“保工资、保运转、保民生”的原则进行设定的。南营镇本着强化环境整治、促进面貌提升、维护信访稳定、防治环境污染、清理违法占地、维护食品安全、保障安全生产等工作统筹使用项目资金，项目资金来源是财政预算拨款。</w:t>
      </w:r>
    </w:p>
    <w:p w14:paraId="2130C1D9">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政府信访、环保、土地、食品、安全生产、协税等工作经费及劳务费预期绩效总目标是按</w:t>
      </w:r>
      <w:r>
        <w:rPr>
          <w:rFonts w:hint="eastAsia" w:ascii="仿宋_GB2312" w:hAnsi="仿宋_GB2312" w:eastAsia="仿宋_GB2312" w:cs="仿宋_GB2312"/>
          <w:sz w:val="32"/>
          <w:szCs w:val="32"/>
          <w:highlight w:val="none"/>
          <w:lang w:val="en-US" w:eastAsia="zh-CN"/>
        </w:rPr>
        <w:t>2023年度各项工作任务情况进行设定，经自评，各项任务目标均已达到，</w:t>
      </w:r>
      <w:r>
        <w:rPr>
          <w:rFonts w:hint="eastAsia" w:ascii="仿宋_GB2312" w:hAnsi="仿宋_GB2312" w:eastAsia="仿宋_GB2312" w:cs="仿宋_GB2312"/>
          <w:sz w:val="32"/>
          <w:szCs w:val="32"/>
          <w:highlight w:val="none"/>
          <w:lang w:eastAsia="zh-CN"/>
        </w:rPr>
        <w:t>资金使用率100%，各项目绩效执行情况良好。</w:t>
      </w:r>
    </w:p>
    <w:p w14:paraId="4A994118">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158B158B">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714FCF8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学区工会费、政府工会费能够严格根据预算执行。综合公用经费，涵盖范围交广，涉及内容较多，且信访、环保、土地、食品、安全生产、协税等工作经费及劳务费预算编制主要参考往年支出并结合对下年的预期进行编制，但实际执行过程中因为阶段性重点工作的变化，存在一定偏差。</w:t>
      </w:r>
    </w:p>
    <w:p w14:paraId="52CCD942">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4782F5C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改进措施：及时与财政沟通，根据不同情况合理列支支出项目。</w:t>
      </w:r>
    </w:p>
    <w:p w14:paraId="3FC6AD3B">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86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1475"/>
        <w:gridCol w:w="2260"/>
        <w:gridCol w:w="1904"/>
        <w:gridCol w:w="1733"/>
      </w:tblGrid>
      <w:tr w14:paraId="00783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288" w:type="dxa"/>
            <w:vAlign w:val="center"/>
          </w:tcPr>
          <w:p w14:paraId="1276C38C">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序号</w:t>
            </w:r>
          </w:p>
        </w:tc>
        <w:tc>
          <w:tcPr>
            <w:tcW w:w="1475" w:type="dxa"/>
            <w:vAlign w:val="center"/>
          </w:tcPr>
          <w:p w14:paraId="33370845">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姓名</w:t>
            </w:r>
          </w:p>
        </w:tc>
        <w:tc>
          <w:tcPr>
            <w:tcW w:w="2260" w:type="dxa"/>
            <w:vAlign w:val="center"/>
          </w:tcPr>
          <w:p w14:paraId="0AC4E746">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单  位</w:t>
            </w:r>
          </w:p>
        </w:tc>
        <w:tc>
          <w:tcPr>
            <w:tcW w:w="1904" w:type="dxa"/>
            <w:vAlign w:val="center"/>
          </w:tcPr>
          <w:p w14:paraId="21BC5967">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职  务</w:t>
            </w:r>
          </w:p>
        </w:tc>
        <w:tc>
          <w:tcPr>
            <w:tcW w:w="1733" w:type="dxa"/>
            <w:vAlign w:val="center"/>
          </w:tcPr>
          <w:p w14:paraId="161E1A3A">
            <w:pPr>
              <w:ind w:firstLine="320" w:firstLineChars="100"/>
              <w:jc w:val="both"/>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签  字</w:t>
            </w:r>
          </w:p>
        </w:tc>
      </w:tr>
      <w:tr w14:paraId="73759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288" w:type="dxa"/>
            <w:vAlign w:val="center"/>
          </w:tcPr>
          <w:p w14:paraId="31665EDC">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1</w:t>
            </w:r>
          </w:p>
        </w:tc>
        <w:tc>
          <w:tcPr>
            <w:tcW w:w="1475" w:type="dxa"/>
            <w:vAlign w:val="center"/>
          </w:tcPr>
          <w:p w14:paraId="3D937889">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赵阳</w:t>
            </w:r>
          </w:p>
        </w:tc>
        <w:tc>
          <w:tcPr>
            <w:tcW w:w="2260" w:type="dxa"/>
            <w:vAlign w:val="center"/>
          </w:tcPr>
          <w:p w14:paraId="772C7BC9">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904" w:type="dxa"/>
            <w:vAlign w:val="center"/>
          </w:tcPr>
          <w:p w14:paraId="4FC0323D">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镇  长</w:t>
            </w:r>
          </w:p>
        </w:tc>
        <w:tc>
          <w:tcPr>
            <w:tcW w:w="1733" w:type="dxa"/>
            <w:vAlign w:val="center"/>
          </w:tcPr>
          <w:p w14:paraId="512EB319">
            <w:pPr>
              <w:ind w:firstLine="640" w:firstLineChars="200"/>
              <w:jc w:val="center"/>
              <w:rPr>
                <w:rFonts w:hint="eastAsia" w:ascii="仿宋_GB2312" w:hAnsi="宋体" w:eastAsia="仿宋_GB2312" w:cs="宋体"/>
                <w:color w:val="000000"/>
                <w:kern w:val="0"/>
                <w:sz w:val="32"/>
                <w:szCs w:val="32"/>
                <w:lang w:val="en-US" w:eastAsia="zh-CN" w:bidi="ar-SA"/>
              </w:rPr>
            </w:pPr>
          </w:p>
        </w:tc>
      </w:tr>
      <w:tr w14:paraId="24179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2" w:hRule="atLeast"/>
          <w:jc w:val="center"/>
        </w:trPr>
        <w:tc>
          <w:tcPr>
            <w:tcW w:w="1288" w:type="dxa"/>
            <w:vAlign w:val="center"/>
          </w:tcPr>
          <w:p w14:paraId="6575E3F7">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w:t>
            </w:r>
          </w:p>
        </w:tc>
        <w:tc>
          <w:tcPr>
            <w:tcW w:w="1475" w:type="dxa"/>
            <w:vAlign w:val="center"/>
          </w:tcPr>
          <w:p w14:paraId="160C2700">
            <w:pPr>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田庆华</w:t>
            </w:r>
          </w:p>
        </w:tc>
        <w:tc>
          <w:tcPr>
            <w:tcW w:w="2260" w:type="dxa"/>
            <w:vAlign w:val="center"/>
          </w:tcPr>
          <w:p w14:paraId="023EF853">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904" w:type="dxa"/>
            <w:vAlign w:val="center"/>
          </w:tcPr>
          <w:p w14:paraId="1AC80C4A">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副书记</w:t>
            </w:r>
          </w:p>
        </w:tc>
        <w:tc>
          <w:tcPr>
            <w:tcW w:w="1733" w:type="dxa"/>
            <w:vAlign w:val="center"/>
          </w:tcPr>
          <w:p w14:paraId="3FF03CA9">
            <w:pPr>
              <w:ind w:firstLine="640" w:firstLineChars="200"/>
              <w:jc w:val="center"/>
              <w:rPr>
                <w:rFonts w:hint="eastAsia" w:ascii="仿宋_GB2312" w:hAnsi="宋体" w:eastAsia="仿宋_GB2312" w:cs="宋体"/>
                <w:color w:val="000000"/>
                <w:kern w:val="0"/>
                <w:sz w:val="32"/>
                <w:szCs w:val="32"/>
                <w:lang w:val="en-US" w:eastAsia="zh-CN" w:bidi="ar-SA"/>
              </w:rPr>
            </w:pPr>
          </w:p>
        </w:tc>
      </w:tr>
      <w:tr w14:paraId="6C73B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1288" w:type="dxa"/>
            <w:vAlign w:val="center"/>
          </w:tcPr>
          <w:p w14:paraId="639765A4">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3</w:t>
            </w:r>
          </w:p>
        </w:tc>
        <w:tc>
          <w:tcPr>
            <w:tcW w:w="1475" w:type="dxa"/>
            <w:vAlign w:val="center"/>
          </w:tcPr>
          <w:p w14:paraId="2451581D">
            <w:pPr>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党志伟</w:t>
            </w:r>
          </w:p>
        </w:tc>
        <w:tc>
          <w:tcPr>
            <w:tcW w:w="2260" w:type="dxa"/>
            <w:vAlign w:val="center"/>
          </w:tcPr>
          <w:p w14:paraId="6983D194">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904" w:type="dxa"/>
            <w:vAlign w:val="center"/>
          </w:tcPr>
          <w:p w14:paraId="15F2384B">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纪检委书记</w:t>
            </w:r>
          </w:p>
        </w:tc>
        <w:tc>
          <w:tcPr>
            <w:tcW w:w="1733" w:type="dxa"/>
            <w:vAlign w:val="center"/>
          </w:tcPr>
          <w:p w14:paraId="777AD2C1">
            <w:pPr>
              <w:ind w:firstLine="640" w:firstLineChars="200"/>
              <w:jc w:val="center"/>
              <w:rPr>
                <w:rFonts w:hint="eastAsia" w:ascii="仿宋_GB2312" w:hAnsi="宋体" w:eastAsia="仿宋_GB2312" w:cs="宋体"/>
                <w:color w:val="000000"/>
                <w:kern w:val="0"/>
                <w:sz w:val="32"/>
                <w:szCs w:val="32"/>
                <w:lang w:val="en-US" w:eastAsia="zh-CN" w:bidi="ar-SA"/>
              </w:rPr>
            </w:pPr>
          </w:p>
        </w:tc>
      </w:tr>
      <w:tr w14:paraId="73753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1288" w:type="dxa"/>
            <w:vAlign w:val="center"/>
          </w:tcPr>
          <w:p w14:paraId="3853D31D">
            <w:pPr>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4</w:t>
            </w:r>
          </w:p>
        </w:tc>
        <w:tc>
          <w:tcPr>
            <w:tcW w:w="1475" w:type="dxa"/>
            <w:vAlign w:val="center"/>
          </w:tcPr>
          <w:p w14:paraId="06932301">
            <w:pPr>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樊彦涛</w:t>
            </w:r>
          </w:p>
        </w:tc>
        <w:tc>
          <w:tcPr>
            <w:tcW w:w="2260" w:type="dxa"/>
            <w:vAlign w:val="center"/>
          </w:tcPr>
          <w:p w14:paraId="29C7CB24">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904" w:type="dxa"/>
            <w:vAlign w:val="center"/>
          </w:tcPr>
          <w:p w14:paraId="4D862ACD">
            <w:pPr>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副镇长</w:t>
            </w:r>
          </w:p>
        </w:tc>
        <w:tc>
          <w:tcPr>
            <w:tcW w:w="1733" w:type="dxa"/>
            <w:vAlign w:val="center"/>
          </w:tcPr>
          <w:p w14:paraId="40C062BE">
            <w:pPr>
              <w:ind w:firstLine="640" w:firstLineChars="200"/>
              <w:jc w:val="center"/>
              <w:rPr>
                <w:rFonts w:hint="eastAsia" w:ascii="仿宋_GB2312" w:hAnsi="宋体" w:eastAsia="仿宋_GB2312" w:cs="宋体"/>
                <w:color w:val="000000"/>
                <w:kern w:val="0"/>
                <w:sz w:val="32"/>
                <w:szCs w:val="32"/>
                <w:lang w:val="en-US" w:eastAsia="zh-CN" w:bidi="ar-SA"/>
              </w:rPr>
            </w:pPr>
          </w:p>
        </w:tc>
      </w:tr>
    </w:tbl>
    <w:p w14:paraId="65A5E04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简体">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D40E2E">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340C36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340C36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BB5BB">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F7BA65FF"/>
    <w:multiLevelType w:val="singleLevel"/>
    <w:tmpl w:val="F7BA65FF"/>
    <w:lvl w:ilvl="0" w:tentative="0">
      <w:start w:val="2"/>
      <w:numFmt w:val="chineseCounting"/>
      <w:suff w:val="nothing"/>
      <w:lvlText w:val="（%1）"/>
      <w:lvlJc w:val="left"/>
      <w:rPr>
        <w:rFonts w:hint="eastAsia"/>
      </w:rPr>
    </w:lvl>
  </w:abstractNum>
  <w:abstractNum w:abstractNumId="2">
    <w:nsid w:val="29395C79"/>
    <w:multiLevelType w:val="singleLevel"/>
    <w:tmpl w:val="29395C79"/>
    <w:lvl w:ilvl="0" w:tentative="0">
      <w:start w:val="1"/>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3ZjU1ZWE4MDc2NWQ3Mzc4ZWI5ODdkYTEzYTg4Yzk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13B61930"/>
    <w:rsid w:val="1A3B21A2"/>
    <w:rsid w:val="1BAD28EF"/>
    <w:rsid w:val="1BAF1154"/>
    <w:rsid w:val="1C655171"/>
    <w:rsid w:val="1D465D80"/>
    <w:rsid w:val="20276775"/>
    <w:rsid w:val="26B75F6B"/>
    <w:rsid w:val="2F2C2A40"/>
    <w:rsid w:val="344704E1"/>
    <w:rsid w:val="39744C0B"/>
    <w:rsid w:val="3AEF6FE7"/>
    <w:rsid w:val="441F3676"/>
    <w:rsid w:val="47686AF9"/>
    <w:rsid w:val="48026013"/>
    <w:rsid w:val="493B718D"/>
    <w:rsid w:val="4DA756D2"/>
    <w:rsid w:val="50E31E90"/>
    <w:rsid w:val="53A42ADD"/>
    <w:rsid w:val="563B01B4"/>
    <w:rsid w:val="56604927"/>
    <w:rsid w:val="590F0BE0"/>
    <w:rsid w:val="59354EDE"/>
    <w:rsid w:val="5C4A315B"/>
    <w:rsid w:val="661D3074"/>
    <w:rsid w:val="67171052"/>
    <w:rsid w:val="6B1C1E0E"/>
    <w:rsid w:val="6BDE716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10</Pages>
  <Words>3862</Words>
  <Characters>4087</Characters>
  <Lines>3</Lines>
  <Paragraphs>1</Paragraphs>
  <TotalTime>1</TotalTime>
  <ScaleCrop>false</ScaleCrop>
  <LinksUpToDate>false</LinksUpToDate>
  <CharactersWithSpaces>4173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2025-02-26T08:02:09Z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AD36FCA4D3E14FDB95392F2FC76E4A23_13</vt:lpwstr>
  </property>
  <property fmtid="{D5CDD505-2E9C-101B-9397-08002B2CF9AE}" pid="4" name="KSOTemplateDocerSaveRecord">
    <vt:lpwstr>eyJoZGlkIjoiZWFiZDA5ODMyMjczYmM0MDUyYjk1NDhmMzg4ZjdmODkiLCJ1c2VySWQiOiIxNTUwMjQwMDk2In0=</vt:lpwstr>
  </property>
</Properties>
</file>