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AEA67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4EA9DF1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石家庄市藁城区科学技术协会</w:t>
      </w:r>
      <w:r>
        <w:rPr>
          <w:rFonts w:hint="eastAsia" w:ascii="方正小标宋简体" w:hAnsi="方正小标宋简体" w:eastAsia="方正小标宋简体" w:cs="方正小标宋简体"/>
          <w:b w:val="0"/>
          <w:bCs w:val="0"/>
          <w:sz w:val="44"/>
          <w:szCs w:val="44"/>
        </w:rPr>
        <w:t>部门</w:t>
      </w:r>
    </w:p>
    <w:p w14:paraId="60AC3895">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14:paraId="559F8848">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56BE79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则，对石家庄市藁城区科学技术协会部门202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3768FEC7">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29ACEC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381A871">
      <w:pPr>
        <w:ind w:left="643"/>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1、主要职能：</w:t>
      </w:r>
    </w:p>
    <w:p w14:paraId="0AB87F3F">
      <w:pPr>
        <w:numPr>
          <w:ilvl w:val="0"/>
          <w:numId w:val="1"/>
        </w:numPr>
        <w:ind w:firstLine="64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科学技术普及；实施《全民科学素质行动计划纲要》，改善科普设施，提升科普能力，开展多种形式的科普活动。依据《全民科学素质行动计划纲要》和《科普法》并结合社会实际需要，开展科普活动，加强科普设施建设，提升科普能力。</w:t>
      </w:r>
    </w:p>
    <w:p w14:paraId="1B10B1C4">
      <w:pPr>
        <w:ind w:firstLine="640"/>
        <w:rPr>
          <w:rFonts w:ascii="仿宋" w:hAnsi="仿宋"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二）综合业务管理，负责系统综合业务管理和机关综合管理。为科技工作者服务的能力更强，把科协建成科技工作者之家；加强科协机关自身建设，提高机关服务能力，组织协调规划和指导全区科协系统的普及工作；指导各乡（镇、区、街道）科普协会和农村专业技术协会的工作；组织全市性的科技普及活动；组织、协调全是学术研讨、技术交流活动；负责市级学会的组织管理和日常联络工作；</w:t>
      </w:r>
    </w:p>
    <w:p w14:paraId="48CD4A7C">
      <w:pPr>
        <w:ind w:firstLine="643" w:firstLineChars="200"/>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32"/>
          <w14:textFill>
            <w14:solidFill>
              <w14:schemeClr w14:val="tx1"/>
            </w14:solidFill>
          </w14:textFill>
        </w:rPr>
        <w:t>2、机构设置：</w:t>
      </w:r>
    </w:p>
    <w:p w14:paraId="06F30D2C">
      <w:pPr>
        <w:jc w:val="center"/>
        <w:outlineLvl w:val="0"/>
        <w:rPr>
          <w:rFonts w:eastAsia="方正小标宋_GBK"/>
          <w:color w:val="000000" w:themeColor="text1"/>
          <w:sz w:val="32"/>
          <w14:textFill>
            <w14:solidFill>
              <w14:schemeClr w14:val="tx1"/>
            </w14:solidFill>
          </w14:textFill>
        </w:rPr>
      </w:pPr>
      <w:r>
        <w:rPr>
          <w:rFonts w:eastAsia="方正小标宋_GBK"/>
          <w:color w:val="000000" w:themeColor="text1"/>
          <w:sz w:val="32"/>
          <w14:textFill>
            <w14:solidFill>
              <w14:schemeClr w14:val="tx1"/>
            </w14:solidFill>
          </w14:textFill>
        </w:rPr>
        <w:t>部门</w:t>
      </w:r>
      <w:r>
        <w:rPr>
          <w:rFonts w:hint="eastAsia" w:eastAsia="方正小标宋_GBK"/>
          <w:color w:val="000000" w:themeColor="text1"/>
          <w:sz w:val="32"/>
          <w14:textFill>
            <w14:solidFill>
              <w14:schemeClr w14:val="tx1"/>
            </w14:solidFill>
          </w14:textFill>
        </w:rPr>
        <w:t>机构设置情况</w:t>
      </w:r>
    </w:p>
    <w:tbl>
      <w:tblPr>
        <w:tblStyle w:val="4"/>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ECB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5C7B8FF">
            <w:pPr>
              <w:spacing w:line="300" w:lineRule="exact"/>
              <w:jc w:val="center"/>
              <w:rPr>
                <w:rFonts w:eastAsia="方正书宋_GBK"/>
                <w:b/>
                <w:color w:val="000000" w:themeColor="text1"/>
                <w14:textFill>
                  <w14:solidFill>
                    <w14:schemeClr w14:val="tx1"/>
                  </w14:solidFill>
                </w14:textFill>
              </w:rPr>
            </w:pPr>
            <w:r>
              <w:rPr>
                <w:rFonts w:eastAsia="方正书宋_GBK"/>
                <w:b/>
                <w:color w:val="000000" w:themeColor="text1"/>
                <w14:textFill>
                  <w14:solidFill>
                    <w14:schemeClr w14:val="tx1"/>
                  </w14:solidFill>
                </w14:textFill>
              </w:rPr>
              <w:t>单位名称</w:t>
            </w:r>
          </w:p>
        </w:tc>
        <w:tc>
          <w:tcPr>
            <w:tcW w:w="1134" w:type="dxa"/>
            <w:vMerge w:val="restart"/>
            <w:vAlign w:val="center"/>
          </w:tcPr>
          <w:p w14:paraId="3204DD8D">
            <w:pPr>
              <w:spacing w:line="300" w:lineRule="exact"/>
              <w:jc w:val="center"/>
              <w:rPr>
                <w:rFonts w:eastAsia="方正书宋_GBK"/>
                <w:b/>
                <w:color w:val="000000" w:themeColor="text1"/>
                <w14:textFill>
                  <w14:solidFill>
                    <w14:schemeClr w14:val="tx1"/>
                  </w14:solidFill>
                </w14:textFill>
              </w:rPr>
            </w:pPr>
            <w:r>
              <w:rPr>
                <w:rFonts w:eastAsia="方正书宋_GBK"/>
                <w:b/>
                <w:color w:val="000000" w:themeColor="text1"/>
                <w14:textFill>
                  <w14:solidFill>
                    <w14:schemeClr w14:val="tx1"/>
                  </w14:solidFill>
                </w14:textFill>
              </w:rPr>
              <w:t>单位性质</w:t>
            </w:r>
          </w:p>
        </w:tc>
        <w:tc>
          <w:tcPr>
            <w:tcW w:w="1276" w:type="dxa"/>
            <w:vMerge w:val="restart"/>
            <w:vAlign w:val="center"/>
          </w:tcPr>
          <w:p w14:paraId="443C0381">
            <w:pPr>
              <w:spacing w:line="300" w:lineRule="exact"/>
              <w:jc w:val="center"/>
              <w:rPr>
                <w:rFonts w:eastAsia="方正书宋_GBK"/>
                <w:b/>
                <w:color w:val="000000" w:themeColor="text1"/>
                <w14:textFill>
                  <w14:solidFill>
                    <w14:schemeClr w14:val="tx1"/>
                  </w14:solidFill>
                </w14:textFill>
              </w:rPr>
            </w:pPr>
            <w:r>
              <w:rPr>
                <w:rFonts w:eastAsia="方正书宋_GBK"/>
                <w:b/>
                <w:color w:val="000000" w:themeColor="text1"/>
                <w14:textFill>
                  <w14:solidFill>
                    <w14:schemeClr w14:val="tx1"/>
                  </w14:solidFill>
                </w14:textFill>
              </w:rPr>
              <w:t>单位规格</w:t>
            </w:r>
          </w:p>
        </w:tc>
        <w:tc>
          <w:tcPr>
            <w:tcW w:w="2902" w:type="dxa"/>
            <w:vMerge w:val="restart"/>
            <w:vAlign w:val="center"/>
          </w:tcPr>
          <w:p w14:paraId="421E5858">
            <w:pPr>
              <w:spacing w:line="300" w:lineRule="exact"/>
              <w:jc w:val="center"/>
              <w:rPr>
                <w:rFonts w:eastAsia="方正书宋_GBK"/>
                <w:b/>
                <w:color w:val="000000" w:themeColor="text1"/>
                <w14:textFill>
                  <w14:solidFill>
                    <w14:schemeClr w14:val="tx1"/>
                  </w14:solidFill>
                </w14:textFill>
              </w:rPr>
            </w:pPr>
            <w:r>
              <w:rPr>
                <w:rFonts w:eastAsia="方正书宋_GBK"/>
                <w:b/>
                <w:color w:val="000000" w:themeColor="text1"/>
                <w14:textFill>
                  <w14:solidFill>
                    <w14:schemeClr w14:val="tx1"/>
                  </w14:solidFill>
                </w14:textFill>
              </w:rPr>
              <w:t>经费保障形式</w:t>
            </w:r>
          </w:p>
        </w:tc>
      </w:tr>
      <w:tr w14:paraId="71CA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A7ABF11">
            <w:pPr>
              <w:spacing w:line="300" w:lineRule="exact"/>
              <w:jc w:val="left"/>
              <w:outlineLvl w:val="0"/>
              <w:rPr>
                <w:color w:val="000000" w:themeColor="text1"/>
                <w14:textFill>
                  <w14:solidFill>
                    <w14:schemeClr w14:val="tx1"/>
                  </w14:solidFill>
                </w14:textFill>
              </w:rPr>
            </w:pPr>
          </w:p>
        </w:tc>
        <w:tc>
          <w:tcPr>
            <w:tcW w:w="1134" w:type="dxa"/>
            <w:vMerge w:val="continue"/>
            <w:vAlign w:val="center"/>
          </w:tcPr>
          <w:p w14:paraId="3013D876">
            <w:pPr>
              <w:spacing w:line="300" w:lineRule="exact"/>
              <w:jc w:val="left"/>
              <w:outlineLvl w:val="0"/>
              <w:rPr>
                <w:color w:val="000000" w:themeColor="text1"/>
                <w14:textFill>
                  <w14:solidFill>
                    <w14:schemeClr w14:val="tx1"/>
                  </w14:solidFill>
                </w14:textFill>
              </w:rPr>
            </w:pPr>
          </w:p>
        </w:tc>
        <w:tc>
          <w:tcPr>
            <w:tcW w:w="1276" w:type="dxa"/>
            <w:vMerge w:val="continue"/>
            <w:vAlign w:val="center"/>
          </w:tcPr>
          <w:p w14:paraId="0C2B7785">
            <w:pPr>
              <w:spacing w:line="300" w:lineRule="exact"/>
              <w:jc w:val="left"/>
              <w:outlineLvl w:val="0"/>
              <w:rPr>
                <w:color w:val="000000" w:themeColor="text1"/>
                <w14:textFill>
                  <w14:solidFill>
                    <w14:schemeClr w14:val="tx1"/>
                  </w14:solidFill>
                </w14:textFill>
              </w:rPr>
            </w:pPr>
          </w:p>
        </w:tc>
        <w:tc>
          <w:tcPr>
            <w:tcW w:w="2902" w:type="dxa"/>
            <w:vMerge w:val="continue"/>
            <w:vAlign w:val="center"/>
          </w:tcPr>
          <w:p w14:paraId="0070C06A">
            <w:pPr>
              <w:spacing w:line="300" w:lineRule="exact"/>
              <w:jc w:val="left"/>
              <w:outlineLvl w:val="0"/>
              <w:rPr>
                <w:color w:val="000000" w:themeColor="text1"/>
                <w14:textFill>
                  <w14:solidFill>
                    <w14:schemeClr w14:val="tx1"/>
                  </w14:solidFill>
                </w14:textFill>
              </w:rPr>
            </w:pPr>
          </w:p>
        </w:tc>
      </w:tr>
      <w:tr w14:paraId="3BED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417" w:type="dxa"/>
            <w:vAlign w:val="center"/>
          </w:tcPr>
          <w:p w14:paraId="47432C87">
            <w:pPr>
              <w:spacing w:line="300" w:lineRule="exact"/>
              <w:jc w:val="left"/>
              <w:rPr>
                <w:rFonts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石家庄市藁城区科学技术协会</w:t>
            </w:r>
          </w:p>
        </w:tc>
        <w:tc>
          <w:tcPr>
            <w:tcW w:w="1134" w:type="dxa"/>
            <w:vAlign w:val="center"/>
          </w:tcPr>
          <w:p w14:paraId="4D4AC6E4">
            <w:pPr>
              <w:spacing w:line="300" w:lineRule="exact"/>
              <w:jc w:val="center"/>
              <w:rPr>
                <w:rFonts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事业</w:t>
            </w:r>
          </w:p>
        </w:tc>
        <w:tc>
          <w:tcPr>
            <w:tcW w:w="1276" w:type="dxa"/>
            <w:vAlign w:val="center"/>
          </w:tcPr>
          <w:p w14:paraId="24A4CCDC">
            <w:pPr>
              <w:spacing w:line="300" w:lineRule="exact"/>
              <w:jc w:val="center"/>
              <w:rPr>
                <w:rFonts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正科级</w:t>
            </w:r>
          </w:p>
        </w:tc>
        <w:tc>
          <w:tcPr>
            <w:tcW w:w="2902" w:type="dxa"/>
            <w:vAlign w:val="center"/>
          </w:tcPr>
          <w:p w14:paraId="78F14F31">
            <w:pPr>
              <w:spacing w:line="300" w:lineRule="exact"/>
              <w:jc w:val="center"/>
              <w:rPr>
                <w:rFonts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财政拨款</w:t>
            </w:r>
          </w:p>
        </w:tc>
      </w:tr>
      <w:tr w14:paraId="4F83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B449B65">
            <w:pPr>
              <w:spacing w:line="300" w:lineRule="exact"/>
              <w:jc w:val="left"/>
              <w:rPr>
                <w:rFonts w:eastAsia="方正书宋_GBK"/>
                <w:color w:val="000000" w:themeColor="text1"/>
                <w14:textFill>
                  <w14:solidFill>
                    <w14:schemeClr w14:val="tx1"/>
                  </w14:solidFill>
                </w14:textFill>
              </w:rPr>
            </w:pPr>
          </w:p>
        </w:tc>
        <w:tc>
          <w:tcPr>
            <w:tcW w:w="1134" w:type="dxa"/>
            <w:vAlign w:val="center"/>
          </w:tcPr>
          <w:p w14:paraId="697B551F">
            <w:pPr>
              <w:spacing w:line="300" w:lineRule="exact"/>
              <w:jc w:val="center"/>
              <w:rPr>
                <w:rFonts w:eastAsia="方正书宋_GBK"/>
                <w:color w:val="000000" w:themeColor="text1"/>
                <w14:textFill>
                  <w14:solidFill>
                    <w14:schemeClr w14:val="tx1"/>
                  </w14:solidFill>
                </w14:textFill>
              </w:rPr>
            </w:pPr>
          </w:p>
        </w:tc>
        <w:tc>
          <w:tcPr>
            <w:tcW w:w="1276" w:type="dxa"/>
            <w:vAlign w:val="center"/>
          </w:tcPr>
          <w:p w14:paraId="5A38A211">
            <w:pPr>
              <w:spacing w:line="300" w:lineRule="exact"/>
              <w:jc w:val="center"/>
              <w:rPr>
                <w:rFonts w:eastAsia="方正书宋_GBK"/>
                <w:color w:val="000000" w:themeColor="text1"/>
                <w14:textFill>
                  <w14:solidFill>
                    <w14:schemeClr w14:val="tx1"/>
                  </w14:solidFill>
                </w14:textFill>
              </w:rPr>
            </w:pPr>
          </w:p>
        </w:tc>
        <w:tc>
          <w:tcPr>
            <w:tcW w:w="2902" w:type="dxa"/>
            <w:vAlign w:val="center"/>
          </w:tcPr>
          <w:p w14:paraId="7F55898E">
            <w:pPr>
              <w:spacing w:line="300" w:lineRule="exact"/>
              <w:jc w:val="center"/>
              <w:rPr>
                <w:rFonts w:eastAsia="方正书宋_GBK"/>
                <w:color w:val="000000" w:themeColor="text1"/>
                <w14:textFill>
                  <w14:solidFill>
                    <w14:schemeClr w14:val="tx1"/>
                  </w14:solidFill>
                </w14:textFill>
              </w:rPr>
            </w:pPr>
          </w:p>
        </w:tc>
      </w:tr>
      <w:tr w14:paraId="091E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228F5FB8">
            <w:pPr>
              <w:spacing w:line="300" w:lineRule="exact"/>
              <w:jc w:val="left"/>
              <w:rPr>
                <w:rFonts w:ascii="方正书宋_GBK" w:eastAsia="方正书宋_GBK"/>
                <w:color w:val="000000" w:themeColor="text1"/>
                <w14:textFill>
                  <w14:solidFill>
                    <w14:schemeClr w14:val="tx1"/>
                  </w14:solidFill>
                </w14:textFill>
              </w:rPr>
            </w:pPr>
          </w:p>
        </w:tc>
        <w:tc>
          <w:tcPr>
            <w:tcW w:w="1134" w:type="dxa"/>
            <w:vAlign w:val="center"/>
          </w:tcPr>
          <w:p w14:paraId="235A0FC8">
            <w:pPr>
              <w:spacing w:line="300" w:lineRule="exact"/>
              <w:jc w:val="center"/>
              <w:rPr>
                <w:rFonts w:eastAsia="方正书宋_GBK"/>
                <w:color w:val="000000" w:themeColor="text1"/>
                <w14:textFill>
                  <w14:solidFill>
                    <w14:schemeClr w14:val="tx1"/>
                  </w14:solidFill>
                </w14:textFill>
              </w:rPr>
            </w:pPr>
          </w:p>
        </w:tc>
        <w:tc>
          <w:tcPr>
            <w:tcW w:w="1276" w:type="dxa"/>
            <w:vAlign w:val="center"/>
          </w:tcPr>
          <w:p w14:paraId="5AF1A484">
            <w:pPr>
              <w:spacing w:line="300" w:lineRule="exact"/>
              <w:jc w:val="center"/>
              <w:rPr>
                <w:rFonts w:eastAsia="方正书宋_GBK"/>
                <w:color w:val="000000" w:themeColor="text1"/>
                <w14:textFill>
                  <w14:solidFill>
                    <w14:schemeClr w14:val="tx1"/>
                  </w14:solidFill>
                </w14:textFill>
              </w:rPr>
            </w:pPr>
          </w:p>
        </w:tc>
        <w:tc>
          <w:tcPr>
            <w:tcW w:w="2902" w:type="dxa"/>
            <w:vAlign w:val="center"/>
          </w:tcPr>
          <w:p w14:paraId="691E6421">
            <w:pPr>
              <w:spacing w:line="300" w:lineRule="exact"/>
              <w:jc w:val="center"/>
              <w:rPr>
                <w:rFonts w:ascii="方正书宋_GBK" w:eastAsia="方正书宋_GBK"/>
                <w:color w:val="000000" w:themeColor="text1"/>
                <w14:textFill>
                  <w14:solidFill>
                    <w14:schemeClr w14:val="tx1"/>
                  </w14:solidFill>
                </w14:textFill>
              </w:rPr>
            </w:pPr>
          </w:p>
        </w:tc>
      </w:tr>
    </w:tbl>
    <w:p w14:paraId="70BED6CC">
      <w:pPr>
        <w:snapToGrid w:val="0"/>
        <w:spacing w:line="520" w:lineRule="exact"/>
        <w:ind w:firstLine="630"/>
        <w:rPr>
          <w:rFonts w:ascii="黑体" w:hAnsi="黑体" w:eastAsia="黑体"/>
          <w:sz w:val="32"/>
          <w:szCs w:val="32"/>
        </w:rPr>
      </w:pPr>
      <w:r>
        <w:rPr>
          <w:rFonts w:hint="eastAsia" w:ascii="黑体" w:hAnsi="黑体" w:eastAsia="黑体"/>
          <w:sz w:val="32"/>
          <w:szCs w:val="32"/>
        </w:rPr>
        <w:t>3、人员情况：</w:t>
      </w:r>
    </w:p>
    <w:p w14:paraId="6D928470">
      <w:pPr>
        <w:snapToGrid w:val="0"/>
        <w:spacing w:line="520" w:lineRule="exact"/>
        <w:ind w:firstLine="630"/>
        <w:rPr>
          <w:rFonts w:hint="eastAsia" w:ascii="仿宋_GB2312" w:hAnsi="仿宋_GB2312" w:eastAsia="仿宋_GB2312" w:cs="仿宋_GB2312"/>
          <w:sz w:val="32"/>
          <w:szCs w:val="32"/>
          <w:highlight w:val="none"/>
          <w:lang w:eastAsia="zh-CN"/>
        </w:rPr>
      </w:pPr>
      <w:r>
        <w:rPr>
          <w:rFonts w:hint="eastAsia" w:eastAsia="仿宋"/>
          <w:color w:val="000000" w:themeColor="text1"/>
          <w:sz w:val="32"/>
          <w:szCs w:val="32"/>
          <w14:textFill>
            <w14:solidFill>
              <w14:schemeClr w14:val="tx1"/>
            </w14:solidFill>
          </w14:textFill>
        </w:rPr>
        <w:t>我单位202</w:t>
      </w:r>
      <w:r>
        <w:rPr>
          <w:rFonts w:hint="eastAsia" w:eastAsia="仿宋"/>
          <w:color w:val="000000" w:themeColor="text1"/>
          <w:sz w:val="32"/>
          <w:szCs w:val="32"/>
          <w:lang w:val="en-US" w:eastAsia="zh-CN"/>
          <w14:textFill>
            <w14:solidFill>
              <w14:schemeClr w14:val="tx1"/>
            </w14:solidFill>
          </w14:textFill>
        </w:rPr>
        <w:t>3</w:t>
      </w:r>
      <w:r>
        <w:rPr>
          <w:rFonts w:hint="eastAsia" w:eastAsia="仿宋"/>
          <w:color w:val="000000" w:themeColor="text1"/>
          <w:sz w:val="32"/>
          <w:szCs w:val="32"/>
          <w14:textFill>
            <w14:solidFill>
              <w14:schemeClr w14:val="tx1"/>
            </w14:solidFill>
          </w14:textFill>
        </w:rPr>
        <w:t>年底实有8人，</w:t>
      </w:r>
      <w:r>
        <w:rPr>
          <w:rFonts w:hint="eastAsia" w:eastAsia="仿宋"/>
          <w:color w:val="000000" w:themeColor="text1"/>
          <w:sz w:val="32"/>
          <w:szCs w:val="32"/>
          <w:lang w:eastAsia="zh-CN"/>
          <w14:textFill>
            <w14:solidFill>
              <w14:schemeClr w14:val="tx1"/>
            </w14:solidFill>
          </w14:textFill>
        </w:rPr>
        <w:t>与上年持平</w:t>
      </w:r>
      <w:r>
        <w:rPr>
          <w:rFonts w:hint="eastAsia" w:eastAsia="仿宋"/>
          <w:color w:val="000000" w:themeColor="text1"/>
          <w:sz w:val="32"/>
          <w:szCs w:val="32"/>
          <w14:textFill>
            <w14:solidFill>
              <w14:schemeClr w14:val="tx1"/>
            </w14:solidFill>
          </w14:textFill>
        </w:rPr>
        <w:t>。</w:t>
      </w:r>
    </w:p>
    <w:p w14:paraId="20BA79C3">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35B88DE8">
      <w:pPr>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年本单位收入年初预算安排为</w:t>
      </w:r>
      <w:r>
        <w:rPr>
          <w:rFonts w:hint="eastAsia" w:ascii="仿宋_GB2312" w:hAnsi="仿宋_GB2312" w:eastAsia="仿宋_GB2312" w:cs="仿宋_GB2312"/>
          <w:sz w:val="32"/>
          <w:szCs w:val="32"/>
          <w:lang w:val="en-US" w:eastAsia="zh-CN"/>
        </w:rPr>
        <w:t>207.11</w:t>
      </w:r>
      <w:r>
        <w:rPr>
          <w:rFonts w:hint="eastAsia" w:ascii="仿宋_GB2312" w:hAnsi="仿宋_GB2312" w:eastAsia="仿宋_GB2312" w:cs="仿宋_GB2312"/>
          <w:sz w:val="32"/>
          <w:szCs w:val="32"/>
        </w:rPr>
        <w:t xml:space="preserve">万元， </w:t>
      </w:r>
      <w:r>
        <w:rPr>
          <w:rFonts w:hint="eastAsia" w:ascii="仿宋_GB2312" w:hAnsi="仿宋_GB2312" w:eastAsia="仿宋_GB2312" w:cs="仿宋_GB2312"/>
          <w:sz w:val="32"/>
          <w:szCs w:val="32"/>
          <w:lang w:eastAsia="zh-CN"/>
        </w:rPr>
        <w:t>其中项目预算收入</w:t>
      </w:r>
      <w:r>
        <w:rPr>
          <w:rFonts w:hint="eastAsia" w:ascii="仿宋_GB2312" w:hAnsi="仿宋_GB2312" w:eastAsia="仿宋_GB2312" w:cs="仿宋_GB2312"/>
          <w:sz w:val="32"/>
          <w:szCs w:val="32"/>
          <w:lang w:val="en-US" w:eastAsia="zh-CN"/>
        </w:rPr>
        <w:t>12万元、</w:t>
      </w:r>
      <w:r>
        <w:rPr>
          <w:rFonts w:hint="eastAsia" w:ascii="仿宋_GB2312" w:hAnsi="仿宋_GB2312" w:eastAsia="仿宋_GB2312" w:cs="仿宋_GB2312"/>
          <w:sz w:val="32"/>
          <w:szCs w:val="32"/>
        </w:rPr>
        <w:t>支出年初预算安排为</w:t>
      </w:r>
      <w:r>
        <w:rPr>
          <w:rFonts w:hint="eastAsia" w:ascii="仿宋_GB2312" w:hAnsi="仿宋_GB2312" w:eastAsia="仿宋_GB2312" w:cs="仿宋_GB2312"/>
          <w:sz w:val="32"/>
          <w:szCs w:val="32"/>
          <w:lang w:val="en-US" w:eastAsia="zh-CN"/>
        </w:rPr>
        <w:t>207.11</w:t>
      </w:r>
      <w:r>
        <w:rPr>
          <w:rFonts w:hint="eastAsia" w:ascii="仿宋_GB2312" w:hAnsi="仿宋_GB2312" w:eastAsia="仿宋_GB2312" w:cs="仿宋_GB2312"/>
          <w:sz w:val="32"/>
          <w:szCs w:val="32"/>
        </w:rPr>
        <w:t>万</w:t>
      </w:r>
      <w:r>
        <w:rPr>
          <w:rFonts w:hint="eastAsia" w:ascii="仿宋_GB2312" w:hAnsi="仿宋_GB2312" w:eastAsia="仿宋_GB2312" w:cs="仿宋_GB2312"/>
          <w:sz w:val="32"/>
          <w:szCs w:val="32"/>
          <w:lang w:eastAsia="zh-CN"/>
        </w:rPr>
        <w:t>，其中项目预算支出</w:t>
      </w:r>
      <w:r>
        <w:rPr>
          <w:rFonts w:hint="eastAsia" w:ascii="仿宋_GB2312" w:hAnsi="仿宋_GB2312" w:eastAsia="仿宋_GB2312" w:cs="仿宋_GB2312"/>
          <w:sz w:val="32"/>
          <w:szCs w:val="32"/>
          <w:lang w:val="en-US" w:eastAsia="zh-CN"/>
        </w:rPr>
        <w:t>12万元</w:t>
      </w:r>
      <w:r>
        <w:rPr>
          <w:rFonts w:hint="eastAsia" w:ascii="仿宋_GB2312" w:hAnsi="仿宋_GB2312" w:eastAsia="仿宋_GB2312" w:cs="仿宋_GB2312"/>
          <w:sz w:val="32"/>
          <w:szCs w:val="32"/>
        </w:rPr>
        <w:t>。</w:t>
      </w:r>
    </w:p>
    <w:p w14:paraId="45171094">
      <w:pPr>
        <w:snapToGrid w:val="0"/>
        <w:spacing w:line="520" w:lineRule="exact"/>
        <w:ind w:firstLine="640" w:firstLineChars="200"/>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年本单位收入</w:t>
      </w:r>
      <w:r>
        <w:rPr>
          <w:rFonts w:hint="eastAsia" w:ascii="仿宋_GB2312" w:hAnsi="仿宋_GB2312" w:eastAsia="仿宋_GB2312" w:cs="仿宋_GB2312"/>
          <w:sz w:val="32"/>
          <w:szCs w:val="32"/>
          <w:lang w:eastAsia="zh-CN"/>
        </w:rPr>
        <w:t>年底决算</w:t>
      </w:r>
      <w:r>
        <w:rPr>
          <w:rFonts w:hint="eastAsia" w:ascii="仿宋_GB2312" w:hAnsi="仿宋_GB2312" w:eastAsia="仿宋_GB2312" w:cs="仿宋_GB2312"/>
          <w:sz w:val="32"/>
          <w:szCs w:val="32"/>
        </w:rPr>
        <w:t>安排为</w:t>
      </w:r>
      <w:r>
        <w:rPr>
          <w:rFonts w:hint="eastAsia" w:ascii="仿宋_GB2312" w:hAnsi="仿宋_GB2312" w:eastAsia="仿宋_GB2312" w:cs="仿宋_GB2312"/>
          <w:sz w:val="32"/>
          <w:szCs w:val="32"/>
          <w:lang w:val="en-US" w:eastAsia="zh-CN"/>
        </w:rPr>
        <w:t>192.99</w:t>
      </w:r>
      <w:r>
        <w:rPr>
          <w:rFonts w:hint="eastAsia" w:ascii="仿宋_GB2312" w:hAnsi="仿宋_GB2312" w:eastAsia="仿宋_GB2312" w:cs="仿宋_GB2312"/>
          <w:sz w:val="32"/>
          <w:szCs w:val="32"/>
        </w:rPr>
        <w:t xml:space="preserve">万元， </w:t>
      </w:r>
      <w:r>
        <w:rPr>
          <w:rFonts w:hint="eastAsia" w:ascii="仿宋_GB2312" w:hAnsi="仿宋_GB2312" w:eastAsia="仿宋_GB2312" w:cs="仿宋_GB2312"/>
          <w:sz w:val="32"/>
          <w:szCs w:val="32"/>
          <w:lang w:eastAsia="zh-CN"/>
        </w:rPr>
        <w:t>其中项目决算收入</w:t>
      </w:r>
      <w:r>
        <w:rPr>
          <w:rFonts w:hint="eastAsia" w:ascii="仿宋_GB2312" w:hAnsi="仿宋_GB2312" w:eastAsia="仿宋_GB2312" w:cs="仿宋_GB2312"/>
          <w:sz w:val="32"/>
          <w:szCs w:val="32"/>
          <w:lang w:val="en-US" w:eastAsia="zh-CN"/>
        </w:rPr>
        <w:t>17万元、</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eastAsia="zh-CN"/>
        </w:rPr>
        <w:t>年底决算</w:t>
      </w:r>
      <w:r>
        <w:rPr>
          <w:rFonts w:hint="eastAsia" w:ascii="仿宋_GB2312" w:hAnsi="仿宋_GB2312" w:eastAsia="仿宋_GB2312" w:cs="仿宋_GB2312"/>
          <w:sz w:val="32"/>
          <w:szCs w:val="32"/>
        </w:rPr>
        <w:t>安排为</w:t>
      </w:r>
      <w:r>
        <w:rPr>
          <w:rFonts w:hint="eastAsia" w:ascii="仿宋_GB2312" w:hAnsi="仿宋_GB2312" w:eastAsia="仿宋_GB2312" w:cs="仿宋_GB2312"/>
          <w:sz w:val="32"/>
          <w:szCs w:val="32"/>
          <w:lang w:val="en-US" w:eastAsia="zh-CN"/>
        </w:rPr>
        <w:t>192.99</w:t>
      </w:r>
      <w:r>
        <w:rPr>
          <w:rFonts w:hint="eastAsia" w:ascii="仿宋_GB2312" w:hAnsi="仿宋_GB2312" w:eastAsia="仿宋_GB2312" w:cs="仿宋_GB2312"/>
          <w:sz w:val="32"/>
          <w:szCs w:val="32"/>
        </w:rPr>
        <w:t>万</w:t>
      </w:r>
      <w:r>
        <w:rPr>
          <w:rFonts w:hint="eastAsia" w:ascii="仿宋_GB2312" w:hAnsi="仿宋_GB2312" w:eastAsia="仿宋_GB2312" w:cs="仿宋_GB2312"/>
          <w:sz w:val="32"/>
          <w:szCs w:val="32"/>
          <w:lang w:eastAsia="zh-CN"/>
        </w:rPr>
        <w:t>，其中项目决算支出</w:t>
      </w:r>
      <w:r>
        <w:rPr>
          <w:rFonts w:hint="eastAsia" w:ascii="仿宋_GB2312" w:hAnsi="仿宋_GB2312" w:eastAsia="仿宋_GB2312" w:cs="仿宋_GB2312"/>
          <w:sz w:val="32"/>
          <w:szCs w:val="32"/>
          <w:lang w:val="en-US" w:eastAsia="zh-CN"/>
        </w:rPr>
        <w:t>17万元</w:t>
      </w:r>
      <w:r>
        <w:rPr>
          <w:rFonts w:hint="eastAsia" w:ascii="仿宋_GB2312" w:hAnsi="仿宋_GB2312" w:eastAsia="仿宋_GB2312" w:cs="仿宋_GB2312"/>
          <w:sz w:val="32"/>
          <w:szCs w:val="32"/>
        </w:rPr>
        <w:t>。</w:t>
      </w:r>
    </w:p>
    <w:p w14:paraId="575A2A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15745D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以习近平新时代中国特色社会主义思想为指导，严格落实习近平总书记讲的“科技兴则民族兴，科技强则国家强”的总体思路，全面贯彻党的二十大精神，按照必须坚持科技是第一生产力、人才是第一资源、创新是第一动力的新要求，新部署，采取多种措施，加大工作力度，并且围绕区委区政府2023年度重点工作任务，加大科协改革协调推进力度，发挥好科协组织作用，一是认真做好全国科普日、科技活动周等大型科普宣传活动、二是进一步加大基层科协“3+1”工作力度，大力开展新时代文明实践活动、三是继续开展“科学素质提升工程进农村”活动和“科技三下乡”活动、四是积极做好“科技志愿服务工作站试点建设”项目的争引工作。抓住我区作为全国新时代文明实践活动试点的有利时机，积极向上争引，争取项目落地实施，以此促进我区新时代文明实践中心建设与科技志愿服务融合发展，并将新时代文明实践中心作为科技志愿者开展惠民服务的重要阵地，积极为广大科技志愿者搭建干事创业平台，提升科技志愿服务制度化规范化水平。</w:t>
      </w:r>
    </w:p>
    <w:p w14:paraId="3BB334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绩效目标：协调科协系统改革工作，结合提升基层组织力，进一步开展一</w:t>
      </w:r>
      <w:r>
        <w:rPr>
          <w:rFonts w:hint="eastAsia" w:ascii="仿宋_GB2312" w:hAnsi="仿宋_GB2312" w:eastAsia="仿宋_GB2312" w:cs="仿宋_GB2312"/>
          <w:sz w:val="32"/>
          <w:szCs w:val="32"/>
          <w:highlight w:val="none"/>
          <w:lang w:eastAsia="zh-CN"/>
        </w:rPr>
        <w:t>是认真做好全国科普日、科技活动周等大型科普宣传活动、二是</w:t>
      </w:r>
      <w:r>
        <w:rPr>
          <w:rFonts w:hint="eastAsia" w:ascii="仿宋_GB2312" w:hAnsi="仿宋_GB2312" w:eastAsia="仿宋_GB2312" w:cs="仿宋_GB2312"/>
          <w:sz w:val="32"/>
          <w:szCs w:val="32"/>
          <w:highlight w:val="none"/>
          <w:lang w:val="en-US" w:eastAsia="zh-CN"/>
        </w:rPr>
        <w:t>进一步加大基层科协“3+1”工作力度，大力开展新时代文明实践活动、三</w:t>
      </w:r>
      <w:r>
        <w:rPr>
          <w:rFonts w:hint="eastAsia" w:ascii="仿宋_GB2312" w:hAnsi="仿宋_GB2312" w:eastAsia="仿宋_GB2312" w:cs="仿宋_GB2312"/>
          <w:sz w:val="32"/>
          <w:szCs w:val="32"/>
          <w:highlight w:val="none"/>
          <w:lang w:eastAsia="zh-CN"/>
        </w:rPr>
        <w:t>是继续开展“科学素质提升工程进农村”活动和“科技三下乡”活动、</w:t>
      </w:r>
      <w:r>
        <w:rPr>
          <w:rFonts w:hint="eastAsia" w:ascii="仿宋_GB2312" w:hAnsi="仿宋_GB2312" w:eastAsia="仿宋_GB2312" w:cs="仿宋_GB2312"/>
          <w:sz w:val="32"/>
          <w:szCs w:val="32"/>
          <w:highlight w:val="none"/>
          <w:lang w:val="en-US" w:eastAsia="zh-CN"/>
        </w:rPr>
        <w:t xml:space="preserve">四是积极做好“科技志愿服务工作站试点建设”项目的争引工作。实现“普及科学知识、倡导科学方法、传播科学思想、弘扬科学精神”的目的。 </w:t>
      </w:r>
    </w:p>
    <w:p w14:paraId="6A50AC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绩效指标：推广农业先进和实用技术数量实现社会科普资源共享程度提高，全国和县级科普示范县科普特色项目建设成效明显，科普能力不断增强。大力开展科学普及和推广，倡导科学方法、传播科学思想、弘扬科学精神，提高全民科学素质，通过对科普知识的传播,来提高人们的科学素养,弘扬科学精神。各类科普业务工作谋划到位、开展有序，助推科普事业发展能力提升，利用“互联网+科协”的方法推进科普工作，探索为科技工作者服务新思路，有效组织和引领广大科技工作者开展科普工作。</w:t>
      </w:r>
    </w:p>
    <w:p w14:paraId="478BA11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20C26A4">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14:paraId="30E7FAF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eastAsia="仿宋_GB2312"/>
          <w:sz w:val="32"/>
        </w:rPr>
        <w:t>按照《藁城区财政局关于开展专项资金绩效自评的通知》文件要求，我单位高度重视绩效自评工作，成立了绩效评估领导小组，由区科协主席夏俊杰任组长，区</w:t>
      </w:r>
      <w:r>
        <w:rPr>
          <w:rFonts w:hint="eastAsia" w:ascii="仿宋_GB2312" w:eastAsia="仿宋_GB2312"/>
          <w:sz w:val="32"/>
          <w:lang w:eastAsia="zh-CN"/>
        </w:rPr>
        <w:t>科协</w:t>
      </w:r>
      <w:r>
        <w:rPr>
          <w:rFonts w:hint="eastAsia" w:ascii="仿宋_GB2312" w:eastAsia="仿宋_GB2312"/>
          <w:sz w:val="32"/>
        </w:rPr>
        <w:t>副主席、赵阳担任副组长，郝建永、陆建霞为小组成员。在自评工作开展过程中多次召开专题会议，将年度绩效指标分解到具体完成的工作中进行评价，绩效自评覆盖率达到了100% 。共有项目</w:t>
      </w:r>
      <w:r>
        <w:rPr>
          <w:rFonts w:hint="eastAsia" w:ascii="仿宋_GB2312" w:eastAsia="仿宋_GB2312"/>
          <w:sz w:val="32"/>
          <w:lang w:val="en-US" w:eastAsia="zh-CN"/>
        </w:rPr>
        <w:t>4</w:t>
      </w:r>
      <w:r>
        <w:rPr>
          <w:rFonts w:hint="eastAsia" w:ascii="仿宋_GB2312" w:eastAsia="仿宋_GB2312"/>
          <w:sz w:val="32"/>
        </w:rPr>
        <w:t>个，涉及资金</w:t>
      </w:r>
      <w:r>
        <w:rPr>
          <w:rFonts w:hint="eastAsia" w:ascii="仿宋_GB2312" w:eastAsia="仿宋_GB2312"/>
          <w:sz w:val="32"/>
          <w:lang w:val="en-US" w:eastAsia="zh-CN"/>
        </w:rPr>
        <w:t>17</w:t>
      </w:r>
      <w:r>
        <w:rPr>
          <w:rFonts w:hint="eastAsia" w:ascii="仿宋_GB2312" w:eastAsia="仿宋_GB2312"/>
          <w:sz w:val="32"/>
        </w:rPr>
        <w:t>万元，为一般公共预算项目支出 。</w:t>
      </w:r>
    </w:p>
    <w:p w14:paraId="4A348C7D">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6481E4FC">
      <w:pPr>
        <w:spacing w:line="560" w:lineRule="exact"/>
        <w:ind w:firstLine="640" w:firstLineChars="200"/>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w:t>
      </w:r>
      <w:r>
        <w:rPr>
          <w:rFonts w:hint="eastAsia" w:ascii="仿宋_GB2312" w:eastAsia="仿宋_GB2312"/>
          <w:sz w:val="32"/>
        </w:rPr>
        <w:t>我单位组织主管业务人员对项目实施过程全程管理，有效保证了管理制度健全性、制度执行有效性和项目质量可控性，并且项目实施过程中，严格遵守财务制度及财务规范，资金使用账目清晰，票据及相关附件齐全，资金使用合规可控。</w:t>
      </w:r>
    </w:p>
    <w:p w14:paraId="1B8E507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21BE07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0009C153">
      <w:pPr>
        <w:autoSpaceDE w:val="0"/>
        <w:autoSpaceDN w:val="0"/>
        <w:adjustRightInd w:val="0"/>
        <w:ind w:left="198" w:firstLine="640" w:firstLineChars="200"/>
        <w:jc w:val="left"/>
        <w:rPr>
          <w:rFonts w:hint="eastAsia" w:ascii="楷体_GB2312" w:hAnsi="楷体_GB2312" w:eastAsia="楷体_GB2312" w:cs="楷体_GB2312"/>
          <w:bCs/>
          <w:sz w:val="32"/>
          <w:szCs w:val="32"/>
        </w:rPr>
      </w:pPr>
      <w:r>
        <w:rPr>
          <w:rFonts w:hint="eastAsia" w:ascii="仿宋" w:hAnsi="仿宋" w:eastAsia="仿宋" w:cs="仿宋"/>
          <w:color w:val="000000" w:themeColor="text1"/>
          <w:sz w:val="32"/>
          <w:szCs w:val="32"/>
          <w14:textFill>
            <w14:solidFill>
              <w14:schemeClr w14:val="tx1"/>
            </w14:solidFill>
          </w14:textFill>
        </w:rPr>
        <w:t>以习近平新时代中国特色社会主义思想为指导，</w:t>
      </w:r>
      <w:r>
        <w:rPr>
          <w:rFonts w:hint="eastAsia" w:ascii="仿宋" w:hAnsi="仿宋" w:eastAsia="仿宋" w:cs="仿宋"/>
          <w:color w:val="000000" w:themeColor="text1"/>
          <w:sz w:val="32"/>
          <w:szCs w:val="32"/>
          <w:shd w:val="clear" w:color="auto" w:fill="FFFFFF"/>
          <w14:textFill>
            <w14:solidFill>
              <w14:schemeClr w14:val="tx1"/>
            </w14:solidFill>
          </w14:textFill>
        </w:rPr>
        <w:t>严格落实习近平总书记讲的“科技兴则民族兴，科技强则国家强”的总体思路，</w:t>
      </w:r>
      <w:r>
        <w:rPr>
          <w:rFonts w:hint="eastAsia" w:ascii="仿宋" w:hAnsi="仿宋" w:eastAsia="仿宋" w:cs="仿宋"/>
          <w:color w:val="000000" w:themeColor="text1"/>
          <w:sz w:val="32"/>
          <w:szCs w:val="32"/>
          <w14:textFill>
            <w14:solidFill>
              <w14:schemeClr w14:val="tx1"/>
            </w14:solidFill>
          </w14:textFill>
        </w:rPr>
        <w:t>加大科协改革协调推进力度，</w:t>
      </w:r>
      <w:r>
        <w:rPr>
          <w:rFonts w:hint="eastAsia" w:ascii="仿宋" w:hAnsi="仿宋" w:eastAsia="仿宋" w:cs="仿宋"/>
          <w:color w:val="000000" w:themeColor="text1"/>
          <w:sz w:val="32"/>
          <w:szCs w:val="32"/>
          <w:shd w:val="clear" w:color="auto" w:fill="FFFFFF"/>
          <w14:textFill>
            <w14:solidFill>
              <w14:schemeClr w14:val="tx1"/>
            </w14:solidFill>
          </w14:textFill>
        </w:rPr>
        <w:t>发挥好科协组织作用，</w:t>
      </w:r>
      <w:r>
        <w:rPr>
          <w:rFonts w:hint="eastAsia" w:ascii="仿宋" w:hAnsi="仿宋" w:eastAsia="仿宋" w:cs="仿宋"/>
          <w:color w:val="000000" w:themeColor="text1"/>
          <w:sz w:val="32"/>
          <w:szCs w:val="32"/>
          <w14:textFill>
            <w14:solidFill>
              <w14:schemeClr w14:val="tx1"/>
            </w14:solidFill>
          </w14:textFill>
        </w:rPr>
        <w:t>大力开展科学普及和推广，</w:t>
      </w:r>
      <w:r>
        <w:rPr>
          <w:rFonts w:hint="eastAsia" w:eastAsia="方正仿宋_GBK"/>
          <w:b/>
          <w:color w:val="000000" w:themeColor="text1"/>
          <w:sz w:val="32"/>
          <w:szCs w:val="32"/>
          <w14:textFill>
            <w14:solidFill>
              <w14:schemeClr w14:val="tx1"/>
            </w14:solidFill>
          </w14:textFill>
        </w:rPr>
        <w:fldChar w:fldCharType="begin"/>
      </w:r>
      <w:r>
        <w:rPr>
          <w:rFonts w:hint="eastAsia" w:eastAsia="方正仿宋_GBK"/>
          <w:b/>
          <w:color w:val="000000" w:themeColor="text1"/>
          <w:sz w:val="32"/>
          <w:szCs w:val="32"/>
          <w14:textFill>
            <w14:solidFill>
              <w14:schemeClr w14:val="tx1"/>
            </w14:solidFill>
          </w14:textFill>
        </w:rPr>
        <w:instrText xml:space="preserve"> TC </w:instrText>
      </w:r>
      <w:bookmarkStart w:id="0" w:name="_Toc29484628"/>
      <w:r>
        <w:rPr>
          <w:rFonts w:hint="eastAsia" w:eastAsia="方正仿宋_GBK"/>
          <w:b/>
          <w:color w:val="000000" w:themeColor="text1"/>
          <w:sz w:val="32"/>
          <w:szCs w:val="32"/>
          <w14:textFill>
            <w14:solidFill>
              <w14:schemeClr w14:val="tx1"/>
            </w14:solidFill>
          </w14:textFill>
        </w:rPr>
        <w:instrText xml:space="preserve">总体绩效目标</w:instrText>
      </w:r>
      <w:bookmarkEnd w:id="0"/>
      <w:r>
        <w:rPr>
          <w:rFonts w:hint="eastAsia" w:eastAsia="方正仿宋_GBK"/>
          <w:b/>
          <w:color w:val="000000" w:themeColor="text1"/>
          <w:sz w:val="32"/>
          <w:szCs w:val="32"/>
          <w14:textFill>
            <w14:solidFill>
              <w14:schemeClr w14:val="tx1"/>
            </w14:solidFill>
          </w14:textFill>
        </w:rPr>
        <w:instrText xml:space="preserve"> \f A \l 1 </w:instrText>
      </w:r>
      <w:r>
        <w:rPr>
          <w:rFonts w:hint="eastAsia" w:eastAsia="方正仿宋_GBK"/>
          <w:b/>
          <w:color w:val="000000" w:themeColor="text1"/>
          <w:sz w:val="32"/>
          <w:szCs w:val="32"/>
          <w14:textFill>
            <w14:solidFill>
              <w14:schemeClr w14:val="tx1"/>
            </w14:solidFill>
          </w14:textFill>
        </w:rPr>
        <w:fldChar w:fldCharType="end"/>
      </w:r>
      <w:r>
        <w:rPr>
          <w:rFonts w:hint="eastAsia" w:ascii="仿宋" w:hAnsi="仿宋" w:eastAsia="仿宋" w:cs="仿宋"/>
          <w:color w:val="000000" w:themeColor="text1"/>
          <w:sz w:val="32"/>
          <w:szCs w:val="32"/>
          <w14:textFill>
            <w14:solidFill>
              <w14:schemeClr w14:val="tx1"/>
            </w14:solidFill>
          </w14:textFill>
        </w:rPr>
        <w:t>协调科协系统改革工作，结合提升基层组织力，进一步开展“科学素质提升工程进农村”，组织协调有关部门开展科技下乡、科技咨询、技术服务活动，实现“普及科学知识、倡导科学方法、传播科学思想、弘扬科学精神”的目的。提高全民科学素质，为建设经济强区魅力藁城贡献力量。</w:t>
      </w:r>
    </w:p>
    <w:p w14:paraId="56A55075">
      <w:pPr>
        <w:keepNext w:val="0"/>
        <w:keepLines w:val="0"/>
        <w:pageBreakBefore w:val="0"/>
        <w:widowControl w:val="0"/>
        <w:numPr>
          <w:numId w:val="0"/>
        </w:numPr>
        <w:kinsoku/>
        <w:wordWrap/>
        <w:overflowPunct/>
        <w:topLinePunct w:val="0"/>
        <w:autoSpaceDE/>
        <w:autoSpaceDN/>
        <w:bidi w:val="0"/>
        <w:spacing w:line="560" w:lineRule="exact"/>
        <w:ind w:left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分</w:t>
      </w:r>
      <w:bookmarkStart w:id="1" w:name="_GoBack"/>
      <w:bookmarkEnd w:id="1"/>
      <w:r>
        <w:rPr>
          <w:rFonts w:hint="eastAsia" w:ascii="楷体_GB2312" w:hAnsi="楷体_GB2312" w:eastAsia="楷体_GB2312" w:cs="楷体_GB2312"/>
          <w:bCs/>
          <w:sz w:val="32"/>
          <w:szCs w:val="32"/>
        </w:rPr>
        <w:t>项绩效目标实现情况及指标分析</w:t>
      </w:r>
    </w:p>
    <w:p w14:paraId="4700E5F3">
      <w:pPr>
        <w:keepNext w:val="0"/>
        <w:keepLines w:val="0"/>
        <w:pageBreakBefore w:val="0"/>
        <w:widowControl w:val="0"/>
        <w:numPr>
          <w:ilvl w:val="0"/>
          <w:numId w:val="4"/>
        </w:numPr>
        <w:kinsoku/>
        <w:wordWrap/>
        <w:overflowPunct/>
        <w:topLinePunct w:val="0"/>
        <w:autoSpaceDE/>
        <w:autoSpaceDN/>
        <w:bidi w:val="0"/>
        <w:spacing w:line="560" w:lineRule="exact"/>
        <w:ind w:left="740" w:leftChars="0" w:firstLine="0" w:firstLineChars="0"/>
        <w:textAlignment w:val="auto"/>
        <w:rPr>
          <w:rFonts w:hint="eastAsia" w:ascii="仿宋_GB2312" w:hAnsi="Times New Roman" w:eastAsia="仿宋_GB2312" w:cs="Times New Roman"/>
          <w:color w:val="auto"/>
          <w:sz w:val="32"/>
        </w:rPr>
      </w:pPr>
      <w:r>
        <w:rPr>
          <w:rFonts w:hint="eastAsia" w:ascii="仿宋_GB2312" w:hAnsi="Times New Roman" w:eastAsia="仿宋_GB2312" w:cs="Times New Roman"/>
          <w:color w:val="auto"/>
          <w:sz w:val="32"/>
        </w:rPr>
        <w:t>藁城区科学技术协会面向农民、社区居民、青少年、等</w:t>
      </w:r>
    </w:p>
    <w:p w14:paraId="39705826">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Times New Roman" w:eastAsia="仿宋_GB2312" w:cs="Times New Roman"/>
          <w:color w:val="auto"/>
          <w:sz w:val="32"/>
        </w:rPr>
      </w:pPr>
      <w:r>
        <w:rPr>
          <w:rFonts w:hint="eastAsia" w:ascii="仿宋_GB2312" w:hAnsi="Times New Roman" w:eastAsia="仿宋_GB2312" w:cs="Times New Roman"/>
          <w:color w:val="auto"/>
          <w:sz w:val="32"/>
        </w:rPr>
        <w:t>重点人群，开展科普惠农、科普益民等重点科普活动，</w:t>
      </w:r>
      <w:r>
        <w:rPr>
          <w:rFonts w:hint="eastAsia" w:ascii="楷体_GB2312" w:hAnsi="楷体_GB2312" w:eastAsia="楷体_GB2312" w:cs="楷体_GB2312"/>
          <w:bCs/>
          <w:color w:val="auto"/>
          <w:sz w:val="32"/>
          <w:szCs w:val="32"/>
          <w:lang w:val="en-US" w:eastAsia="zh-CN"/>
        </w:rPr>
        <w:t>农业先进和实用技术实现社会科普资源共享程度逐步提高，科普特项目建设成效显著，科普能力不断增强。</w:t>
      </w:r>
      <w:r>
        <w:rPr>
          <w:rFonts w:hint="eastAsia" w:ascii="仿宋_GB2312" w:hAnsi="Times New Roman" w:eastAsia="仿宋_GB2312" w:cs="Times New Roman"/>
          <w:color w:val="auto"/>
          <w:sz w:val="32"/>
        </w:rPr>
        <w:t>开展科普日、科技周、三下乡等系列科普活动。实施社会科普资源开发共享、加强大众媒体科普传播能力建设，实施科学教育培训工程，科普组织和培养科普人才。</w:t>
      </w:r>
      <w:r>
        <w:rPr>
          <w:rFonts w:hint="eastAsia" w:ascii="楷体_GB2312" w:hAnsi="楷体_GB2312" w:eastAsia="楷体_GB2312" w:cs="楷体_GB2312"/>
          <w:bCs/>
          <w:color w:val="auto"/>
          <w:sz w:val="32"/>
          <w:szCs w:val="32"/>
          <w:lang w:val="en-US" w:eastAsia="zh-CN"/>
        </w:rPr>
        <w:t>助推科普事业能力提升，全年开展各类科普活动30次。</w:t>
      </w:r>
    </w:p>
    <w:p w14:paraId="7FD8FA3D">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2、为了进一步推动“支持市县科技创新和科学普及省级专项资金（基层科普行动计划）”工作顺利实施，市科协对评选出的基层科普典型进行奖补，我区</w:t>
      </w:r>
      <w:r>
        <w:rPr>
          <w:rFonts w:hint="eastAsia" w:ascii="仿宋" w:hAnsi="仿宋" w:eastAsia="仿宋" w:cs="仿宋"/>
          <w:color w:val="auto"/>
          <w:sz w:val="32"/>
          <w:szCs w:val="32"/>
          <w:lang w:eastAsia="zh-CN"/>
        </w:rPr>
        <w:t>河北环景艺秀园林绿化工程有限</w:t>
      </w:r>
      <w:r>
        <w:rPr>
          <w:rFonts w:hint="eastAsia" w:ascii="仿宋" w:hAnsi="仿宋" w:eastAsia="仿宋" w:cs="仿宋"/>
          <w:color w:val="auto"/>
          <w:sz w:val="32"/>
          <w:szCs w:val="32"/>
        </w:rPr>
        <w:t>公司</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利用奖补资金，积极举</w:t>
      </w:r>
      <w:r>
        <w:rPr>
          <w:rFonts w:hint="eastAsia" w:ascii="仿宋" w:hAnsi="仿宋" w:eastAsia="仿宋" w:cs="仿宋"/>
          <w:color w:val="auto"/>
          <w:sz w:val="32"/>
          <w:szCs w:val="32"/>
          <w:lang w:eastAsia="zh-CN"/>
        </w:rPr>
        <w:t>办</w:t>
      </w:r>
      <w:r>
        <w:rPr>
          <w:rFonts w:hint="eastAsia" w:ascii="仿宋" w:hAnsi="仿宋" w:eastAsia="仿宋" w:cs="仿宋"/>
          <w:color w:val="auto"/>
          <w:sz w:val="32"/>
          <w:szCs w:val="32"/>
        </w:rPr>
        <w:t>园艺农民培训任务，年均培训500多人，聘请省、市具有高级职称且理论知识和实践经验丰富的专业技术人员担任培训教师，通过培训不同花卉种植知识，全面提高种植户技能。以科普日为主题，宣传造势，采用发放彩页、悬挂横幅、制作短片、举办讲座、邀请知名专家学者现场听诊答疑等多种方式环节加深科普宣传理念，在新技术新模式、拓宽群众知识视野，并不断扩大宣传覆盖面和影响力。加强技术指导和新品种推介。面向农民、开展科普惠农、科普益民等重点科普活动来增加农民收入。</w:t>
      </w:r>
    </w:p>
    <w:p w14:paraId="7726E94E">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楷体_GB2312" w:hAnsi="楷体_GB2312" w:eastAsia="楷体_GB2312" w:cs="楷体_GB2312"/>
          <w:bCs/>
          <w:color w:val="000000" w:themeColor="text1"/>
          <w:sz w:val="32"/>
          <w:szCs w:val="32"/>
          <w:lang w:val="en-US" w:eastAsia="zh-CN"/>
          <w14:textFill>
            <w14:solidFill>
              <w14:schemeClr w14:val="tx1"/>
            </w14:solidFill>
          </w14:textFill>
        </w:rPr>
        <w:t>3、</w:t>
      </w:r>
      <w:r>
        <w:rPr>
          <w:rFonts w:hint="eastAsia" w:ascii="仿宋" w:hAnsi="仿宋" w:eastAsia="仿宋" w:cs="仿宋"/>
          <w:color w:val="000000" w:themeColor="text1"/>
          <w:sz w:val="32"/>
          <w:szCs w:val="32"/>
          <w14:textFill>
            <w14:solidFill>
              <w14:schemeClr w14:val="tx1"/>
            </w14:solidFill>
          </w14:textFill>
        </w:rPr>
        <w:t>为了进一步推动“2023年基层科普行动计划中央补助资金”</w:t>
      </w:r>
    </w:p>
    <w:p w14:paraId="2762ACD2">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工作顺利实施</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市科协对评选出的基层科普典型进行奖补，</w:t>
      </w:r>
      <w:r>
        <w:rPr>
          <w:rFonts w:hint="eastAsia" w:ascii="仿宋" w:hAnsi="仿宋" w:eastAsia="仿宋" w:cs="仿宋"/>
          <w:color w:val="000000" w:themeColor="text1"/>
          <w:sz w:val="32"/>
          <w:szCs w:val="32"/>
          <w:lang w:eastAsia="zh-CN"/>
          <w14:textFill>
            <w14:solidFill>
              <w14:schemeClr w14:val="tx1"/>
            </w14:solidFill>
          </w14:textFill>
        </w:rPr>
        <w:t>我区“石家庄肥畾国农业科技有限公司”“石家庄市众生源食品有限公司”分别利用奖补资金，引进、示范、推广新品种、新技术，确保良种覆盖率达到100%。购置甜樱桃新品种11000棵，新增各类科技图书14000册，多层次聘请技术人员和专家教授进行现场培训和教学，提高授课质量，让受众在更好的教学环境下及时掌握先进的技术成果并得到有效的转化和推广。同时，统一推行集约化蔬菜育苗，提高种苗的整齐度，从而带动本县及周边地区设施蔬菜的科学发展，引领广大农民群众创新创业，实现共同致富。</w:t>
      </w:r>
    </w:p>
    <w:p w14:paraId="0367F0BD">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_GB2312" w:eastAsia="仿宋_GB2312"/>
          <w:sz w:val="32"/>
        </w:rPr>
        <w:t>项目总预算为</w:t>
      </w:r>
      <w:r>
        <w:rPr>
          <w:rFonts w:hint="eastAsia" w:ascii="仿宋_GB2312" w:eastAsia="仿宋_GB2312"/>
          <w:sz w:val="32"/>
          <w:lang w:val="en-US" w:eastAsia="zh-CN"/>
        </w:rPr>
        <w:t>17</w:t>
      </w:r>
      <w:r>
        <w:rPr>
          <w:rFonts w:hint="eastAsia" w:ascii="仿宋_GB2312" w:eastAsia="仿宋_GB2312"/>
          <w:sz w:val="32"/>
        </w:rPr>
        <w:t>万元，支出</w:t>
      </w:r>
      <w:r>
        <w:rPr>
          <w:rFonts w:hint="eastAsia" w:ascii="仿宋_GB2312" w:eastAsia="仿宋_GB2312"/>
          <w:sz w:val="32"/>
          <w:lang w:val="en-US" w:eastAsia="zh-CN"/>
        </w:rPr>
        <w:t>17</w:t>
      </w:r>
      <w:r>
        <w:rPr>
          <w:rFonts w:hint="eastAsia" w:ascii="仿宋_GB2312" w:eastAsia="仿宋_GB2312"/>
          <w:sz w:val="32"/>
        </w:rPr>
        <w:t>万元，总体支出进度为100%。</w:t>
      </w:r>
    </w:p>
    <w:p w14:paraId="7A34CCE7">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1A789A5C">
      <w:pPr>
        <w:widowControl w:val="0"/>
        <w:numPr>
          <w:ilvl w:val="0"/>
          <w:numId w:val="0"/>
        </w:numPr>
        <w:wordWrap/>
        <w:spacing w:line="560" w:lineRule="exact"/>
        <w:ind w:left="630" w:leftChars="0" w:right="0" w:rightChars="0"/>
        <w:textAlignment w:val="auto"/>
        <w:outlineLvl w:val="9"/>
        <w:rPr>
          <w:rFonts w:ascii="仿宋" w:hAnsi="仿宋" w:eastAsia="仿宋" w:cs="楷体_GB2312"/>
          <w:b/>
          <w:bCs/>
          <w:sz w:val="32"/>
          <w:szCs w:val="32"/>
        </w:rPr>
      </w:pPr>
      <w:r>
        <w:rPr>
          <w:rFonts w:hint="eastAsia" w:ascii="仿宋_GB2312" w:eastAsia="仿宋_GB2312"/>
          <w:sz w:val="32"/>
        </w:rPr>
        <w:t>根据项目执行情况和项目绩效情况，</w:t>
      </w:r>
    </w:p>
    <w:p w14:paraId="584A50B5">
      <w:pPr>
        <w:widowControl w:val="0"/>
        <w:numPr>
          <w:ilvl w:val="0"/>
          <w:numId w:val="0"/>
        </w:numPr>
        <w:wordWrap/>
        <w:spacing w:line="560" w:lineRule="exact"/>
        <w:ind w:left="630" w:leftChars="0" w:right="0" w:rightChars="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（一）</w:t>
      </w:r>
      <w:r>
        <w:rPr>
          <w:rFonts w:hint="eastAsia" w:ascii="仿宋" w:hAnsi="仿宋" w:eastAsia="仿宋" w:cs="楷体_GB2312"/>
          <w:b/>
          <w:bCs/>
          <w:sz w:val="32"/>
          <w:szCs w:val="32"/>
        </w:rPr>
        <w:t>预算执行情况</w:t>
      </w:r>
    </w:p>
    <w:p w14:paraId="1C916025">
      <w:pPr>
        <w:widowControl w:val="0"/>
        <w:wordWrap/>
        <w:spacing w:line="560" w:lineRule="exact"/>
        <w:ind w:left="0" w:leftChars="0" w:right="0" w:firstLine="640" w:firstLineChars="200"/>
        <w:textAlignment w:val="auto"/>
        <w:outlineLvl w:val="9"/>
        <w:rPr>
          <w:rFonts w:hint="eastAsia" w:asciiTheme="majorEastAsia" w:hAnsiTheme="majorEastAsia" w:eastAsiaTheme="majorEastAsia" w:cstheme="majorEastAsia"/>
          <w:sz w:val="32"/>
          <w:szCs w:val="32"/>
        </w:rPr>
      </w:pPr>
      <w:r>
        <w:rPr>
          <w:rFonts w:hint="eastAsia" w:ascii="仿宋" w:hAnsi="仿宋" w:eastAsia="仿宋"/>
          <w:sz w:val="32"/>
          <w:szCs w:val="32"/>
        </w:rPr>
        <w:t>年初预算安排</w:t>
      </w:r>
      <w:r>
        <w:rPr>
          <w:rFonts w:hint="eastAsia" w:ascii="仿宋" w:hAnsi="仿宋" w:eastAsia="仿宋"/>
          <w:sz w:val="32"/>
          <w:szCs w:val="32"/>
          <w:lang w:val="en-US" w:eastAsia="zh-CN"/>
        </w:rPr>
        <w:t>17</w:t>
      </w:r>
      <w:r>
        <w:rPr>
          <w:rFonts w:hint="eastAsia" w:ascii="仿宋" w:hAnsi="仿宋" w:eastAsia="仿宋"/>
          <w:sz w:val="32"/>
          <w:szCs w:val="32"/>
        </w:rPr>
        <w:t>万元，</w:t>
      </w:r>
      <w:r>
        <w:rPr>
          <w:rFonts w:hint="eastAsia" w:asciiTheme="majorEastAsia" w:hAnsiTheme="majorEastAsia" w:eastAsiaTheme="majorEastAsia" w:cstheme="majorEastAsia"/>
          <w:sz w:val="32"/>
          <w:szCs w:val="32"/>
        </w:rPr>
        <w:t>项目管理制度健全、资金使用符合有关规定，没有存在违规现象。项目实施过程中，各项工作进展顺利，相关预案齐全</w:t>
      </w:r>
    </w:p>
    <w:p w14:paraId="690A4FD4">
      <w:pPr>
        <w:widowControl w:val="0"/>
        <w:wordWrap/>
        <w:spacing w:line="560" w:lineRule="exact"/>
        <w:ind w:left="0" w:leftChars="0" w:right="0" w:firstLine="643" w:firstLineChars="200"/>
        <w:textAlignment w:val="auto"/>
        <w:outlineLvl w:val="9"/>
        <w:rPr>
          <w:rFonts w:ascii="仿宋" w:hAnsi="仿宋" w:eastAsia="仿宋"/>
          <w:b/>
          <w:bCs/>
          <w:sz w:val="32"/>
          <w:szCs w:val="32"/>
        </w:rPr>
      </w:pPr>
      <w:r>
        <w:rPr>
          <w:rFonts w:hint="eastAsia" w:ascii="仿宋" w:hAnsi="仿宋" w:eastAsia="仿宋" w:cs="楷体_GB2312"/>
          <w:b/>
          <w:bCs/>
          <w:sz w:val="32"/>
          <w:szCs w:val="32"/>
        </w:rPr>
        <w:t>（二）项目产出</w:t>
      </w:r>
    </w:p>
    <w:p w14:paraId="4E561A5D">
      <w:pPr>
        <w:adjustRightInd w:val="0"/>
        <w:snapToGrid w:val="0"/>
        <w:spacing w:line="620" w:lineRule="exact"/>
        <w:ind w:firstLine="640" w:firstLineChars="200"/>
        <w:rPr>
          <w:rFonts w:ascii="仿宋" w:hAnsi="仿宋" w:eastAsia="仿宋"/>
          <w:sz w:val="32"/>
          <w:szCs w:val="32"/>
        </w:rPr>
      </w:pPr>
      <w:r>
        <w:rPr>
          <w:rFonts w:hint="eastAsia" w:asciiTheme="majorEastAsia" w:hAnsiTheme="majorEastAsia" w:eastAsiaTheme="majorEastAsia" w:cstheme="majorEastAsia"/>
          <w:sz w:val="32"/>
          <w:szCs w:val="32"/>
        </w:rPr>
        <w:t>开展新品种引进，实验，做好宣传，示范引导，印刷宣传资料。多层次聘请技术人员和专家教授进行现场培训和教学，提高授课质量</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rPr>
        <w:t>认真组织各类科普活动，全民科学素质行动计划得到深入落实和推进，全民科学素质进一步提高，该项得分</w:t>
      </w:r>
      <w:r>
        <w:rPr>
          <w:rFonts w:hint="eastAsia" w:asciiTheme="majorEastAsia" w:hAnsiTheme="majorEastAsia" w:eastAsiaTheme="majorEastAsia" w:cstheme="majorEastAsia"/>
          <w:sz w:val="32"/>
          <w:szCs w:val="32"/>
          <w:lang w:eastAsia="zh-CN"/>
        </w:rPr>
        <w:t>分别是</w:t>
      </w:r>
      <w:r>
        <w:rPr>
          <w:rFonts w:hint="eastAsia" w:asciiTheme="majorEastAsia" w:hAnsiTheme="majorEastAsia" w:eastAsiaTheme="majorEastAsia" w:cstheme="majorEastAsia"/>
          <w:sz w:val="32"/>
          <w:szCs w:val="32"/>
        </w:rPr>
        <w:t>3</w:t>
      </w:r>
      <w:r>
        <w:rPr>
          <w:rFonts w:hint="eastAsia" w:asciiTheme="majorEastAsia" w:hAnsiTheme="majorEastAsia" w:eastAsiaTheme="majorEastAsia" w:cstheme="majorEastAsia"/>
          <w:sz w:val="32"/>
          <w:szCs w:val="32"/>
          <w:lang w:val="en-US" w:eastAsia="zh-CN"/>
        </w:rPr>
        <w:t>8</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rPr>
        <w:t>3</w:t>
      </w:r>
      <w:r>
        <w:rPr>
          <w:rFonts w:hint="eastAsia" w:asciiTheme="majorEastAsia" w:hAnsiTheme="majorEastAsia" w:eastAsiaTheme="majorEastAsia" w:cstheme="majorEastAsia"/>
          <w:sz w:val="32"/>
          <w:szCs w:val="32"/>
          <w:lang w:val="en-US" w:eastAsia="zh-CN"/>
        </w:rPr>
        <w:t>7</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rPr>
        <w:t>3</w:t>
      </w:r>
      <w:r>
        <w:rPr>
          <w:rFonts w:hint="eastAsia" w:asciiTheme="majorEastAsia" w:hAnsiTheme="majorEastAsia" w:eastAsiaTheme="majorEastAsia" w:cstheme="majorEastAsia"/>
          <w:sz w:val="32"/>
          <w:szCs w:val="32"/>
          <w:lang w:val="en-US" w:eastAsia="zh-CN"/>
        </w:rPr>
        <w:t>6</w:t>
      </w:r>
      <w:r>
        <w:rPr>
          <w:rFonts w:hint="eastAsia" w:asciiTheme="majorEastAsia" w:hAnsiTheme="majorEastAsia" w:eastAsiaTheme="majorEastAsia" w:cstheme="majorEastAsia"/>
          <w:sz w:val="32"/>
          <w:szCs w:val="32"/>
        </w:rPr>
        <w:t>分。</w:t>
      </w:r>
    </w:p>
    <w:p w14:paraId="3AAA68D0">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（三）项目效益</w:t>
      </w:r>
    </w:p>
    <w:p w14:paraId="42DA39FF">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对该项目的经济效益、社会效益、生态效益、可持续影响等情况进行了分析，该项目对科普惠农、科普益民等方面建设成效</w:t>
      </w:r>
      <w:r>
        <w:rPr>
          <w:rFonts w:hint="eastAsia" w:asciiTheme="majorEastAsia" w:hAnsiTheme="majorEastAsia" w:eastAsiaTheme="majorEastAsia" w:cstheme="majorEastAsia"/>
          <w:sz w:val="32"/>
          <w:szCs w:val="32"/>
        </w:rPr>
        <w:t>明显，</w:t>
      </w:r>
      <w:r>
        <w:rPr>
          <w:rFonts w:hint="eastAsia" w:ascii="仿宋" w:hAnsi="仿宋" w:eastAsia="仿宋"/>
          <w:sz w:val="32"/>
          <w:szCs w:val="32"/>
        </w:rPr>
        <w:t>该项得分</w:t>
      </w:r>
      <w:r>
        <w:rPr>
          <w:rFonts w:hint="eastAsia" w:asciiTheme="majorEastAsia" w:hAnsiTheme="majorEastAsia" w:eastAsiaTheme="majorEastAsia" w:cstheme="majorEastAsia"/>
          <w:sz w:val="32"/>
          <w:szCs w:val="32"/>
          <w:lang w:val="en-US" w:eastAsia="zh-CN"/>
        </w:rPr>
        <w:t>37</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37</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40</w:t>
      </w:r>
      <w:r>
        <w:rPr>
          <w:rFonts w:hint="eastAsia" w:asciiTheme="majorEastAsia" w:hAnsiTheme="majorEastAsia" w:eastAsiaTheme="majorEastAsia" w:cstheme="majorEastAsia"/>
          <w:sz w:val="32"/>
          <w:szCs w:val="32"/>
        </w:rPr>
        <w:t>分。</w:t>
      </w:r>
    </w:p>
    <w:p w14:paraId="381304BF">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（四）满意度</w:t>
      </w:r>
    </w:p>
    <w:p w14:paraId="290128D2">
      <w:pPr>
        <w:adjustRightInd w:val="0"/>
        <w:snapToGrid w:val="0"/>
        <w:spacing w:line="620" w:lineRule="exact"/>
        <w:ind w:firstLine="640" w:firstLineChars="200"/>
        <w:rPr>
          <w:rFonts w:ascii="仿宋" w:hAnsi="仿宋" w:eastAsia="仿宋" w:cs="楷体_GB2312"/>
          <w:b/>
          <w:bCs/>
          <w:sz w:val="32"/>
          <w:szCs w:val="32"/>
        </w:rPr>
      </w:pPr>
      <w:r>
        <w:rPr>
          <w:rFonts w:hint="eastAsia" w:asciiTheme="majorEastAsia" w:hAnsiTheme="majorEastAsia" w:eastAsiaTheme="majorEastAsia" w:cstheme="majorEastAsia"/>
          <w:sz w:val="32"/>
          <w:szCs w:val="32"/>
        </w:rPr>
        <w:t>该项目的实施取得了群众的一致好评，大家受益匪浅，收获颇丰。取得了一定社会效益，该项得分</w:t>
      </w:r>
      <w:r>
        <w:rPr>
          <w:rFonts w:hint="eastAsia" w:asciiTheme="majorEastAsia" w:hAnsiTheme="majorEastAsia" w:eastAsiaTheme="majorEastAsia" w:cstheme="majorEastAsia"/>
          <w:sz w:val="32"/>
          <w:szCs w:val="32"/>
          <w:lang w:val="en-US" w:eastAsia="zh-CN"/>
        </w:rPr>
        <w:t>8</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9</w:t>
      </w:r>
      <w:r>
        <w:rPr>
          <w:rFonts w:hint="eastAsia" w:asciiTheme="majorEastAsia" w:hAnsiTheme="majorEastAsia" w:eastAsiaTheme="majorEastAsia" w:cstheme="majorEastAsia"/>
          <w:sz w:val="32"/>
          <w:szCs w:val="32"/>
        </w:rPr>
        <w:t>分</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8</w:t>
      </w:r>
      <w:r>
        <w:rPr>
          <w:rFonts w:hint="eastAsia" w:asciiTheme="majorEastAsia" w:hAnsiTheme="majorEastAsia" w:eastAsiaTheme="majorEastAsia" w:cstheme="majorEastAsia"/>
          <w:sz w:val="32"/>
          <w:szCs w:val="32"/>
        </w:rPr>
        <w:t>分。</w:t>
      </w:r>
    </w:p>
    <w:p w14:paraId="0B028481">
      <w:pPr>
        <w:spacing w:line="560" w:lineRule="exact"/>
        <w:ind w:firstLine="640" w:firstLineChars="200"/>
        <w:rPr>
          <w:rFonts w:hint="eastAsia" w:ascii="黑体" w:hAnsi="黑体" w:eastAsia="黑体" w:cs="黑体"/>
          <w:sz w:val="32"/>
          <w:szCs w:val="32"/>
          <w:lang w:eastAsia="zh-CN"/>
        </w:rPr>
      </w:pPr>
      <w:r>
        <w:rPr>
          <w:rFonts w:hint="eastAsia" w:ascii="仿宋_GB2312" w:eastAsia="仿宋_GB2312"/>
          <w:sz w:val="32"/>
        </w:rPr>
        <w:t>科协</w:t>
      </w:r>
      <w:r>
        <w:rPr>
          <w:rFonts w:hint="eastAsia" w:ascii="仿宋_GB2312" w:eastAsia="仿宋_GB2312"/>
          <w:sz w:val="32"/>
          <w:lang w:val="en-US" w:eastAsia="zh-CN"/>
        </w:rPr>
        <w:t>3</w:t>
      </w:r>
      <w:r>
        <w:rPr>
          <w:rFonts w:hint="eastAsia" w:ascii="仿宋_GB2312" w:eastAsia="仿宋_GB2312"/>
          <w:sz w:val="32"/>
        </w:rPr>
        <w:t>个项目绩效评价得分分别为</w:t>
      </w:r>
      <w:r>
        <w:rPr>
          <w:rFonts w:hint="eastAsia" w:ascii="仿宋_GB2312" w:eastAsia="仿宋_GB2312"/>
          <w:sz w:val="32"/>
          <w:lang w:val="en-US" w:eastAsia="zh-CN"/>
        </w:rPr>
        <w:t>93</w:t>
      </w:r>
      <w:r>
        <w:rPr>
          <w:rFonts w:hint="eastAsia" w:ascii="仿宋_GB2312" w:eastAsia="仿宋_GB2312"/>
          <w:sz w:val="32"/>
        </w:rPr>
        <w:t>分、</w:t>
      </w:r>
      <w:r>
        <w:rPr>
          <w:rFonts w:hint="eastAsia" w:ascii="仿宋_GB2312" w:eastAsia="仿宋_GB2312"/>
          <w:sz w:val="32"/>
          <w:lang w:val="en-US" w:eastAsia="zh-CN"/>
        </w:rPr>
        <w:t>93</w:t>
      </w:r>
      <w:r>
        <w:rPr>
          <w:rFonts w:hint="eastAsia" w:ascii="仿宋_GB2312" w:eastAsia="仿宋_GB2312"/>
          <w:sz w:val="32"/>
        </w:rPr>
        <w:t>分、</w:t>
      </w:r>
      <w:r>
        <w:rPr>
          <w:rFonts w:hint="eastAsia" w:ascii="仿宋_GB2312" w:eastAsia="仿宋_GB2312"/>
          <w:sz w:val="32"/>
          <w:lang w:val="en-US" w:eastAsia="zh-CN"/>
        </w:rPr>
        <w:t>94</w:t>
      </w:r>
      <w:r>
        <w:rPr>
          <w:rFonts w:hint="eastAsia" w:ascii="仿宋_GB2312" w:eastAsia="仿宋_GB2312"/>
          <w:sz w:val="32"/>
        </w:rPr>
        <w:t>分，评价等级全部为优秀。</w:t>
      </w:r>
    </w:p>
    <w:p w14:paraId="5C7B1BD1">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楷体_GB2312" w:hAnsi="楷体_GB2312" w:eastAsia="楷体_GB2312" w:cs="楷体_GB2312"/>
          <w:bCs/>
          <w:sz w:val="32"/>
          <w:szCs w:val="32"/>
        </w:rPr>
      </w:pPr>
      <w:r>
        <w:rPr>
          <w:rFonts w:hint="eastAsia" w:ascii="黑体" w:hAnsi="黑体" w:eastAsia="黑体"/>
          <w:sz w:val="32"/>
          <w:szCs w:val="32"/>
        </w:rPr>
        <w:t>存在的问题及改进措施</w:t>
      </w:r>
    </w:p>
    <w:p w14:paraId="14D6A531">
      <w:pPr>
        <w:spacing w:line="560" w:lineRule="exact"/>
        <w:ind w:firstLine="640" w:firstLineChars="200"/>
        <w:rPr>
          <w:rFonts w:hint="eastAsia" w:ascii="仿宋_GB2312" w:eastAsia="仿宋_GB2312"/>
          <w:sz w:val="32"/>
        </w:rPr>
      </w:pPr>
      <w:r>
        <w:rPr>
          <w:rFonts w:hint="eastAsia" w:ascii="仿宋_GB2312" w:eastAsia="仿宋_GB2312"/>
          <w:sz w:val="32"/>
        </w:rPr>
        <w:t>1、加强项目绩效认识。提高机关及分管人员对绩效管理及预算资金使用效益的认识，把预算资金是否发挥使用效益与各岗位是否履职尽责相结合。</w:t>
      </w:r>
    </w:p>
    <w:p w14:paraId="4025B30B">
      <w:pPr>
        <w:spacing w:line="560" w:lineRule="exact"/>
        <w:ind w:firstLine="640" w:firstLineChars="200"/>
        <w:rPr>
          <w:rFonts w:hint="eastAsia" w:ascii="仿宋_GB2312" w:eastAsia="仿宋_GB2312"/>
          <w:sz w:val="32"/>
        </w:rPr>
      </w:pPr>
      <w:r>
        <w:rPr>
          <w:rFonts w:hint="eastAsia" w:ascii="仿宋_GB2312" w:eastAsia="仿宋_GB2312"/>
          <w:sz w:val="32"/>
        </w:rPr>
        <w:t>2、加强预算绩效管理。进一步加强机关预算资金管理，减少预算资金使用的随意性，对预算的事前、事中、事后进行全过程控制，加大对预算编制与执行的监督管理力度，提高预算资金使用效率。</w:t>
      </w:r>
    </w:p>
    <w:p w14:paraId="2F007901">
      <w:pPr>
        <w:spacing w:line="560" w:lineRule="exact"/>
        <w:ind w:firstLine="640" w:firstLineChars="200"/>
        <w:rPr>
          <w:rFonts w:hint="eastAsia" w:ascii="仿宋_GB2312" w:eastAsia="仿宋_GB2312"/>
          <w:sz w:val="32"/>
        </w:rPr>
      </w:pPr>
      <w:r>
        <w:rPr>
          <w:rFonts w:hint="eastAsia" w:ascii="仿宋_GB2312" w:eastAsia="仿宋_GB2312"/>
          <w:sz w:val="32"/>
        </w:rPr>
        <w:t>3、加强项目实施监控。加强对项目实施进度的实时监控， 对项目实施过程中进度异常、实施范围调整等情况及时按照流程报批。</w:t>
      </w:r>
    </w:p>
    <w:p w14:paraId="12D3BF01">
      <w:pPr>
        <w:spacing w:line="560" w:lineRule="exact"/>
        <w:ind w:firstLine="640" w:firstLineChars="200"/>
        <w:rPr>
          <w:rFonts w:ascii="仿宋" w:hAnsi="仿宋" w:eastAsia="仿宋" w:cs="仿宋"/>
          <w:sz w:val="32"/>
          <w:szCs w:val="32"/>
        </w:rPr>
      </w:pPr>
      <w:r>
        <w:rPr>
          <w:rFonts w:hint="eastAsia" w:ascii="仿宋_GB2312" w:eastAsia="仿宋_GB2312"/>
          <w:sz w:val="32"/>
        </w:rPr>
        <w:t>绩效自评结果将在政府门户网站上进行公开，接受社会监督。绩效评价结果将通报相关人员督促整改，进一步提高项目绩效。</w:t>
      </w:r>
    </w:p>
    <w:p w14:paraId="653F9ED8">
      <w:pPr>
        <w:spacing w:line="560" w:lineRule="exact"/>
        <w:ind w:firstLine="640" w:firstLineChars="200"/>
        <w:rPr>
          <w:rFonts w:hint="eastAsia" w:ascii="楷体_GB2312" w:hAnsi="楷体_GB2312" w:eastAsia="楷体_GB2312" w:cs="楷体_GB2312"/>
          <w:bCs/>
          <w:sz w:val="32"/>
          <w:szCs w:val="32"/>
        </w:rPr>
      </w:pPr>
    </w:p>
    <w:p w14:paraId="01DE65C5">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5EC1C0EA">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主要包括姓名、工作单位、职务等。</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305"/>
        <w:gridCol w:w="1875"/>
        <w:gridCol w:w="1875"/>
        <w:gridCol w:w="1890"/>
      </w:tblGrid>
      <w:tr w14:paraId="2C8CF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32BF4344">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序号</w:t>
            </w:r>
          </w:p>
        </w:tc>
        <w:tc>
          <w:tcPr>
            <w:tcW w:w="1305" w:type="dxa"/>
          </w:tcPr>
          <w:p w14:paraId="1DC325E1">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姓名</w:t>
            </w:r>
          </w:p>
        </w:tc>
        <w:tc>
          <w:tcPr>
            <w:tcW w:w="1875" w:type="dxa"/>
          </w:tcPr>
          <w:p w14:paraId="243F788E">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工作单位</w:t>
            </w:r>
          </w:p>
        </w:tc>
        <w:tc>
          <w:tcPr>
            <w:tcW w:w="1875" w:type="dxa"/>
          </w:tcPr>
          <w:p w14:paraId="54D2C1EB">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职务</w:t>
            </w:r>
          </w:p>
        </w:tc>
        <w:tc>
          <w:tcPr>
            <w:tcW w:w="1890" w:type="dxa"/>
          </w:tcPr>
          <w:p w14:paraId="6E1B4F6F">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签字</w:t>
            </w:r>
          </w:p>
        </w:tc>
      </w:tr>
      <w:tr w14:paraId="26A73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0FCE379A">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w:t>
            </w:r>
          </w:p>
        </w:tc>
        <w:tc>
          <w:tcPr>
            <w:tcW w:w="1305" w:type="dxa"/>
          </w:tcPr>
          <w:p w14:paraId="0B56C20B">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夏俊杰</w:t>
            </w:r>
          </w:p>
        </w:tc>
        <w:tc>
          <w:tcPr>
            <w:tcW w:w="1875" w:type="dxa"/>
          </w:tcPr>
          <w:p w14:paraId="2E3E5C1A">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藁城区科协</w:t>
            </w:r>
          </w:p>
        </w:tc>
        <w:tc>
          <w:tcPr>
            <w:tcW w:w="1875" w:type="dxa"/>
          </w:tcPr>
          <w:p w14:paraId="504FC5FE">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主席</w:t>
            </w:r>
          </w:p>
        </w:tc>
        <w:tc>
          <w:tcPr>
            <w:tcW w:w="1890" w:type="dxa"/>
          </w:tcPr>
          <w:p w14:paraId="5EE435B0">
            <w:pPr>
              <w:rPr>
                <w:rFonts w:asciiTheme="majorEastAsia" w:hAnsiTheme="majorEastAsia" w:eastAsiaTheme="majorEastAsia" w:cstheme="majorEastAsia"/>
                <w:sz w:val="32"/>
                <w:szCs w:val="32"/>
              </w:rPr>
            </w:pPr>
          </w:p>
        </w:tc>
      </w:tr>
      <w:tr w14:paraId="4E96E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1F260EFF">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2</w:t>
            </w:r>
          </w:p>
        </w:tc>
        <w:tc>
          <w:tcPr>
            <w:tcW w:w="1305" w:type="dxa"/>
          </w:tcPr>
          <w:p w14:paraId="13E96BD7">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赵阳</w:t>
            </w:r>
          </w:p>
        </w:tc>
        <w:tc>
          <w:tcPr>
            <w:tcW w:w="1875" w:type="dxa"/>
          </w:tcPr>
          <w:p w14:paraId="6F5701FF">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藁城区科协</w:t>
            </w:r>
          </w:p>
        </w:tc>
        <w:tc>
          <w:tcPr>
            <w:tcW w:w="1875" w:type="dxa"/>
          </w:tcPr>
          <w:p w14:paraId="501A5EEE">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副主席</w:t>
            </w:r>
          </w:p>
        </w:tc>
        <w:tc>
          <w:tcPr>
            <w:tcW w:w="1890" w:type="dxa"/>
          </w:tcPr>
          <w:p w14:paraId="7C3C6143">
            <w:pPr>
              <w:rPr>
                <w:rFonts w:asciiTheme="majorEastAsia" w:hAnsiTheme="majorEastAsia" w:eastAsiaTheme="majorEastAsia" w:cstheme="majorEastAsia"/>
                <w:sz w:val="32"/>
                <w:szCs w:val="32"/>
              </w:rPr>
            </w:pPr>
          </w:p>
        </w:tc>
      </w:tr>
      <w:tr w14:paraId="0A15F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470D4C0C">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3</w:t>
            </w:r>
          </w:p>
        </w:tc>
        <w:tc>
          <w:tcPr>
            <w:tcW w:w="1305" w:type="dxa"/>
          </w:tcPr>
          <w:p w14:paraId="35D0E3EB">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郝建永</w:t>
            </w:r>
          </w:p>
        </w:tc>
        <w:tc>
          <w:tcPr>
            <w:tcW w:w="1875" w:type="dxa"/>
          </w:tcPr>
          <w:p w14:paraId="24B86EAF">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藁城区科协</w:t>
            </w:r>
          </w:p>
        </w:tc>
        <w:tc>
          <w:tcPr>
            <w:tcW w:w="1875" w:type="dxa"/>
          </w:tcPr>
          <w:p w14:paraId="32293B64">
            <w:pPr>
              <w:rPr>
                <w:rFonts w:asciiTheme="majorEastAsia" w:hAnsiTheme="majorEastAsia" w:eastAsiaTheme="majorEastAsia" w:cstheme="majorEastAsia"/>
                <w:sz w:val="32"/>
                <w:szCs w:val="32"/>
              </w:rPr>
            </w:pPr>
          </w:p>
        </w:tc>
        <w:tc>
          <w:tcPr>
            <w:tcW w:w="1890" w:type="dxa"/>
          </w:tcPr>
          <w:p w14:paraId="3B619B3B">
            <w:pPr>
              <w:rPr>
                <w:rFonts w:asciiTheme="majorEastAsia" w:hAnsiTheme="majorEastAsia" w:eastAsiaTheme="majorEastAsia" w:cstheme="majorEastAsia"/>
                <w:sz w:val="32"/>
                <w:szCs w:val="32"/>
              </w:rPr>
            </w:pPr>
          </w:p>
        </w:tc>
      </w:tr>
      <w:tr w14:paraId="5996B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023FBB2A">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4</w:t>
            </w:r>
          </w:p>
        </w:tc>
        <w:tc>
          <w:tcPr>
            <w:tcW w:w="1305" w:type="dxa"/>
          </w:tcPr>
          <w:p w14:paraId="01C87ECC">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陆建霞</w:t>
            </w:r>
          </w:p>
        </w:tc>
        <w:tc>
          <w:tcPr>
            <w:tcW w:w="1875" w:type="dxa"/>
          </w:tcPr>
          <w:p w14:paraId="021B79CD">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藁城区科协</w:t>
            </w:r>
          </w:p>
        </w:tc>
        <w:tc>
          <w:tcPr>
            <w:tcW w:w="1875" w:type="dxa"/>
          </w:tcPr>
          <w:p w14:paraId="03B8AC35">
            <w:pP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综合办主任</w:t>
            </w:r>
          </w:p>
        </w:tc>
        <w:tc>
          <w:tcPr>
            <w:tcW w:w="1890" w:type="dxa"/>
          </w:tcPr>
          <w:p w14:paraId="39E9993D">
            <w:pPr>
              <w:rPr>
                <w:rFonts w:asciiTheme="majorEastAsia" w:hAnsiTheme="majorEastAsia" w:eastAsiaTheme="majorEastAsia" w:cstheme="majorEastAsia"/>
                <w:sz w:val="32"/>
                <w:szCs w:val="32"/>
              </w:rPr>
            </w:pPr>
          </w:p>
        </w:tc>
      </w:tr>
      <w:tr w14:paraId="5DECE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73E6DC21">
            <w:pPr>
              <w:rPr>
                <w:rFonts w:asciiTheme="majorEastAsia" w:hAnsiTheme="majorEastAsia" w:eastAsiaTheme="majorEastAsia" w:cstheme="majorEastAsia"/>
                <w:sz w:val="32"/>
                <w:szCs w:val="32"/>
              </w:rPr>
            </w:pPr>
          </w:p>
        </w:tc>
        <w:tc>
          <w:tcPr>
            <w:tcW w:w="1305" w:type="dxa"/>
          </w:tcPr>
          <w:p w14:paraId="35CED07C">
            <w:pPr>
              <w:rPr>
                <w:rFonts w:asciiTheme="majorEastAsia" w:hAnsiTheme="majorEastAsia" w:eastAsiaTheme="majorEastAsia" w:cstheme="majorEastAsia"/>
                <w:sz w:val="32"/>
                <w:szCs w:val="32"/>
              </w:rPr>
            </w:pPr>
          </w:p>
        </w:tc>
        <w:tc>
          <w:tcPr>
            <w:tcW w:w="1875" w:type="dxa"/>
          </w:tcPr>
          <w:p w14:paraId="6406AA43">
            <w:pPr>
              <w:rPr>
                <w:rFonts w:asciiTheme="majorEastAsia" w:hAnsiTheme="majorEastAsia" w:eastAsiaTheme="majorEastAsia" w:cstheme="majorEastAsia"/>
                <w:sz w:val="32"/>
                <w:szCs w:val="32"/>
              </w:rPr>
            </w:pPr>
          </w:p>
        </w:tc>
        <w:tc>
          <w:tcPr>
            <w:tcW w:w="1875" w:type="dxa"/>
          </w:tcPr>
          <w:p w14:paraId="410552AD">
            <w:pPr>
              <w:rPr>
                <w:rFonts w:asciiTheme="majorEastAsia" w:hAnsiTheme="majorEastAsia" w:eastAsiaTheme="majorEastAsia" w:cstheme="majorEastAsia"/>
                <w:sz w:val="32"/>
                <w:szCs w:val="32"/>
              </w:rPr>
            </w:pPr>
          </w:p>
        </w:tc>
        <w:tc>
          <w:tcPr>
            <w:tcW w:w="1890" w:type="dxa"/>
          </w:tcPr>
          <w:p w14:paraId="30696DF0">
            <w:pPr>
              <w:rPr>
                <w:rFonts w:asciiTheme="majorEastAsia" w:hAnsiTheme="majorEastAsia" w:eastAsiaTheme="majorEastAsia" w:cstheme="majorEastAsia"/>
                <w:sz w:val="32"/>
                <w:szCs w:val="32"/>
              </w:rPr>
            </w:pPr>
          </w:p>
        </w:tc>
      </w:tr>
    </w:tbl>
    <w:p w14:paraId="1201B1AD">
      <w:pPr>
        <w:keepNext w:val="0"/>
        <w:keepLines w:val="0"/>
        <w:pageBreakBefore w:val="0"/>
        <w:widowControl w:val="0"/>
        <w:numPr>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sz w:val="32"/>
          <w:szCs w:val="32"/>
        </w:rPr>
      </w:pPr>
    </w:p>
    <w:p w14:paraId="37F2C08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Times New Roman"/>
    <w:panose1 w:val="00000000000000000000"/>
    <w:charset w:val="00"/>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8C7C7">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CA73BD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CA73BD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50CB3">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283D0BEE"/>
    <w:multiLevelType w:val="singleLevel"/>
    <w:tmpl w:val="283D0BEE"/>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616A0285"/>
    <w:multiLevelType w:val="singleLevel"/>
    <w:tmpl w:val="616A0285"/>
    <w:lvl w:ilvl="0" w:tentative="0">
      <w:start w:val="1"/>
      <w:numFmt w:val="decimal"/>
      <w:suff w:val="nothing"/>
      <w:lvlText w:val="%1、"/>
      <w:lvlJc w:val="left"/>
      <w:pPr>
        <w:ind w:left="740" w:leftChars="0" w:firstLine="0" w:firstLineChars="0"/>
      </w:pPr>
    </w:lvl>
  </w:abstractNum>
  <w:abstractNum w:abstractNumId="4">
    <w:nsid w:val="61F368ED"/>
    <w:multiLevelType w:val="singleLevel"/>
    <w:tmpl w:val="61F368ED"/>
    <w:lvl w:ilvl="0" w:tentative="0">
      <w:start w:val="1"/>
      <w:numFmt w:val="chineseCounting"/>
      <w:suff w:val="nothing"/>
      <w:lvlText w:val="（%1）"/>
      <w:lvlJc w:val="left"/>
      <w:rPr>
        <w:rFonts w:hint="eastAsia"/>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NiZGU5Mzc3YjU3ZjY3MzlhMTZlM2ExZTcxZDc3MWQifQ=="/>
  </w:docVars>
  <w:rsids>
    <w:rsidRoot w:val="00EF16A3"/>
    <w:rsid w:val="000D193E"/>
    <w:rsid w:val="000D29F1"/>
    <w:rsid w:val="00111710"/>
    <w:rsid w:val="001627CF"/>
    <w:rsid w:val="001646B1"/>
    <w:rsid w:val="00176210"/>
    <w:rsid w:val="001D2D4C"/>
    <w:rsid w:val="00383AC5"/>
    <w:rsid w:val="003B412A"/>
    <w:rsid w:val="00432709"/>
    <w:rsid w:val="0043554E"/>
    <w:rsid w:val="004819F2"/>
    <w:rsid w:val="004919BA"/>
    <w:rsid w:val="00491FCD"/>
    <w:rsid w:val="004E6C05"/>
    <w:rsid w:val="004F6F9F"/>
    <w:rsid w:val="00546BCB"/>
    <w:rsid w:val="005B610E"/>
    <w:rsid w:val="005C236C"/>
    <w:rsid w:val="005E6EC9"/>
    <w:rsid w:val="00656B2A"/>
    <w:rsid w:val="00665896"/>
    <w:rsid w:val="006F351D"/>
    <w:rsid w:val="00702A8F"/>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620E2"/>
    <w:rsid w:val="00FB4297"/>
    <w:rsid w:val="019422A6"/>
    <w:rsid w:val="02FE20CD"/>
    <w:rsid w:val="031511C4"/>
    <w:rsid w:val="055B525F"/>
    <w:rsid w:val="073D3672"/>
    <w:rsid w:val="0C120F15"/>
    <w:rsid w:val="12AA1929"/>
    <w:rsid w:val="13B61930"/>
    <w:rsid w:val="14556739"/>
    <w:rsid w:val="15542020"/>
    <w:rsid w:val="16EE470D"/>
    <w:rsid w:val="17496AFC"/>
    <w:rsid w:val="1A3B21A2"/>
    <w:rsid w:val="1BAF1154"/>
    <w:rsid w:val="1C655171"/>
    <w:rsid w:val="20052895"/>
    <w:rsid w:val="20276775"/>
    <w:rsid w:val="21E97C65"/>
    <w:rsid w:val="254554E2"/>
    <w:rsid w:val="26B75F6B"/>
    <w:rsid w:val="2A497822"/>
    <w:rsid w:val="2AB729DE"/>
    <w:rsid w:val="2F0E4C7B"/>
    <w:rsid w:val="2F2C2A40"/>
    <w:rsid w:val="3186135C"/>
    <w:rsid w:val="3290703D"/>
    <w:rsid w:val="344704E1"/>
    <w:rsid w:val="36300DB7"/>
    <w:rsid w:val="3723389D"/>
    <w:rsid w:val="38A10A8B"/>
    <w:rsid w:val="39744C0B"/>
    <w:rsid w:val="3AEF6FE7"/>
    <w:rsid w:val="3BC44F5A"/>
    <w:rsid w:val="3CDB07AE"/>
    <w:rsid w:val="3EFE0783"/>
    <w:rsid w:val="40C80BF1"/>
    <w:rsid w:val="43170066"/>
    <w:rsid w:val="441F3676"/>
    <w:rsid w:val="44965CD9"/>
    <w:rsid w:val="45126D36"/>
    <w:rsid w:val="46315B5E"/>
    <w:rsid w:val="46C2653A"/>
    <w:rsid w:val="47F646ED"/>
    <w:rsid w:val="493B718D"/>
    <w:rsid w:val="4B3B58A8"/>
    <w:rsid w:val="4E5008D0"/>
    <w:rsid w:val="505C4C07"/>
    <w:rsid w:val="51334917"/>
    <w:rsid w:val="53301F7C"/>
    <w:rsid w:val="53A42ADD"/>
    <w:rsid w:val="563B01B4"/>
    <w:rsid w:val="56604927"/>
    <w:rsid w:val="590F0BE0"/>
    <w:rsid w:val="5BD32AA5"/>
    <w:rsid w:val="5C4A315B"/>
    <w:rsid w:val="5EBF3633"/>
    <w:rsid w:val="63F0428F"/>
    <w:rsid w:val="64B230AE"/>
    <w:rsid w:val="653449D0"/>
    <w:rsid w:val="661D3074"/>
    <w:rsid w:val="66A575B3"/>
    <w:rsid w:val="66F7331D"/>
    <w:rsid w:val="6ADE7537"/>
    <w:rsid w:val="6B1C1E0E"/>
    <w:rsid w:val="6BDE7164"/>
    <w:rsid w:val="6C4754D6"/>
    <w:rsid w:val="6C4B4A70"/>
    <w:rsid w:val="6EA70398"/>
    <w:rsid w:val="705E5261"/>
    <w:rsid w:val="731A1328"/>
    <w:rsid w:val="74061483"/>
    <w:rsid w:val="7B641393"/>
    <w:rsid w:val="7BA97DE1"/>
    <w:rsid w:val="7C51472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autoRedefine/>
    <w:qFormat/>
    <w:uiPriority w:val="99"/>
    <w:rPr>
      <w:sz w:val="18"/>
      <w:szCs w:val="18"/>
    </w:rPr>
  </w:style>
  <w:style w:type="character" w:customStyle="1" w:styleId="7">
    <w:name w:val="页脚 Char"/>
    <w:basedOn w:val="5"/>
    <w:link w:val="2"/>
    <w:autoRedefine/>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3093</Words>
  <Characters>3171</Characters>
  <Lines>3</Lines>
  <Paragraphs>1</Paragraphs>
  <TotalTime>0</TotalTime>
  <ScaleCrop>false</ScaleCrop>
  <LinksUpToDate>false</LinksUpToDate>
  <CharactersWithSpaces>3178</CharactersWithSpaces>
  <Application>WPS Office_12.1.0.17121_F1E327BC-269C-435d-A152-05C5408002CA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随缘</cp:lastModifiedBy>
  <cp:lastPrinted>2021-02-24T05:43:00Z</cp:lastPrinted>
  <dcterms:modified xsi:type="dcterms:W3CDTF">2024-05-29T07:37:23Z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2052-12.1.0.17121</vt:lpwstr>
  </property>
  <property fmtid="{D5CDD505-2E9C-101B-9397-08002B2CF9AE}" pid="3" name="ICV">
    <vt:lpwstr>28C64EFCB758481798A31117B3E7B5E3</vt:lpwstr>
  </property>
</Properties>
</file>