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rPr>
      </w:pPr>
      <w:r>
        <w:rPr>
          <w:rFonts w:hint="eastAsia" w:ascii="宋体" w:hAnsi="宋体" w:cs="宋体"/>
          <w:b/>
          <w:bCs/>
          <w:kern w:val="0"/>
          <w:sz w:val="44"/>
          <w:szCs w:val="44"/>
        </w:rPr>
        <w:t>石家庄市自然资源和规划局藁城分局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部门202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则，对石家庄市自然资源和规划局藁城分局部门202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一、加紧对全区农村宅基地和农村集体建设用地的调查、确权及数据入库工作。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二、按省厅、市局要求的时限上报、盯办，为项目的早日开工建设提供保障。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三、编制202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年土地收储计划，严格按计划收储土地，盘活城区存量土地，促进城市健康发展。</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四、科学编制202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年供地计划，加快国有建设用地供地力度。</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五、对违法用地，严格按照“六个到位”的要求，坚决查处到位。</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六、力争做到卫片执法监督检查“零约谈”、“零问责”的目标。</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七、严格执行关于维稳工作的各项规定，确保不发生各类非正常信访案件。</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九、加强规划指导，提升</w:t>
      </w:r>
      <w:r>
        <w:rPr>
          <w:rFonts w:hint="eastAsia" w:ascii="Times New Roman" w:hAnsi="Times New Roman" w:eastAsia="仿宋" w:cs="Times New Roman"/>
          <w:sz w:val="32"/>
          <w:szCs w:val="32"/>
          <w:lang w:eastAsia="zh-CN"/>
        </w:rPr>
        <w:t>我区城市</w:t>
      </w:r>
      <w:r>
        <w:rPr>
          <w:rFonts w:hint="eastAsia" w:ascii="Times New Roman" w:hAnsi="Times New Roman" w:eastAsia="仿宋" w:cs="Times New Roman"/>
          <w:sz w:val="32"/>
          <w:szCs w:val="32"/>
        </w:rPr>
        <w:t>建设水平。进一步加强对规划执行情况的督导检查。加强对城乡规划法定程序、强制性内容执行情况的检查，强化城乡规划违法建设治理，完善违法建设查处长效机制，对新增城乡规划违法建设“零容忍”。</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十、负责林业及其生态环境建设、森林资源保护、国土绿化和林业产业发展的规定和方法，并组织实施监督和检查。</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十一、负责组织指导全</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林业及其生态建设的科技创新和技术示范推广，为林业生态发展和林产品生产提供公共支撑。</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十二、负责苗木的标准化生产和基地建设。</w:t>
      </w:r>
    </w:p>
    <w:p>
      <w:pPr>
        <w:widowControl w:val="0"/>
        <w:wordWrap/>
        <w:adjustRightInd/>
        <w:snapToGrid w:val="0"/>
        <w:spacing w:line="560" w:lineRule="exact"/>
        <w:ind w:left="0" w:leftChars="0" w:right="0" w:firstLine="640" w:firstLineChars="200"/>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十三、负责</w:t>
      </w:r>
      <w:r>
        <w:rPr>
          <w:rFonts w:hint="eastAsia" w:ascii="Times New Roman" w:hAnsi="Times New Roman" w:eastAsia="仿宋" w:cs="Times New Roman"/>
          <w:sz w:val="32"/>
          <w:szCs w:val="32"/>
          <w:lang w:eastAsia="zh-CN"/>
        </w:rPr>
        <w:t>自然局</w:t>
      </w:r>
      <w:r>
        <w:rPr>
          <w:rFonts w:hint="eastAsia" w:ascii="Times New Roman" w:hAnsi="Times New Roman" w:eastAsia="仿宋" w:cs="Times New Roman"/>
          <w:sz w:val="32"/>
          <w:szCs w:val="32"/>
        </w:rPr>
        <w:t>政务管理，依法依规履行机关日常管理工作。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i w:val="0"/>
          <w:caps w:val="0"/>
          <w:color w:val="333333"/>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rPr>
        <w:t>我局为</w:t>
      </w:r>
      <w:r>
        <w:rPr>
          <w:rFonts w:hint="eastAsia" w:ascii="仿宋" w:hAnsi="仿宋" w:eastAsia="仿宋" w:cs="仿宋"/>
          <w:i w:val="0"/>
          <w:caps w:val="0"/>
          <w:color w:val="333333"/>
          <w:spacing w:val="0"/>
          <w:sz w:val="32"/>
          <w:szCs w:val="32"/>
          <w:shd w:val="clear" w:fill="FFFFFF"/>
        </w:rPr>
        <w:t>正科级</w:t>
      </w:r>
      <w:r>
        <w:rPr>
          <w:rFonts w:hint="eastAsia" w:ascii="仿宋" w:hAnsi="仿宋" w:eastAsia="仿宋" w:cs="仿宋"/>
          <w:i w:val="0"/>
          <w:caps w:val="0"/>
          <w:color w:val="auto"/>
          <w:spacing w:val="0"/>
          <w:sz w:val="32"/>
          <w:szCs w:val="32"/>
          <w:shd w:val="clear" w:fill="FFFFFF"/>
        </w:rPr>
        <w:t>行政单位，内设办公室、</w:t>
      </w:r>
      <w:r>
        <w:rPr>
          <w:rFonts w:hint="eastAsia" w:ascii="仿宋" w:hAnsi="仿宋" w:eastAsia="仿宋" w:cs="仿宋"/>
          <w:i w:val="0"/>
          <w:caps w:val="0"/>
          <w:color w:val="auto"/>
          <w:spacing w:val="0"/>
          <w:sz w:val="32"/>
          <w:szCs w:val="32"/>
          <w:shd w:val="clear" w:fill="FFFFFF"/>
          <w:lang w:eastAsia="zh-CN"/>
        </w:rPr>
        <w:t>国土空间规划股、用地股、耕保股、利用股、执法股</w:t>
      </w:r>
      <w:r>
        <w:rPr>
          <w:rFonts w:hint="eastAsia" w:ascii="仿宋" w:hAnsi="仿宋" w:eastAsia="仿宋" w:cs="仿宋"/>
          <w:i w:val="0"/>
          <w:caps w:val="0"/>
          <w:color w:val="auto"/>
          <w:spacing w:val="0"/>
          <w:sz w:val="32"/>
          <w:szCs w:val="32"/>
          <w:shd w:val="clear" w:fill="FFFFFF"/>
        </w:rPr>
        <w:t>等</w:t>
      </w:r>
      <w:r>
        <w:rPr>
          <w:rFonts w:hint="eastAsia" w:ascii="Times New Roman" w:hAnsi="Times New Roman" w:cs="Times New Roman"/>
          <w:i w:val="0"/>
          <w:caps w:val="0"/>
          <w:color w:val="auto"/>
          <w:spacing w:val="0"/>
          <w:sz w:val="32"/>
          <w:szCs w:val="32"/>
          <w:shd w:val="clear" w:fill="FFFFFF"/>
          <w:lang w:val="en-US" w:eastAsia="zh-CN"/>
        </w:rPr>
        <w:t>8</w:t>
      </w:r>
      <w:r>
        <w:rPr>
          <w:rFonts w:hint="eastAsia" w:ascii="仿宋" w:hAnsi="仿宋" w:eastAsia="仿宋" w:cs="仿宋"/>
          <w:i w:val="0"/>
          <w:caps w:val="0"/>
          <w:color w:val="auto"/>
          <w:spacing w:val="0"/>
          <w:sz w:val="32"/>
          <w:szCs w:val="32"/>
          <w:shd w:val="clear" w:fill="FFFFFF"/>
        </w:rPr>
        <w:t>个职能股室，</w:t>
      </w:r>
      <w:r>
        <w:rPr>
          <w:rFonts w:hint="eastAsia" w:ascii="仿宋" w:hAnsi="仿宋" w:eastAsia="仿宋" w:cs="仿宋"/>
          <w:i w:val="0"/>
          <w:caps w:val="0"/>
          <w:color w:val="auto"/>
          <w:spacing w:val="0"/>
          <w:sz w:val="32"/>
          <w:szCs w:val="32"/>
          <w:shd w:val="clear" w:fill="FFFFFF"/>
          <w:lang w:eastAsia="zh-CN"/>
        </w:rPr>
        <w:t>下属</w:t>
      </w:r>
      <w:r>
        <w:rPr>
          <w:rFonts w:hint="eastAsia" w:ascii="仿宋" w:hAnsi="仿宋" w:eastAsia="仿宋" w:cs="仿宋"/>
          <w:i w:val="0"/>
          <w:caps w:val="0"/>
          <w:color w:val="auto"/>
          <w:spacing w:val="0"/>
          <w:sz w:val="32"/>
          <w:szCs w:val="32"/>
          <w:shd w:val="clear" w:fill="FFFFFF"/>
          <w:lang w:val="en-US" w:eastAsia="zh-CN"/>
        </w:rPr>
        <w:t>7个事业单位：财政补助事业单位：</w:t>
      </w:r>
      <w:r>
        <w:rPr>
          <w:rFonts w:hint="eastAsia" w:ascii="仿宋" w:hAnsi="仿宋" w:eastAsia="仿宋" w:cs="仿宋"/>
          <w:i w:val="0"/>
          <w:caps w:val="0"/>
          <w:color w:val="333333"/>
          <w:spacing w:val="0"/>
          <w:sz w:val="32"/>
          <w:szCs w:val="32"/>
          <w:shd w:val="clear" w:fill="FFFFFF"/>
        </w:rPr>
        <w:t>不动产登记中心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建设用地服务中心</w:t>
      </w:r>
      <w:r>
        <w:rPr>
          <w:rFonts w:hint="eastAsia" w:ascii="仿宋" w:hAnsi="仿宋" w:eastAsia="仿宋" w:cs="仿宋"/>
          <w:i w:val="0"/>
          <w:caps w:val="0"/>
          <w:color w:val="333333"/>
          <w:spacing w:val="0"/>
          <w:sz w:val="32"/>
          <w:szCs w:val="32"/>
          <w:shd w:val="clear" w:fill="FFFFFF"/>
          <w:lang w:eastAsia="zh-CN"/>
        </w:rPr>
        <w:t>、林业工作站；</w:t>
      </w:r>
      <w:r>
        <w:rPr>
          <w:rFonts w:hint="eastAsia" w:ascii="仿宋" w:hAnsi="仿宋" w:eastAsia="仿宋" w:cs="仿宋"/>
          <w:i w:val="0"/>
          <w:caps w:val="0"/>
          <w:color w:val="auto"/>
          <w:spacing w:val="0"/>
          <w:sz w:val="32"/>
          <w:szCs w:val="32"/>
          <w:shd w:val="clear" w:fill="FFFFFF"/>
          <w:lang w:val="en-US" w:eastAsia="zh-CN"/>
        </w:rPr>
        <w:t>经费自理事业单位：</w:t>
      </w:r>
      <w:r>
        <w:rPr>
          <w:rFonts w:hint="eastAsia" w:ascii="仿宋" w:hAnsi="仿宋" w:eastAsia="仿宋" w:cs="仿宋"/>
          <w:i w:val="0"/>
          <w:caps w:val="0"/>
          <w:color w:val="333333"/>
          <w:spacing w:val="0"/>
          <w:sz w:val="32"/>
          <w:szCs w:val="32"/>
          <w:shd w:val="clear" w:fill="FFFFFF"/>
        </w:rPr>
        <w:t>土地储备中心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土地整理中心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国土资源所</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矿产资源管理所</w:t>
      </w:r>
      <w:r>
        <w:rPr>
          <w:rFonts w:hint="eastAsia" w:ascii="仿宋" w:hAnsi="仿宋" w:eastAsia="仿宋" w:cs="仿宋"/>
          <w:i w:val="0"/>
          <w:caps w:val="0"/>
          <w:color w:val="333333"/>
          <w:spacing w:val="0"/>
          <w:sz w:val="32"/>
          <w:szCs w:val="32"/>
          <w:shd w:val="clear" w:fill="FFFFFF"/>
          <w:lang w:val="en-US"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年部门决算收支完成情况如下：</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 全年收入为</w:t>
      </w:r>
      <w:r>
        <w:rPr>
          <w:rFonts w:hint="eastAsia" w:ascii="仿宋" w:hAnsi="仿宋" w:eastAsia="仿宋" w:cs="仿宋"/>
          <w:sz w:val="32"/>
          <w:szCs w:val="32"/>
          <w:lang w:val="en-US" w:eastAsia="zh-CN"/>
        </w:rPr>
        <w:t>18528.06</w:t>
      </w:r>
      <w:r>
        <w:rPr>
          <w:rFonts w:hint="eastAsia" w:ascii="仿宋" w:hAnsi="仿宋" w:eastAsia="仿宋"/>
          <w:sz w:val="32"/>
          <w:szCs w:val="32"/>
          <w:lang w:val="en-US" w:eastAsia="zh-CN"/>
        </w:rPr>
        <w:t>万</w:t>
      </w:r>
      <w:r>
        <w:rPr>
          <w:rFonts w:hint="eastAsia" w:ascii="仿宋" w:hAnsi="仿宋" w:eastAsia="仿宋" w:cs="仿宋"/>
          <w:sz w:val="32"/>
          <w:szCs w:val="32"/>
        </w:rPr>
        <w:t>元，其中：财政拔款收入</w:t>
      </w:r>
      <w:r>
        <w:rPr>
          <w:rFonts w:hint="eastAsia" w:ascii="仿宋" w:hAnsi="仿宋" w:eastAsia="仿宋" w:cs="仿宋"/>
          <w:sz w:val="32"/>
          <w:szCs w:val="32"/>
          <w:lang w:val="en-US" w:eastAsia="zh-CN"/>
        </w:rPr>
        <w:t>18528.06</w:t>
      </w:r>
      <w:r>
        <w:rPr>
          <w:rFonts w:hint="eastAsia" w:ascii="仿宋" w:hAnsi="仿宋" w:eastAsia="仿宋"/>
          <w:sz w:val="32"/>
          <w:szCs w:val="32"/>
          <w:lang w:val="en-US" w:eastAsia="zh-CN"/>
        </w:rPr>
        <w:t>万</w:t>
      </w:r>
      <w:r>
        <w:rPr>
          <w:rFonts w:hint="eastAsia" w:ascii="仿宋" w:hAnsi="仿宋" w:eastAsia="仿宋" w:cs="仿宋"/>
          <w:sz w:val="32"/>
          <w:szCs w:val="32"/>
        </w:rPr>
        <w:t>元，非财政补助收入</w:t>
      </w:r>
      <w:r>
        <w:rPr>
          <w:rFonts w:hint="eastAsia" w:ascii="仿宋" w:hAnsi="仿宋" w:eastAsia="仿宋"/>
          <w:sz w:val="32"/>
          <w:szCs w:val="32"/>
          <w:lang w:val="en-US" w:eastAsia="zh-CN"/>
        </w:rPr>
        <w:t>0万</w:t>
      </w:r>
      <w:r>
        <w:rPr>
          <w:rFonts w:hint="eastAsia" w:ascii="仿宋" w:hAnsi="仿宋" w:eastAsia="仿宋" w:cs="仿宋"/>
          <w:sz w:val="32"/>
          <w:szCs w:val="32"/>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全年支出为</w:t>
      </w:r>
      <w:r>
        <w:rPr>
          <w:rFonts w:hint="eastAsia" w:ascii="仿宋" w:hAnsi="仿宋" w:eastAsia="仿宋" w:cs="仿宋"/>
          <w:sz w:val="32"/>
          <w:szCs w:val="32"/>
          <w:lang w:val="en-US" w:eastAsia="zh-CN"/>
        </w:rPr>
        <w:t>18528.06</w:t>
      </w:r>
      <w:r>
        <w:rPr>
          <w:rFonts w:hint="eastAsia" w:ascii="仿宋" w:hAnsi="仿宋" w:eastAsia="仿宋"/>
          <w:sz w:val="32"/>
          <w:szCs w:val="32"/>
          <w:lang w:val="en-US" w:eastAsia="zh-CN"/>
        </w:rPr>
        <w:t>万</w:t>
      </w:r>
      <w:r>
        <w:rPr>
          <w:rFonts w:hint="eastAsia" w:ascii="仿宋" w:hAnsi="仿宋" w:eastAsia="仿宋" w:cs="仿宋"/>
          <w:sz w:val="32"/>
          <w:szCs w:val="32"/>
        </w:rPr>
        <w:t>元</w:t>
      </w:r>
      <w:r>
        <w:rPr>
          <w:rFonts w:hint="eastAsia" w:ascii="仿宋" w:hAnsi="仿宋" w:eastAsia="仿宋"/>
          <w:sz w:val="32"/>
          <w:szCs w:val="32"/>
          <w:lang w:eastAsia="zh-CN"/>
        </w:rPr>
        <w:t>。其中：行政支出：</w:t>
      </w:r>
      <w:r>
        <w:rPr>
          <w:rFonts w:hint="eastAsia" w:ascii="仿宋" w:hAnsi="仿宋" w:eastAsia="仿宋"/>
          <w:sz w:val="32"/>
          <w:szCs w:val="32"/>
          <w:lang w:val="en-US" w:eastAsia="zh-CN"/>
        </w:rPr>
        <w:t>0万</w:t>
      </w:r>
      <w:r>
        <w:rPr>
          <w:rFonts w:hint="eastAsia" w:ascii="仿宋" w:hAnsi="仿宋" w:eastAsia="仿宋"/>
          <w:sz w:val="32"/>
          <w:szCs w:val="32"/>
          <w:lang w:eastAsia="zh-CN"/>
        </w:rPr>
        <w:t>元，项目支出</w:t>
      </w:r>
      <w:r>
        <w:rPr>
          <w:rFonts w:hint="eastAsia" w:ascii="仿宋" w:hAnsi="仿宋" w:eastAsia="仿宋" w:cs="仿宋"/>
          <w:sz w:val="32"/>
          <w:szCs w:val="32"/>
          <w:lang w:val="en-US" w:eastAsia="zh-CN"/>
        </w:rPr>
        <w:t>18528.06</w:t>
      </w:r>
      <w:r>
        <w:rPr>
          <w:rFonts w:hint="eastAsia" w:ascii="仿宋" w:hAnsi="仿宋" w:eastAsia="仿宋"/>
          <w:sz w:val="32"/>
          <w:szCs w:val="32"/>
          <w:lang w:val="en-US" w:eastAsia="zh-CN"/>
        </w:rPr>
        <w:t>万</w:t>
      </w:r>
      <w:r>
        <w:rPr>
          <w:rFonts w:hint="eastAsia" w:ascii="仿宋" w:hAnsi="仿宋" w:eastAsia="仿宋"/>
          <w:sz w:val="32"/>
          <w:szCs w:val="32"/>
          <w:lang w:eastAsia="zh-CN"/>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3、资金结存情况：财政拨款结转结余</w:t>
      </w:r>
      <w:r>
        <w:rPr>
          <w:rFonts w:hint="eastAsia" w:ascii="仿宋" w:hAnsi="仿宋" w:eastAsia="仿宋"/>
          <w:sz w:val="32"/>
          <w:szCs w:val="32"/>
          <w:lang w:val="en-US" w:eastAsia="zh-CN"/>
        </w:rPr>
        <w:t>0万</w:t>
      </w:r>
      <w:r>
        <w:rPr>
          <w:rFonts w:hint="eastAsia" w:ascii="仿宋" w:hAnsi="仿宋" w:eastAsia="仿宋" w:cs="仿宋"/>
          <w:sz w:val="32"/>
          <w:szCs w:val="32"/>
        </w:rPr>
        <w:t>元，其中财政拨款结转（项目结转）</w:t>
      </w:r>
      <w:r>
        <w:rPr>
          <w:rFonts w:hint="eastAsia" w:ascii="仿宋" w:hAnsi="仿宋" w:eastAsia="仿宋"/>
          <w:sz w:val="32"/>
          <w:szCs w:val="32"/>
          <w:lang w:val="en-US" w:eastAsia="zh-CN"/>
        </w:rPr>
        <w:t>0万</w:t>
      </w:r>
      <w:r>
        <w:rPr>
          <w:rFonts w:hint="eastAsia" w:ascii="仿宋" w:hAnsi="仿宋" w:eastAsia="仿宋" w:cs="仿宋"/>
          <w:sz w:val="32"/>
          <w:szCs w:val="32"/>
        </w:rPr>
        <w:t>元，财政结余</w:t>
      </w:r>
      <w:r>
        <w:rPr>
          <w:rFonts w:hint="eastAsia" w:ascii="仿宋" w:hAnsi="仿宋" w:eastAsia="仿宋"/>
          <w:sz w:val="32"/>
          <w:szCs w:val="32"/>
          <w:lang w:val="en-US" w:eastAsia="zh-CN"/>
        </w:rPr>
        <w:t>0万</w:t>
      </w:r>
      <w:r>
        <w:rPr>
          <w:rFonts w:hint="eastAsia" w:ascii="仿宋" w:hAnsi="仿宋" w:eastAsia="仿宋" w:cs="仿宋"/>
          <w:sz w:val="32"/>
          <w:szCs w:val="32"/>
        </w:rPr>
        <w:t>元，非财政拨款收入</w:t>
      </w:r>
      <w:r>
        <w:rPr>
          <w:rFonts w:hint="eastAsia" w:ascii="仿宋" w:hAnsi="仿宋" w:eastAsia="仿宋"/>
          <w:sz w:val="32"/>
          <w:szCs w:val="32"/>
          <w:lang w:val="en-US" w:eastAsia="zh-CN"/>
        </w:rPr>
        <w:t>0万</w:t>
      </w:r>
      <w:r>
        <w:rPr>
          <w:rFonts w:hint="eastAsia" w:ascii="仿宋" w:hAnsi="仿宋" w:eastAsia="仿宋" w:cs="仿宋"/>
          <w:sz w:val="32"/>
          <w:szCs w:val="32"/>
        </w:rPr>
        <w:t>元。</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2023年部门预算完成情况如下：</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2023年预算收入</w:t>
      </w:r>
      <w:r>
        <w:rPr>
          <w:rFonts w:hint="eastAsia" w:ascii="仿宋" w:hAnsi="仿宋" w:eastAsia="仿宋" w:cs="仿宋"/>
          <w:sz w:val="32"/>
          <w:szCs w:val="32"/>
          <w:lang w:val="en-US" w:eastAsia="zh-CN"/>
        </w:rPr>
        <w:t>22155.82</w:t>
      </w:r>
      <w:r>
        <w:rPr>
          <w:rFonts w:hint="eastAsia" w:ascii="仿宋" w:hAnsi="仿宋" w:eastAsia="仿宋" w:cs="仿宋"/>
          <w:sz w:val="32"/>
          <w:szCs w:val="32"/>
          <w:lang w:eastAsia="zh-CN"/>
        </w:rPr>
        <w:t>万元，其中：一般公共预算收入</w:t>
      </w:r>
      <w:r>
        <w:rPr>
          <w:rFonts w:hint="eastAsia" w:ascii="仿宋" w:hAnsi="仿宋" w:eastAsia="仿宋" w:cs="仿宋"/>
          <w:sz w:val="32"/>
          <w:szCs w:val="32"/>
          <w:lang w:val="en-US" w:eastAsia="zh-CN"/>
        </w:rPr>
        <w:t>9976.77</w:t>
      </w:r>
      <w:r>
        <w:rPr>
          <w:rFonts w:hint="eastAsia" w:ascii="仿宋" w:hAnsi="仿宋" w:eastAsia="仿宋" w:cs="仿宋"/>
          <w:sz w:val="32"/>
          <w:szCs w:val="32"/>
          <w:lang w:eastAsia="zh-CN"/>
        </w:rPr>
        <w:t>万元，基金预算收入</w:t>
      </w:r>
      <w:r>
        <w:rPr>
          <w:rFonts w:hint="eastAsia" w:ascii="仿宋" w:hAnsi="仿宋" w:eastAsia="仿宋" w:cs="仿宋"/>
          <w:sz w:val="32"/>
          <w:szCs w:val="32"/>
          <w:lang w:val="en-US" w:eastAsia="zh-CN"/>
        </w:rPr>
        <w:t>12114.05</w:t>
      </w:r>
      <w:r>
        <w:rPr>
          <w:rFonts w:hint="eastAsia" w:ascii="仿宋" w:hAnsi="仿宋" w:eastAsia="仿宋" w:cs="仿宋"/>
          <w:sz w:val="32"/>
          <w:szCs w:val="32"/>
          <w:lang w:eastAsia="zh-CN"/>
        </w:rPr>
        <w:t>万元，一般债券收入</w:t>
      </w:r>
      <w:r>
        <w:rPr>
          <w:rFonts w:hint="eastAsia" w:ascii="仿宋" w:hAnsi="仿宋" w:eastAsia="仿宋" w:cs="仿宋"/>
          <w:sz w:val="32"/>
          <w:szCs w:val="32"/>
          <w:lang w:val="en-US" w:eastAsia="zh-CN"/>
        </w:rPr>
        <w:t>65万元，</w:t>
      </w:r>
      <w:r>
        <w:rPr>
          <w:rFonts w:hint="eastAsia" w:ascii="仿宋" w:hAnsi="仿宋" w:eastAsia="仿宋" w:cs="仿宋"/>
          <w:sz w:val="32"/>
          <w:szCs w:val="32"/>
          <w:lang w:eastAsia="zh-CN"/>
        </w:rPr>
        <w:t>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Times New Roman" w:hAnsi="Times New Roman" w:eastAsia="仿宋" w:cs="Times New Roman"/>
          <w:sz w:val="32"/>
          <w:szCs w:val="32"/>
        </w:rPr>
      </w:pPr>
      <w:r>
        <w:rPr>
          <w:rFonts w:hint="eastAsia" w:ascii="仿宋" w:hAnsi="仿宋" w:eastAsia="仿宋" w:cs="黑体"/>
          <w:sz w:val="32"/>
          <w:szCs w:val="32"/>
          <w:lang w:val="en-US" w:eastAsia="zh-CN"/>
        </w:rPr>
        <w:t>1、</w:t>
      </w:r>
      <w:r>
        <w:rPr>
          <w:rFonts w:hint="eastAsia" w:ascii="仿宋" w:hAnsi="仿宋" w:eastAsia="仿宋" w:cs="黑体"/>
          <w:sz w:val="32"/>
          <w:szCs w:val="32"/>
        </w:rPr>
        <w:t>部门总目标：</w:t>
      </w:r>
      <w:r>
        <w:rPr>
          <w:rFonts w:hint="eastAsia" w:ascii="Times New Roman" w:hAnsi="Times New Roman" w:eastAsia="仿宋" w:cs="Times New Roman"/>
          <w:sz w:val="32"/>
          <w:szCs w:val="32"/>
        </w:rPr>
        <w:t>围绕区域发展，强化规划编制，落实重大民生工程、公益性设施等项目指标的分配落实。聚集保障发展，优化土地供应，完成编制《202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土地供应计划》，完成基本农田调查摸底和基本农田储备区划定工作的数据收集、整理、上报。管建并举，保护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认真落实上级经济林验收工作，抓好林政资源保护。加强作风建设，积极进取，奋发有为，为我区经济社会发展作出应有的贡献。</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预决算公开：</w:t>
      </w:r>
      <w:r>
        <w:rPr>
          <w:rFonts w:hint="eastAsia" w:ascii="仿宋" w:hAnsi="仿宋" w:eastAsia="仿宋" w:cs="仿宋_GB2312"/>
          <w:sz w:val="32"/>
          <w:szCs w:val="32"/>
          <w:lang w:val="en-US" w:eastAsia="zh-CN"/>
        </w:rPr>
        <w:t>2023年度部门决算、部门预算、专项资金和部门整体支出预算绩效目标按财政规定及时规范完成地进行了申报，并在政府网上进行了公开。</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资产管理：严格执行《固定资产管理制度》，实行固定资产统一管理，专人负责固定资产的分类，统一编号，建立固定资产档案，登记账卡，负责审批并办理验收、调拨、报废、封存、启用等事项，保证账、卡、物三相符。</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三公经费控制情况：我局在认真贯彻落实厉行节约、严控“三公”经费、降低一般运行经费、加强项目支出管理等方面取得了一定的成绩。</w:t>
      </w:r>
      <w:r>
        <w:rPr>
          <w:rFonts w:hint="eastAsia" w:ascii="仿宋" w:hAnsi="仿宋" w:eastAsia="仿宋" w:cs="仿宋_GB2312"/>
          <w:sz w:val="32"/>
          <w:szCs w:val="32"/>
          <w:lang w:eastAsia="zh-CN"/>
        </w:rPr>
        <w:t>按照区财政要求，</w:t>
      </w:r>
      <w:r>
        <w:rPr>
          <w:rFonts w:hint="eastAsia" w:ascii="仿宋" w:hAnsi="仿宋" w:eastAsia="仿宋" w:cs="仿宋_GB2312"/>
          <w:sz w:val="32"/>
          <w:szCs w:val="32"/>
        </w:rPr>
        <w:t>实行“三公”经费预算和公示制度，有效地控制“三公”经费支出。实际支出没有超出预算规模、范围和标准，没有挤占、摊派、乱收费和转移“三公”经费支出的行为。公务接待费无出国（境）差旅费。</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内部管理制度建设：</w:t>
      </w:r>
      <w:r>
        <w:rPr>
          <w:rFonts w:hint="eastAsia" w:ascii="仿宋" w:hAnsi="仿宋" w:eastAsia="仿宋" w:cs="仿宋_GB2312"/>
          <w:sz w:val="32"/>
          <w:szCs w:val="32"/>
          <w:lang w:eastAsia="zh-CN"/>
        </w:rPr>
        <w:t>我局建立了一系列内部管理制度：《部门预算绩效管理制度》、《内部控制制度》、《重大经济事项决策制度》等，制度建设较为完善。</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项目绩效总目标完成情况</w:t>
      </w:r>
      <w:r>
        <w:rPr>
          <w:rFonts w:hint="eastAsia" w:ascii="仿宋" w:hAnsi="仿宋" w:eastAsia="仿宋" w:cs="仿宋_GB2312"/>
          <w:sz w:val="32"/>
          <w:szCs w:val="32"/>
          <w:lang w:eastAsia="zh-CN"/>
        </w:rPr>
        <w:t>：我局重视项目资金的管理，各项开支专款专用。各项目按照财政要求进行绩效自评工作。总体来说，各项目执行与绩效目标基本一致，项目完成率较高。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（三）部门整体支出情况分析</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rPr>
        <w:t>从整体情况来看</w:t>
      </w:r>
      <w:r>
        <w:rPr>
          <w:rFonts w:hint="eastAsia" w:ascii="仿宋" w:hAnsi="仿宋" w:eastAsia="仿宋" w:cs="仿宋_GB2312"/>
          <w:sz w:val="32"/>
          <w:szCs w:val="32"/>
          <w:lang w:eastAsia="zh-CN"/>
        </w:rPr>
        <w:t>，</w:t>
      </w:r>
      <w:r>
        <w:rPr>
          <w:rFonts w:ascii="仿宋" w:hAnsi="仿宋" w:eastAsia="仿宋" w:cs="仿宋"/>
          <w:i w:val="0"/>
          <w:caps w:val="0"/>
          <w:color w:val="333333"/>
          <w:spacing w:val="0"/>
          <w:sz w:val="32"/>
          <w:szCs w:val="32"/>
          <w:shd w:val="clear" w:fill="FFFFFF"/>
        </w:rPr>
        <w:t>我局严格按照年初预算使用经费。</w:t>
      </w:r>
      <w:r>
        <w:rPr>
          <w:rFonts w:hint="eastAsia" w:ascii="仿宋" w:hAnsi="仿宋" w:eastAsia="仿宋" w:cs="仿宋_GB2312"/>
          <w:sz w:val="32"/>
          <w:szCs w:val="32"/>
          <w:lang w:eastAsia="zh-CN"/>
        </w:rPr>
        <w:t>在支出管理方面，我们坚决贯彻落实省委省政府关于落实党政机关“过紧日子”的有关精神，严格控制单位行政运行基本支出，有效地降低了行政成本。</w:t>
      </w:r>
      <w:r>
        <w:rPr>
          <w:rFonts w:ascii="仿宋" w:hAnsi="仿宋" w:eastAsia="仿宋" w:cs="仿宋"/>
          <w:i w:val="0"/>
          <w:caps w:val="0"/>
          <w:color w:val="333333"/>
          <w:spacing w:val="0"/>
          <w:sz w:val="32"/>
          <w:szCs w:val="32"/>
          <w:shd w:val="clear" w:fill="FFFFFF"/>
        </w:rPr>
        <w:t>部门支出严格遵守各项规章制度，</w:t>
      </w:r>
      <w:r>
        <w:rPr>
          <w:rFonts w:hint="eastAsia" w:ascii="仿宋" w:hAnsi="仿宋" w:eastAsia="仿宋" w:cs="仿宋"/>
          <w:i w:val="0"/>
          <w:caps w:val="0"/>
          <w:color w:val="333333"/>
          <w:spacing w:val="0"/>
          <w:sz w:val="32"/>
          <w:szCs w:val="32"/>
          <w:shd w:val="clear" w:fill="FFFFFF"/>
        </w:rPr>
        <w:t>在专项经费支出上，严格执行了专款专用制度，无截留、无挪用等现象。</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 w:hAnsi="仿宋" w:eastAsia="仿宋" w:cs="仿宋"/>
          <w:sz w:val="32"/>
          <w:szCs w:val="32"/>
          <w:lang w:val="en-US" w:eastAsia="zh-CN"/>
        </w:rPr>
      </w:pPr>
      <w:r>
        <w:rPr>
          <w:rFonts w:hint="eastAsia" w:ascii="楷体" w:hAnsi="楷体" w:eastAsia="楷体" w:cs="楷体"/>
          <w:b w:val="0"/>
          <w:bCs w:val="0"/>
          <w:sz w:val="32"/>
          <w:szCs w:val="32"/>
          <w:lang w:val="en-US" w:eastAsia="zh-CN"/>
        </w:rPr>
        <w:t>(一)组织情况</w:t>
      </w:r>
    </w:p>
    <w:p>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上级文件的有关要求，结合我单位实际情况，经局办公会研究决定，成立了以梁喜辉局长为组长的自评领导小组，明确了主管领导及业务科室等相关负责人，制定了2023年自评工作方案，为自评工作做好准备。</w:t>
      </w:r>
    </w:p>
    <w:p>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(二）实施过程</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2023年我单位自评绩效项目共有41个，由自评工作小组负责实施项目绩效自评工作，首先对2023年度41个项目的实际完成情况进行了解，与年初预算制定的绩效目标相比较，均已完成年初预算绩效目标；其次对项目资金的使用情况进行评价，通过查阅有关项目收入支出明细帐，审核项目资金是否专款专用、支出进度是否达到年初计划；最后，对项目实施过程中存在的问题进行分析讨论，并提出可行性建议和措施。</w:t>
      </w:r>
    </w:p>
    <w:p>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（三）预算资金安排</w:t>
      </w:r>
    </w:p>
    <w:p>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经自评得出，2023年我单位自评绩效项目共41个，其中，政府性基金项目24个，一般公共预算项目17个；自评</w:t>
      </w:r>
      <w:r>
        <w:rPr>
          <w:rFonts w:hint="eastAsia" w:ascii="仿宋" w:hAnsi="仿宋" w:eastAsia="仿宋" w:cs="仿宋"/>
          <w:sz w:val="32"/>
          <w:szCs w:val="32"/>
          <w:lang w:eastAsia="zh-CN"/>
        </w:rPr>
        <w:t>绩效项目资金</w:t>
      </w:r>
      <w:r>
        <w:rPr>
          <w:rFonts w:hint="eastAsia" w:ascii="仿宋" w:hAnsi="仿宋" w:eastAsia="仿宋" w:cs="仿宋"/>
          <w:sz w:val="32"/>
          <w:szCs w:val="32"/>
          <w:lang w:val="en-US" w:eastAsia="zh-CN"/>
        </w:rPr>
        <w:t>21073.60万元，其中，政府性基金12075.74万元（上级下达资金3646.79万元），一般公共预算资金8997.86万元（上级下达资金1320.1万元），41个项目的资金预算安排较为合理，实际资金与预算资金基本一致。</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2023年我单位较高效率地使用了各专项资金，基本完成了各项目的绩效目标，圆满完成了土地规划利用、地籍调查、不动产登记、林业占地补助等各项工作，根据各项目执行情况、项目绩效情况和指标体系，项目综合评价均为优秀。</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rPr>
        <w:t>石财农〔2022〕112号提前下达2023年省级林业改革发展补助资金（林草湿综合监测)</w:t>
      </w:r>
      <w:r>
        <w:rPr>
          <w:rFonts w:hint="eastAsia" w:ascii="仿宋" w:hAnsi="仿宋" w:eastAsia="仿宋"/>
          <w:sz w:val="32"/>
          <w:szCs w:val="32"/>
          <w:lang w:eastAsia="zh-CN"/>
        </w:rPr>
        <w:t>。该项目资金用于林草湿综合监测任务，需要</w:t>
      </w:r>
      <w:r>
        <w:rPr>
          <w:rFonts w:hint="eastAsia" w:ascii="仿宋" w:hAnsi="仿宋" w:eastAsia="仿宋"/>
          <w:sz w:val="32"/>
          <w:szCs w:val="32"/>
          <w:lang w:val="en-US" w:eastAsia="zh-CN"/>
        </w:rPr>
        <w:t>1.75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1.75</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1.75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98.5分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石财农〔2022〕101号提前下达2023年中央财政林业改革发展资金-林业有害生物防治补助。该项目资金用于完成林业有害生物防治面积3.16万亩，需要</w:t>
      </w:r>
      <w:r>
        <w:rPr>
          <w:rFonts w:hint="eastAsia" w:ascii="仿宋" w:hAnsi="仿宋" w:eastAsia="仿宋"/>
          <w:sz w:val="32"/>
          <w:szCs w:val="32"/>
          <w:lang w:val="en-US" w:eastAsia="zh-CN"/>
        </w:rPr>
        <w:t>9.5232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9.5232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95.23</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95.23</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石财农〔2022〕112号提前下达2023年省级林业改革发展补助资金（造林重点奖补-省级森林乡村奖补)。该项目资金用于创建省级森林乡村，需要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石财农〔2022〕112号提前下达2023年省级林业改革发展补助资金（造林重点奖补-村庄绿化提升村)。该项目资金用于完成绿化提升村任务，需要</w:t>
      </w:r>
      <w:r>
        <w:rPr>
          <w:rFonts w:hint="eastAsia" w:ascii="仿宋" w:hAnsi="仿宋" w:eastAsia="仿宋"/>
          <w:sz w:val="32"/>
          <w:szCs w:val="32"/>
          <w:lang w:val="en-US" w:eastAsia="zh-CN"/>
        </w:rPr>
        <w:t>12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12</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林业有害生物防控资金。该项目资金用于完成林业有害生物防治面积5597.9亩，需要</w:t>
      </w:r>
      <w:r>
        <w:rPr>
          <w:rFonts w:hint="eastAsia" w:ascii="仿宋" w:hAnsi="仿宋" w:eastAsia="仿宋"/>
          <w:sz w:val="32"/>
          <w:szCs w:val="32"/>
          <w:lang w:val="en-US" w:eastAsia="zh-CN"/>
        </w:rPr>
        <w:t>15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15</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7.0855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47.24</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47.24%</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全民所有建设用地资源资产清查价值体系建设工作。该项目资金用于对全民所有建设用地资源资产清查价值体系建设，达到资产清查价值体系建设成果，需要</w:t>
      </w:r>
      <w:r>
        <w:rPr>
          <w:rFonts w:hint="eastAsia" w:ascii="仿宋" w:hAnsi="仿宋" w:eastAsia="仿宋"/>
          <w:sz w:val="32"/>
          <w:szCs w:val="32"/>
          <w:lang w:val="en-US" w:eastAsia="zh-CN"/>
        </w:rPr>
        <w:t>18.14</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18.14</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18.14</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47.24</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标定地价、集体建设用地基准地价和农用地基准地价制定工作经费。该项目资金用于完成标定地价、集体建设用地基准地价和农用地基准地价的制定工作，需要</w:t>
      </w:r>
      <w:r>
        <w:rPr>
          <w:rFonts w:hint="eastAsia" w:ascii="仿宋" w:hAnsi="仿宋" w:eastAsia="仿宋"/>
          <w:sz w:val="32"/>
          <w:szCs w:val="32"/>
          <w:lang w:val="en-US" w:eastAsia="zh-CN"/>
        </w:rPr>
        <w:t>32.16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32.16</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32.16</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争创2022年全国节约集约示范县活动经费。该项目资金用于完成节约集约示范县的评比，需要</w:t>
      </w:r>
      <w:r>
        <w:rPr>
          <w:rFonts w:hint="eastAsia" w:ascii="仿宋" w:hAnsi="仿宋" w:eastAsia="仿宋"/>
          <w:sz w:val="32"/>
          <w:szCs w:val="32"/>
          <w:lang w:val="en-US" w:eastAsia="zh-CN"/>
        </w:rPr>
        <w:t>50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50</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50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劳务派遣和保安保洁人员工资。该项目资金用于劳务派遣人员的工资、保险、差旅费、中介管理费等基本支出，需要</w:t>
      </w:r>
      <w:r>
        <w:rPr>
          <w:rFonts w:hint="eastAsia" w:ascii="仿宋" w:hAnsi="仿宋" w:eastAsia="仿宋"/>
          <w:sz w:val="32"/>
          <w:szCs w:val="32"/>
          <w:lang w:val="en-US" w:eastAsia="zh-CN"/>
        </w:rPr>
        <w:t>240.81</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240.81</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240.81</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98.5分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补发苗圃场遗属补助。该项目资金用于补发苗圃场遗属补助，需要</w:t>
      </w:r>
      <w:r>
        <w:rPr>
          <w:rFonts w:hint="eastAsia" w:ascii="仿宋" w:hAnsi="仿宋" w:eastAsia="仿宋"/>
          <w:sz w:val="32"/>
          <w:szCs w:val="32"/>
          <w:lang w:val="en-US" w:eastAsia="zh-CN"/>
        </w:rPr>
        <w:t>4.02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4.02</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4.02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补发申华敏、彭彦霞、石峰2019年各项工资。该项目资金用于补发职工工资，需要</w:t>
      </w:r>
      <w:r>
        <w:rPr>
          <w:rFonts w:hint="eastAsia" w:ascii="仿宋" w:hAnsi="仿宋" w:eastAsia="仿宋"/>
          <w:sz w:val="32"/>
          <w:szCs w:val="32"/>
          <w:lang w:val="en-US" w:eastAsia="zh-CN"/>
        </w:rPr>
        <w:t>9.6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9.6</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9.6</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补缴任荣斌断缴养老保险。该项目资金用于补缴任荣斌断缴养老保险，需要</w:t>
      </w:r>
      <w:r>
        <w:rPr>
          <w:rFonts w:hint="eastAsia" w:ascii="仿宋" w:hAnsi="仿宋" w:eastAsia="仿宋"/>
          <w:sz w:val="32"/>
          <w:szCs w:val="32"/>
          <w:lang w:val="en-US" w:eastAsia="zh-CN"/>
        </w:rPr>
        <w:t>0.29</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0.29</w:t>
      </w:r>
      <w:r>
        <w:rPr>
          <w:rFonts w:hint="eastAsia" w:ascii="仿宋" w:hAnsi="仿宋" w:eastAsia="仿宋" w:cs="仿宋"/>
          <w:b w:val="0"/>
          <w:bCs w:val="0"/>
          <w:sz w:val="32"/>
          <w:szCs w:val="32"/>
        </w:rPr>
        <w:t>万元，实际到位数和执行数为</w:t>
      </w:r>
      <w:r>
        <w:rPr>
          <w:rFonts w:hint="eastAsia" w:ascii="仿宋" w:hAnsi="仿宋" w:eastAsia="仿宋"/>
          <w:sz w:val="32"/>
          <w:szCs w:val="32"/>
          <w:lang w:val="en-US" w:eastAsia="zh-CN"/>
        </w:rPr>
        <w:t>0.29</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石财城【2022】66号土地整治专项资金。该项目资金用于及时下达新增建设用地土地有偿使用费，需要</w:t>
      </w:r>
      <w:r>
        <w:rPr>
          <w:rFonts w:hint="eastAsia" w:ascii="仿宋" w:hAnsi="仿宋" w:eastAsia="仿宋"/>
          <w:sz w:val="32"/>
          <w:szCs w:val="32"/>
          <w:lang w:val="en-US" w:eastAsia="zh-CN"/>
        </w:rPr>
        <w:t>1276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1276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1276万元，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578.83</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45.36%</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自规局向上争引奖励资金。该项目资金用于支付单位的办公费用，需要</w:t>
      </w:r>
      <w:r>
        <w:rPr>
          <w:rFonts w:hint="eastAsia" w:ascii="仿宋" w:hAnsi="仿宋" w:eastAsia="仿宋"/>
          <w:sz w:val="32"/>
          <w:szCs w:val="32"/>
          <w:lang w:val="en-US" w:eastAsia="zh-CN"/>
        </w:rPr>
        <w:t>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6万元，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5.87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97.87%</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自收自支人员21年考核奖。该项目资金用于支付自收自支人员21年考核奖支出，需要</w:t>
      </w:r>
      <w:r>
        <w:rPr>
          <w:rFonts w:hint="eastAsia" w:ascii="仿宋" w:hAnsi="仿宋" w:eastAsia="仿宋"/>
          <w:sz w:val="32"/>
          <w:szCs w:val="32"/>
          <w:lang w:val="en-US" w:eastAsia="zh-CN"/>
        </w:rPr>
        <w:t>137.73</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137.73</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137.73</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2020年、2021年、2022年上半年变更调查项目。该项目资金用于完成年度变更调查工作，需要</w:t>
      </w:r>
      <w:r>
        <w:rPr>
          <w:rFonts w:hint="eastAsia" w:ascii="仿宋" w:hAnsi="仿宋" w:eastAsia="仿宋"/>
          <w:sz w:val="32"/>
          <w:szCs w:val="32"/>
          <w:lang w:val="en-US" w:eastAsia="zh-CN"/>
        </w:rPr>
        <w:t>36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36</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京港澳高速景观林带管护费。该项目资金用于京港澳景观林带管护费，需要</w:t>
      </w:r>
      <w:r>
        <w:rPr>
          <w:rFonts w:hint="eastAsia" w:ascii="仿宋" w:hAnsi="仿宋" w:eastAsia="仿宋"/>
          <w:sz w:val="32"/>
          <w:szCs w:val="32"/>
          <w:lang w:val="en-US" w:eastAsia="zh-CN"/>
        </w:rPr>
        <w:t>63.76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63.76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63.76万元，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62.78</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98.46%</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97.5分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省县道绿化带占地补。该项目资金用于兑现省县道两侧绿化占地补，需要</w:t>
      </w:r>
      <w:r>
        <w:rPr>
          <w:rFonts w:hint="eastAsia" w:ascii="仿宋" w:hAnsi="仿宋" w:eastAsia="仿宋"/>
          <w:sz w:val="32"/>
          <w:szCs w:val="32"/>
          <w:lang w:val="en-US" w:eastAsia="zh-CN"/>
        </w:rPr>
        <w:t>52.86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52.86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52.86</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周汉河两侧、汪洋沟绿化占地补贴。该项目资金用于兑现周汉河两侧、汪洋沟绿化占地补，需要</w:t>
      </w:r>
      <w:r>
        <w:rPr>
          <w:rFonts w:hint="eastAsia" w:ascii="仿宋" w:hAnsi="仿宋" w:eastAsia="仿宋"/>
          <w:sz w:val="32"/>
          <w:szCs w:val="32"/>
          <w:lang w:val="en-US" w:eastAsia="zh-CN"/>
        </w:rPr>
        <w:t>32.28</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32.28</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32.28</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京石高铁、石黄及307国道、京港澳高速绿化带占地补。该项目资金用于兑现京石高铁、石黄及307国道、京港澳高速绿化带绿化占地补，需要</w:t>
      </w:r>
      <w:r>
        <w:rPr>
          <w:rFonts w:hint="eastAsia" w:ascii="仿宋" w:hAnsi="仿宋" w:eastAsia="仿宋"/>
          <w:sz w:val="32"/>
          <w:szCs w:val="32"/>
          <w:lang w:val="en-US" w:eastAsia="zh-CN"/>
        </w:rPr>
        <w:t>532.37</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532.37</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532.37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100分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2018年京港澳高速公路两侧绿化带及环城林带建设项目2022年占地补（2022）。该项目资金用于环城林带两侧绿化占地补，需要</w:t>
      </w:r>
      <w:r>
        <w:rPr>
          <w:rFonts w:hint="eastAsia" w:ascii="仿宋" w:hAnsi="仿宋" w:eastAsia="仿宋"/>
          <w:sz w:val="32"/>
          <w:szCs w:val="32"/>
          <w:lang w:val="en-US" w:eastAsia="zh-CN"/>
        </w:rPr>
        <w:t>800.45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800.45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800.45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99.5分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2019年高速、高铁、国省公路两侧500米绿化带建设工程2021年占地补（2022）。该项目资金用于兑现高速、高铁、国省公路两侧500米绿化带占地补，需要</w:t>
      </w:r>
      <w:r>
        <w:rPr>
          <w:rFonts w:hint="eastAsia" w:ascii="仿宋" w:hAnsi="仿宋" w:eastAsia="仿宋"/>
          <w:sz w:val="32"/>
          <w:szCs w:val="32"/>
          <w:lang w:val="en-US" w:eastAsia="zh-CN"/>
        </w:rPr>
        <w:t>2921.25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2921.25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2921.25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石财农[2021]95号提前下达2022年中央财政林业改革发展资金（造林补助）。该项目资金用于全年完成造林7亩，需要</w:t>
      </w:r>
      <w:r>
        <w:rPr>
          <w:rFonts w:hint="eastAsia" w:ascii="仿宋" w:hAnsi="仿宋" w:eastAsia="仿宋"/>
          <w:sz w:val="32"/>
          <w:szCs w:val="32"/>
          <w:lang w:val="en-US" w:eastAsia="zh-CN"/>
        </w:rPr>
        <w:t>0.35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0.35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0.35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石财农〔2022〕100号提前下达2023年市级林业改革发展补助资金（环城林带建设项目)。该项目资金用于兑现环城绿化林带建设补助资金，需要</w:t>
      </w:r>
      <w:r>
        <w:rPr>
          <w:rFonts w:hint="eastAsia" w:ascii="仿宋" w:hAnsi="仿宋" w:eastAsia="仿宋"/>
          <w:sz w:val="32"/>
          <w:szCs w:val="32"/>
          <w:lang w:val="en-US" w:eastAsia="zh-CN"/>
        </w:rPr>
        <w:t>3646.79</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3646.79</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1826.90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50.10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50.10%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石财农[2022]31号下达2022年中央财政林业改革发展资金。该项目资金用于完成林业有害生物防治面积3.16万亩，需要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9.98</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99.80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99.80%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藁城区国土空间规划现状基数转换及“一张图”。该项目资金用于完成土地现状基数转换，需要</w:t>
      </w:r>
      <w:r>
        <w:rPr>
          <w:rFonts w:hint="eastAsia" w:ascii="仿宋" w:hAnsi="仿宋" w:eastAsia="仿宋"/>
          <w:sz w:val="32"/>
          <w:szCs w:val="32"/>
          <w:lang w:val="en-US" w:eastAsia="zh-CN"/>
        </w:rPr>
        <w:t>27</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27</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藁城区中心城区东部片区城市设计。该项目资金用于完成塑造片区的城市特色风貌区，合理确定城市布局，需要</w:t>
      </w:r>
      <w:r>
        <w:rPr>
          <w:rFonts w:hint="eastAsia" w:ascii="仿宋" w:hAnsi="仿宋" w:eastAsia="仿宋"/>
          <w:sz w:val="32"/>
          <w:szCs w:val="32"/>
          <w:lang w:val="en-US" w:eastAsia="zh-CN"/>
        </w:rPr>
        <w:t>20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藁城区13个乡镇国土空间规划。该项目资金用于完成藁城区乡镇国土空间规划的编制，需要</w:t>
      </w:r>
      <w:r>
        <w:rPr>
          <w:rFonts w:hint="eastAsia" w:ascii="仿宋" w:hAnsi="仿宋" w:eastAsia="仿宋"/>
          <w:sz w:val="32"/>
          <w:szCs w:val="32"/>
          <w:lang w:val="en-US" w:eastAsia="zh-CN"/>
        </w:rPr>
        <w:t>60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60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60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藁城区地形图测绘项目。该项目资金用于指导各项规划编制，为项目落地提供技术支撑，需要</w:t>
      </w:r>
      <w:r>
        <w:rPr>
          <w:rFonts w:hint="eastAsia" w:ascii="仿宋" w:hAnsi="仿宋" w:eastAsia="仿宋"/>
          <w:sz w:val="32"/>
          <w:szCs w:val="32"/>
          <w:lang w:val="en-US" w:eastAsia="zh-CN"/>
        </w:rPr>
        <w:t>50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50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不动产登记中心投保职业责任险。该项目资金用于为工作人员购买保险，保障职业风险，需要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土地勘测费。该项目资金用于满足对地块勘测定界的需求，同时配合完成征地所需测量，需要</w:t>
      </w:r>
      <w:r>
        <w:rPr>
          <w:rFonts w:hint="eastAsia" w:ascii="仿宋" w:hAnsi="仿宋" w:eastAsia="仿宋"/>
          <w:sz w:val="32"/>
          <w:szCs w:val="32"/>
          <w:lang w:val="en-US" w:eastAsia="zh-CN"/>
        </w:rPr>
        <w:t>15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藁城区国土空间生态修复规划。该项目资金用于藁城区全域开展国土空间生态修复规划编制工作，需要</w:t>
      </w:r>
      <w:r>
        <w:rPr>
          <w:rFonts w:hint="eastAsia" w:ascii="仿宋" w:hAnsi="仿宋" w:eastAsia="仿宋"/>
          <w:sz w:val="32"/>
          <w:szCs w:val="32"/>
          <w:lang w:val="en-US" w:eastAsia="zh-CN"/>
        </w:rPr>
        <w:t>20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卫片执法常态化工作机制经费。该项目资金用于将图斑核查结果按时录入自然资源执法综合监管平台，需要</w:t>
      </w:r>
      <w:r>
        <w:rPr>
          <w:rFonts w:hint="eastAsia" w:ascii="仿宋" w:hAnsi="仿宋" w:eastAsia="仿宋"/>
          <w:sz w:val="32"/>
          <w:szCs w:val="32"/>
          <w:lang w:val="en-US" w:eastAsia="zh-CN"/>
        </w:rPr>
        <w:t>11.7</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11.7</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11.7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2020年、2021年、2022年上半年变更调查项目。该项目资金用于完成年度变更调查工作，需要</w:t>
      </w:r>
      <w:r>
        <w:rPr>
          <w:rFonts w:hint="eastAsia" w:ascii="仿宋" w:hAnsi="仿宋" w:eastAsia="仿宋"/>
          <w:sz w:val="32"/>
          <w:szCs w:val="32"/>
          <w:lang w:val="en-US" w:eastAsia="zh-CN"/>
        </w:rPr>
        <w:t>36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36</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土地出让、收储评估费。该项目资金用于完成土地评估工作，需要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不动产登记中心租金及办公经费。该项目资金用于为不动产登记中心租赁办公场所，并支付水电物业等办公费用，需要</w:t>
      </w:r>
      <w:r>
        <w:rPr>
          <w:rFonts w:hint="eastAsia" w:ascii="仿宋" w:hAnsi="仿宋" w:eastAsia="仿宋"/>
          <w:sz w:val="32"/>
          <w:szCs w:val="32"/>
          <w:lang w:val="en-US" w:eastAsia="zh-CN"/>
        </w:rPr>
        <w:t>81.03</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81.03</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81.03</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97分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购买市级统筹调剂耕地占补平衡指标及粮食产能（2023年第2批次）。该项目资金用于购买石家庄市2023年度第2批次建设用地项目耕地占补平衡指标、粮食产能，需要</w:t>
      </w:r>
      <w:r>
        <w:rPr>
          <w:rFonts w:hint="eastAsia" w:ascii="仿宋" w:hAnsi="仿宋" w:eastAsia="仿宋"/>
          <w:sz w:val="32"/>
          <w:szCs w:val="32"/>
          <w:lang w:val="en-US" w:eastAsia="zh-CN"/>
        </w:rPr>
        <w:t>22.68</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22.68</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22.68</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购买市级统筹调剂耕地占补平衡指标及粮食产能费（2023年189批次）。该项目资金用于购买石家庄市2023年度第189批次建设用地项目耕地占补平衡指标、粮食产能，需要</w:t>
      </w:r>
      <w:r>
        <w:rPr>
          <w:rFonts w:hint="eastAsia" w:ascii="仿宋" w:hAnsi="仿宋" w:eastAsia="仿宋"/>
          <w:sz w:val="32"/>
          <w:szCs w:val="32"/>
          <w:lang w:val="en-US" w:eastAsia="zh-CN"/>
        </w:rPr>
        <w:t>589.34</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589.34</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589.34</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土地收储前期费用。该项目资金用于土地出让前缴纳耕地占用税，需要</w:t>
      </w:r>
      <w:r>
        <w:rPr>
          <w:rFonts w:hint="eastAsia" w:ascii="仿宋" w:hAnsi="仿宋" w:eastAsia="仿宋"/>
          <w:sz w:val="32"/>
          <w:szCs w:val="32"/>
          <w:lang w:val="en-US" w:eastAsia="zh-CN"/>
        </w:rPr>
        <w:t>1231.18</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1231.18</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1231.18</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拨付土地收储前期费用。该项目资金用于土地出让前缴纳耕地占用税，需要</w:t>
      </w:r>
      <w:r>
        <w:rPr>
          <w:rFonts w:hint="eastAsia" w:ascii="仿宋" w:hAnsi="仿宋" w:eastAsia="仿宋"/>
          <w:sz w:val="32"/>
          <w:szCs w:val="32"/>
          <w:lang w:val="en-US" w:eastAsia="zh-CN"/>
        </w:rPr>
        <w:t>2153.32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2153.32</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2153.32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99分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widowControl w:val="0"/>
        <w:numPr>
          <w:ilvl w:val="0"/>
          <w:numId w:val="3"/>
        </w:numPr>
        <w:wordWrap/>
        <w:adjustRightInd/>
        <w:snapToGrid w:val="0"/>
        <w:spacing w:line="560" w:lineRule="exact"/>
        <w:ind w:left="-10" w:leftChars="0" w:right="0" w:rightChars="0" w:firstLine="640" w:firstLineChars="0"/>
        <w:textAlignment w:val="auto"/>
        <w:outlineLvl w:val="9"/>
        <w:rPr>
          <w:rFonts w:hint="eastAsia" w:ascii="仿宋" w:hAnsi="仿宋" w:eastAsia="仿宋" w:cs="仿宋"/>
          <w:sz w:val="32"/>
          <w:szCs w:val="32"/>
          <w:lang w:val="en-US" w:eastAsia="zh-CN"/>
        </w:rPr>
      </w:pPr>
      <w:r>
        <w:rPr>
          <w:rFonts w:hint="eastAsia" w:ascii="仿宋" w:hAnsi="仿宋" w:eastAsia="仿宋"/>
          <w:sz w:val="32"/>
          <w:szCs w:val="32"/>
          <w:lang w:eastAsia="zh-CN"/>
        </w:rPr>
        <w:t>购买占补指标、粮食产能费（2023年第15批次食品产业园酒厂项目）。该项目资金用于购买石家庄市2023年度第15批次建设用地项目耕地占补平衡指标、粮食产能，需要</w:t>
      </w:r>
      <w:r>
        <w:rPr>
          <w:rFonts w:hint="eastAsia" w:ascii="仿宋" w:hAnsi="仿宋" w:eastAsia="仿宋"/>
          <w:sz w:val="32"/>
          <w:szCs w:val="32"/>
          <w:lang w:val="en-US" w:eastAsia="zh-CN"/>
        </w:rPr>
        <w:t>6833.77</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6833.77</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6833.77</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通过对全年项目进行绩效评价，逐项分析每个项目产出和效果指标完成情况，总得分</w:t>
      </w:r>
      <w:r>
        <w:rPr>
          <w:rFonts w:hint="eastAsia" w:ascii="仿宋" w:hAnsi="仿宋" w:eastAsia="仿宋" w:cs="仿宋"/>
          <w:sz w:val="32"/>
          <w:szCs w:val="32"/>
          <w:lang w:val="en-US" w:eastAsia="zh-CN"/>
        </w:rPr>
        <w:t>100</w:t>
      </w:r>
      <w:r>
        <w:rPr>
          <w:rFonts w:hint="eastAsia" w:ascii="仿宋" w:hAnsi="仿宋" w:eastAsia="仿宋" w:cs="仿宋"/>
          <w:sz w:val="32"/>
          <w:szCs w:val="32"/>
        </w:rPr>
        <w:t>分，得出综合评价结论和项目综合绩效评价等级为优秀。</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仿宋" w:cs="楷体_GB2312"/>
          <w:bCs/>
          <w:sz w:val="32"/>
          <w:szCs w:val="32"/>
          <w:lang w:eastAsia="zh-CN"/>
        </w:rPr>
      </w:pPr>
      <w:r>
        <w:rPr>
          <w:rFonts w:hint="eastAsia" w:ascii="仿宋" w:hAnsi="仿宋" w:eastAsia="仿宋" w:cs="仿宋"/>
          <w:b w:val="0"/>
          <w:bCs w:val="0"/>
          <w:sz w:val="32"/>
          <w:szCs w:val="32"/>
          <w:lang w:val="en-US" w:eastAsia="zh-CN"/>
        </w:rPr>
        <w:t>2023</w:t>
      </w:r>
      <w:r>
        <w:rPr>
          <w:rFonts w:hint="eastAsia" w:ascii="仿宋" w:hAnsi="仿宋" w:eastAsia="仿宋" w:cs="仿宋"/>
          <w:b w:val="0"/>
          <w:bCs w:val="0"/>
          <w:sz w:val="32"/>
          <w:szCs w:val="32"/>
        </w:rPr>
        <w:t>年，</w:t>
      </w:r>
      <w:r>
        <w:rPr>
          <w:rFonts w:hint="eastAsia" w:ascii="仿宋" w:hAnsi="仿宋" w:eastAsia="仿宋" w:cs="仿宋"/>
          <w:b w:val="0"/>
          <w:bCs w:val="0"/>
          <w:sz w:val="32"/>
          <w:szCs w:val="32"/>
          <w:lang w:eastAsia="zh-CN"/>
        </w:rPr>
        <w:t>我单位</w:t>
      </w:r>
      <w:r>
        <w:rPr>
          <w:rFonts w:hint="eastAsia" w:ascii="仿宋" w:hAnsi="仿宋" w:eastAsia="仿宋" w:cs="仿宋"/>
          <w:b w:val="0"/>
          <w:bCs w:val="0"/>
          <w:sz w:val="32"/>
          <w:szCs w:val="32"/>
        </w:rPr>
        <w:t>严格按照</w:t>
      </w:r>
      <w:r>
        <w:rPr>
          <w:rFonts w:hint="eastAsia" w:ascii="仿宋" w:hAnsi="仿宋" w:eastAsia="仿宋" w:cs="仿宋"/>
          <w:sz w:val="32"/>
          <w:szCs w:val="32"/>
        </w:rPr>
        <w:t>预算项目绩效自评管理办法</w:t>
      </w:r>
      <w:r>
        <w:rPr>
          <w:rFonts w:hint="eastAsia" w:ascii="仿宋" w:hAnsi="仿宋" w:eastAsia="仿宋" w:cs="仿宋"/>
          <w:b w:val="0"/>
          <w:bCs w:val="0"/>
          <w:sz w:val="32"/>
          <w:szCs w:val="32"/>
        </w:rPr>
        <w:t>，及时开展项目落实，为全年工作的开展提供了保障，但还是存在绩效制度不健全、绩效管理质量不高、年初预算</w:t>
      </w:r>
      <w:r>
        <w:rPr>
          <w:rFonts w:hint="eastAsia" w:ascii="仿宋" w:hAnsi="仿宋" w:eastAsia="仿宋" w:cs="仿宋"/>
          <w:b w:val="0"/>
          <w:bCs w:val="0"/>
          <w:sz w:val="32"/>
          <w:szCs w:val="32"/>
          <w:lang w:eastAsia="zh-CN"/>
        </w:rPr>
        <w:t>有</w:t>
      </w:r>
      <w:r>
        <w:rPr>
          <w:rFonts w:hint="eastAsia" w:ascii="仿宋" w:hAnsi="仿宋" w:eastAsia="仿宋" w:cs="仿宋"/>
          <w:b w:val="0"/>
          <w:bCs w:val="0"/>
          <w:sz w:val="32"/>
          <w:szCs w:val="32"/>
        </w:rPr>
        <w:t>偏差的问题</w:t>
      </w:r>
      <w:r>
        <w:rPr>
          <w:rFonts w:hint="eastAsia" w:ascii="仿宋" w:hAnsi="仿宋" w:eastAsia="仿宋" w:cs="仿宋"/>
          <w:b w:val="0"/>
          <w:bCs w:val="0"/>
          <w:sz w:val="32"/>
          <w:szCs w:val="32"/>
          <w:lang w:eastAsia="zh-CN"/>
        </w:rPr>
        <w:t>。</w:t>
      </w:r>
    </w:p>
    <w:p>
      <w:pPr>
        <w:keepNext w:val="0"/>
        <w:keepLines w:val="0"/>
        <w:pageBreakBefore w:val="0"/>
        <w:widowControl w:val="0"/>
        <w:numPr>
          <w:ilvl w:val="0"/>
          <w:numId w:val="5"/>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jc w:val="left"/>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一是加强绩效制度建设。完善绩效管理和评价制度，加强预算编制的前瞻性。编制预算时充分考虑本部门的发展规划，结合上一年度预算执行情况和本年度预算收支变化因素，科学、合理地编制预算草案。</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jc w:val="left"/>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二是强化绩效目标管理。把绩效目标作为项目实施的前置条件，提高资金使用的合理性和科学性。严格按各项法律、法规、规章制度执行财务核算，尽可能地做到决算与预算相互衔接。</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sz w:val="32"/>
          <w:szCs w:val="32"/>
        </w:rPr>
      </w:pPr>
      <w:r>
        <w:rPr>
          <w:rFonts w:hint="eastAsia" w:ascii="仿宋" w:hAnsi="仿宋" w:eastAsia="仿宋" w:cs="仿宋"/>
          <w:b w:val="0"/>
          <w:bCs w:val="0"/>
          <w:sz w:val="32"/>
          <w:szCs w:val="32"/>
        </w:rPr>
        <w:t>三是加强绩效运行监管。加强重大项目的事前、事中、事后监督管理，将资金同项目实施质量挂钩，提升资金的使用效能。</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751BC1C"/>
    <w:multiLevelType w:val="singleLevel"/>
    <w:tmpl w:val="A751BC1C"/>
    <w:lvl w:ilvl="0" w:tentative="0">
      <w:start w:val="1"/>
      <w:numFmt w:val="chineseCounting"/>
      <w:suff w:val="nothing"/>
      <w:lvlText w:val="（%1）"/>
      <w:lvlJc w:val="left"/>
      <w:rPr>
        <w:rFonts w:hint="eastAsia"/>
      </w:rPr>
    </w:lvl>
  </w:abstractNum>
  <w:abstractNum w:abstractNumId="2">
    <w:nsid w:val="C85BF773"/>
    <w:multiLevelType w:val="singleLevel"/>
    <w:tmpl w:val="C85BF773"/>
    <w:lvl w:ilvl="0" w:tentative="0">
      <w:start w:val="1"/>
      <w:numFmt w:val="decimal"/>
      <w:suff w:val="nothing"/>
      <w:lvlText w:val="%1、"/>
      <w:lvlJc w:val="left"/>
      <w:pPr>
        <w:ind w:left="-10"/>
      </w:p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abstractNum w:abstractNumId="4">
    <w:nsid w:val="371BA503"/>
    <w:multiLevelType w:val="singleLevel"/>
    <w:tmpl w:val="371BA503"/>
    <w:lvl w:ilvl="0" w:tentative="0">
      <w:start w:val="2"/>
      <w:numFmt w:val="chineseCounting"/>
      <w:suff w:val="nothing"/>
      <w:lvlText w:val="（%1）"/>
      <w:lvlJc w:val="left"/>
      <w:rPr>
        <w:rFonts w:hint="eastAsia"/>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2C24DFB"/>
    <w:rsid w:val="055B525F"/>
    <w:rsid w:val="070D450F"/>
    <w:rsid w:val="09FF3680"/>
    <w:rsid w:val="0C2516B3"/>
    <w:rsid w:val="0CD447C9"/>
    <w:rsid w:val="0DCA3CF5"/>
    <w:rsid w:val="0E4A1625"/>
    <w:rsid w:val="12FF3F98"/>
    <w:rsid w:val="1355088D"/>
    <w:rsid w:val="13B61930"/>
    <w:rsid w:val="15A37B79"/>
    <w:rsid w:val="15DC63A3"/>
    <w:rsid w:val="1659106B"/>
    <w:rsid w:val="18756FF4"/>
    <w:rsid w:val="1A3B21A2"/>
    <w:rsid w:val="1BAF1154"/>
    <w:rsid w:val="1BD839EA"/>
    <w:rsid w:val="1C655171"/>
    <w:rsid w:val="1D4E6CE3"/>
    <w:rsid w:val="1D7F2C5E"/>
    <w:rsid w:val="20276775"/>
    <w:rsid w:val="20ED591B"/>
    <w:rsid w:val="23B735DC"/>
    <w:rsid w:val="24B84379"/>
    <w:rsid w:val="26B75F6B"/>
    <w:rsid w:val="29567228"/>
    <w:rsid w:val="2C4F6C80"/>
    <w:rsid w:val="2F2C2A40"/>
    <w:rsid w:val="344704E1"/>
    <w:rsid w:val="35B670DA"/>
    <w:rsid w:val="373A0037"/>
    <w:rsid w:val="395D368B"/>
    <w:rsid w:val="39744C0B"/>
    <w:rsid w:val="3AEF6FE7"/>
    <w:rsid w:val="4018763F"/>
    <w:rsid w:val="40B60A9A"/>
    <w:rsid w:val="40CD2AC7"/>
    <w:rsid w:val="42336EF9"/>
    <w:rsid w:val="441F3676"/>
    <w:rsid w:val="4738342C"/>
    <w:rsid w:val="493B718D"/>
    <w:rsid w:val="4A0E3259"/>
    <w:rsid w:val="4A7F22B0"/>
    <w:rsid w:val="4BA15616"/>
    <w:rsid w:val="4CCF4643"/>
    <w:rsid w:val="4E0916A3"/>
    <w:rsid w:val="51E019B5"/>
    <w:rsid w:val="53A42ADD"/>
    <w:rsid w:val="5543190C"/>
    <w:rsid w:val="563B01B4"/>
    <w:rsid w:val="56604927"/>
    <w:rsid w:val="57682798"/>
    <w:rsid w:val="590F0BE0"/>
    <w:rsid w:val="5C4A315B"/>
    <w:rsid w:val="5F402445"/>
    <w:rsid w:val="5F9B5479"/>
    <w:rsid w:val="60930789"/>
    <w:rsid w:val="638E43EB"/>
    <w:rsid w:val="661D3074"/>
    <w:rsid w:val="6B1C1E0E"/>
    <w:rsid w:val="6BDE7164"/>
    <w:rsid w:val="6E1D3C86"/>
    <w:rsid w:val="72371A68"/>
    <w:rsid w:val="759846A5"/>
    <w:rsid w:val="774571BA"/>
    <w:rsid w:val="77C21D4E"/>
    <w:rsid w:val="780B19A9"/>
    <w:rsid w:val="7C4130BE"/>
    <w:rsid w:val="7C536ADC"/>
    <w:rsid w:val="7C921BC5"/>
    <w:rsid w:val="7CA90A7D"/>
    <w:rsid w:val="7D640E2D"/>
    <w:rsid w:val="7E81642C"/>
    <w:rsid w:val="7F794CB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9</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WPS_1552048206</cp:lastModifiedBy>
  <cp:lastPrinted>2021-02-24T05:43:00Z</cp:lastPrinted>
  <dcterms:modified xsi:type="dcterms:W3CDTF">2024-05-29T01:09:56Z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