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石家庄市藁城区人力资源和社会保障局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left"/>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文件精神，遵循“科学性、规范性、客观性和公正性”的原则，对</w:t>
      </w:r>
      <w:r>
        <w:rPr>
          <w:rFonts w:hint="eastAsia" w:ascii="仿宋_GB2312" w:hAnsi="仿宋_GB2312" w:eastAsia="仿宋_GB2312" w:cs="仿宋_GB2312"/>
          <w:sz w:val="32"/>
          <w:szCs w:val="32"/>
          <w:highlight w:val="none"/>
          <w:lang w:val="en-US" w:eastAsia="zh-CN"/>
        </w:rPr>
        <w:t>石家庄市藁城区人力资源和社会保障局</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snapToGrid w:val="0"/>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本部门基本职责包括：</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(一)人才队伍建设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综合管理全区各类专业技术人员和专业技术职称的改革工作，负责各类专家及高层次人才选拔和培养</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建立健全我区各类专家及高层次人才、专业技术人才、技能人才队伍。</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(二)人事管理对区直政府系统事业单位人事工作进行综合指导、监督检查、协调服务。负责事业单位岗位设置管理。确保事业单位公开招聘公平、公正；</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(三)工资制度改革</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贯彻落实企事业单位人员工资收入分配政策，建立全区企事业单位人员工资正常增长和支付保障机制，负责全区政府系统科以下事业单位人员福利和离退休工作，并负责监督检查</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深化企事业单位工资制度改革。</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(四)劳动关系管理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综合管理全区劳动人事争议预防、协调、仲裁工作；指导企业及基层劳动人事争议调解委员会的工作；完善劳动关系协调机制，依法行使国家劳动和社会保障监督检查权，协调劳动者维权工作，依法查处重大案件,加强劳动关系协调机制建设，构建和谐顺畅劳动关系。</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(五)人社政务管理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综合协调局政务、事务,负责全区人力资源和社会保障的宣传和舆情研究。</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(六)社会保险稽核</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进行执法检查《社会保险稽核》，实地稽核、举报稽核、约谈稽核,组织实施社会保险稽核，强化风险防控，规范经办行为。</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(七)城乡居民基本养老保险</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完善我区社会保障体系，统筹城乡社会发展，全面建立公平、统一、规范、可持续的城乡居民基本养老保险制度，实现老有所养的社会建设目标。按照业务流程操作业务,确保基金及时到账,保证基金安全运行,养老金及时足额发放无拖欠。维护失地农民合法权益。</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八)信息管理、计算机及附属设备的配置和维护，社会保障卡的管理工作负责本单位政府信息公开；单位计算机及附属设备的配置，网格系统平台的运行维护和管理。制定社会保障卡信息采集工作要求、社保卡发放流程及社保卡综合管理的工作规范。及时准确公开单位信息，保障人民群众的知情权；保证单位计算机及网络系统的正常运转，保证单位工作的正常开展。保证社保卡尽快发放到所有参保人手中。</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(九)档案管理和各项查询服务企业离退休人员社会化管理，资格认证与体检</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1、严格按照归档范围，做好文书、业务、会计、声像、科技档案的收集整理保管工作；2、严格执行保密、借阅制度，维护档案的安全；3、做好档案移交、统计、利用、维护工作。4、负责本辖区内企业退休人员社会化管理服务工作的业务指导，负责组织实施，统筹协调监督检查。严格履行档案管理职责，做到档案管理规范。防范基金风险，堵塞基金漏洞。</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(十)机关事业单位及在职人员参保缴费管理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负责参保单位申报审核，收缴养老保险费。</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保证参保率、收缴率，做到应保尽保、应收尽收。</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(十一)</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企业养老管理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努力扩大养老保险覆盖面，审核企业养老保险费申报核定，扩大灵活人员和个体参保面，负责参保职工养老保险费个人账户的管理，负责养老保险关系的转移，负责退休人员待遇审核，负责离退人员待遇发放（抗战前期参加工作企业离休人员及遗属供养人员待遇支付等业务)为新参保单位和个人办理参保手续。督促企业实事求是的申报养老保险费，为个体工商户和灵活就业人员办理参保手续，核对在职职工的个人账户，促进参保人员跨省和省内人员就业流动，退休人员档案审核，待遇核准，发放离退休人员待遇。</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(十二)</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工伤保险费征缴及待遇发放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本区行政区域内的企业、事业单位、社会团体、民办非企业单位会计师事务所等组织和有雇工的个体工商户参保、缴费；经社保行政部门认（鉴）定后的工伤待遇发放,提高工伤保险参保率，确保工伤保险待遇落实到位。</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(十三)</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就业再就业扶持政策落实</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贯彻落实就业再就业扶持政策政策，制定本区就业规划, 根据石财社[2012]16号，依法依规用好就业专项资金，落实就业创业优惠政策。</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(十四)</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创业扶持政策落实</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贯彻落实创业扶持政策，鼓励创业促进就业，根据石政办发【2014】9号和石人社字【2014】65号，依法依规用好创业扶持资金，落实创业扶持政策。</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(十五)</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小额担保贷款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落实小额担保贷款工作，根据财金【2013】84号，做好小额担保贷款工作。</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(十六)</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就业服务体系建设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培育和完善人力资源市场，规范人力资源市场活动，开展就业服务，落实城乡劳动者平等就业制度，积极促进就业促进失业人员再就业，控制城镇登记失业率，转移农村劳动力，保持就业形势的基本稳定。</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(十七)</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失业保险管理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失业保险金申报、审核。失业人员失业保险待遇核定发放，做好失业动态监测工作，及时足额落实失业保险待遇；完成失业动态监测。</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(十八)</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劳动技校政务管理</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协调各科室政务、事务，负责本单位后勤保障、党务党建、调研等综合性工作。</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(十九)</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政策宣传，组织推动</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贯彻执行国家的职业教育方针，落实上级人社部门有关职业教育的各项政策，完善技能人才培养体系，加大宣传力度，使国家政策深入人心。</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(二十)</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全日制教育</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主要承担通过学制教育培养中级技能人才任务，根据劳动力市场，确定专业设置、学制、招生人数。</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(二十一)</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社会培训</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进一步加大社会职业培训力度，提高培训质量</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采取自主培训、订单培训、岗前培训、劳动预备制培训等形式开展就业技能培训和创业培训。</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(二十二)职业技能鉴定</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根据国家政策，受理职业技能鉴定申请，对申报者进行资格审查，组织合格申报人员按规定时间和方式进行考核考评，并负责向鉴定合格者发放职业资格证书，加大宣传力度，使国家政策深入人心，让申报者充分了解国家相关政策和职业资格国家准入制度。</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(二十三)职业能力建设</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统筹建立职业培训制度，落实职业技能鉴定政策，按国家和市政府要求推动职业能力建设，开展职业培训能力建设相关工作</w:t>
      </w:r>
      <w:r>
        <w:rPr>
          <w:rFonts w:hint="eastAsia" w:ascii="仿宋_GB2312" w:hAnsi="仿宋" w:eastAsia="仿宋_GB2312"/>
          <w:color w:val="000000"/>
          <w:sz w:val="32"/>
          <w:szCs w:val="32"/>
        </w:rPr>
        <w:tab/>
      </w:r>
      <w:r>
        <w:rPr>
          <w:rFonts w:hint="eastAsia" w:ascii="仿宋_GB2312" w:hAnsi="仿宋" w:eastAsia="仿宋_GB2312"/>
          <w:color w:val="000000"/>
          <w:sz w:val="32"/>
          <w:szCs w:val="32"/>
        </w:rPr>
        <w:t>建立符合条件的定点培训机构，完善培训点的设施、设备和师资力量，保证按质按量完成培训工作。</w:t>
      </w:r>
    </w:p>
    <w:p>
      <w:pPr>
        <w:ind w:firstLine="640" w:firstLineChars="200"/>
        <w:outlineLvl w:val="0"/>
        <w:rPr>
          <w:rFonts w:hint="eastAsia" w:ascii="仿宋_GB2312" w:hAnsi="仿宋" w:eastAsia="仿宋_GB2312"/>
          <w:color w:val="000000"/>
          <w:sz w:val="32"/>
          <w:szCs w:val="32"/>
        </w:rPr>
      </w:pPr>
      <w:r>
        <w:rPr>
          <w:rFonts w:hint="eastAsia" w:ascii="仿宋_GB2312" w:hAnsi="仿宋" w:eastAsia="仿宋_GB2312"/>
          <w:color w:val="000000"/>
          <w:sz w:val="32"/>
          <w:szCs w:val="32"/>
        </w:rPr>
        <w:t>本部门组织机构包括：</w:t>
      </w:r>
    </w:p>
    <w:tbl>
      <w:tblPr>
        <w:tblStyle w:val="5"/>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rFonts w:hint="eastAsia" w:ascii="仿宋_GB2312" w:hAnsi="Calibri" w:eastAsia="仿宋_GB2312" w:cs="ArialUnicodeMS"/>
                <w:b/>
                <w:bCs/>
                <w:kern w:val="0"/>
                <w:sz w:val="32"/>
                <w:szCs w:val="32"/>
              </w:rPr>
            </w:pPr>
            <w:r>
              <w:rPr>
                <w:rFonts w:hint="eastAsia" w:ascii="仿宋_GB2312" w:eastAsia="仿宋_GB2312" w:cs="ArialUnicodeMS"/>
                <w:b/>
                <w:bCs/>
                <w:kern w:val="0"/>
                <w:sz w:val="32"/>
                <w:szCs w:val="32"/>
              </w:rPr>
              <w:t>序号</w:t>
            </w:r>
          </w:p>
        </w:tc>
        <w:tc>
          <w:tcPr>
            <w:tcW w:w="348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rFonts w:hint="eastAsia" w:ascii="仿宋_GB2312" w:hAnsi="Calibri" w:eastAsia="仿宋_GB2312" w:cs="ArialUnicodeMS"/>
                <w:b/>
                <w:bCs/>
                <w:kern w:val="0"/>
                <w:sz w:val="32"/>
                <w:szCs w:val="32"/>
              </w:rPr>
            </w:pPr>
            <w:r>
              <w:rPr>
                <w:rFonts w:hint="eastAsia" w:ascii="仿宋_GB2312" w:eastAsia="仿宋_GB2312" w:cs="ArialUnicodeMS"/>
                <w:b/>
                <w:bCs/>
                <w:kern w:val="0"/>
                <w:sz w:val="32"/>
                <w:szCs w:val="32"/>
              </w:rPr>
              <w:t>单位名称</w:t>
            </w:r>
          </w:p>
        </w:tc>
        <w:tc>
          <w:tcPr>
            <w:tcW w:w="244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rFonts w:hint="eastAsia" w:ascii="仿宋_GB2312" w:hAnsi="Calibri" w:eastAsia="仿宋_GB2312" w:cs="ArialUnicodeMS"/>
                <w:b/>
                <w:bCs/>
                <w:kern w:val="0"/>
                <w:sz w:val="32"/>
                <w:szCs w:val="32"/>
              </w:rPr>
            </w:pPr>
            <w:r>
              <w:rPr>
                <w:rFonts w:hint="eastAsia" w:ascii="仿宋_GB2312" w:eastAsia="仿宋_GB2312" w:cs="ArialUnicodeMS"/>
                <w:b/>
                <w:bCs/>
                <w:kern w:val="0"/>
                <w:sz w:val="32"/>
                <w:szCs w:val="32"/>
              </w:rPr>
              <w:t>单位基本性质</w:t>
            </w:r>
          </w:p>
        </w:tc>
        <w:tc>
          <w:tcPr>
            <w:tcW w:w="2665" w:type="dxa"/>
            <w:tcBorders>
              <w:top w:val="single" w:color="auto" w:sz="4" w:space="0"/>
              <w:left w:val="single" w:color="auto" w:sz="4" w:space="0"/>
              <w:bottom w:val="single" w:color="auto" w:sz="4" w:space="0"/>
              <w:right w:val="single" w:color="auto" w:sz="4" w:space="0"/>
            </w:tcBorders>
            <w:vAlign w:val="center"/>
          </w:tcPr>
          <w:p>
            <w:pPr>
              <w:spacing w:line="560" w:lineRule="exact"/>
              <w:jc w:val="center"/>
              <w:rPr>
                <w:rFonts w:hint="eastAsia" w:ascii="仿宋_GB2312" w:hAnsi="Calibri" w:eastAsia="仿宋_GB2312" w:cs="ArialUnicodeMS"/>
                <w:b/>
                <w:bCs/>
                <w:kern w:val="0"/>
                <w:sz w:val="32"/>
                <w:szCs w:val="32"/>
              </w:rPr>
            </w:pPr>
            <w:r>
              <w:rPr>
                <w:rFonts w:hint="eastAsia" w:ascii="仿宋_GB2312" w:eastAsia="仿宋_GB2312" w:cs="ArialUnicodeMS"/>
                <w:b/>
                <w:bCs/>
                <w:kern w:val="0"/>
                <w:sz w:val="32"/>
                <w:szCs w:val="32"/>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1</w:t>
            </w:r>
          </w:p>
        </w:tc>
        <w:tc>
          <w:tcPr>
            <w:tcW w:w="348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石家庄市藁城区人力资源和社会保障局</w:t>
            </w:r>
          </w:p>
        </w:tc>
        <w:tc>
          <w:tcPr>
            <w:tcW w:w="244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行政机关</w:t>
            </w:r>
          </w:p>
        </w:tc>
        <w:tc>
          <w:tcPr>
            <w:tcW w:w="266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2</w:t>
            </w:r>
          </w:p>
        </w:tc>
        <w:tc>
          <w:tcPr>
            <w:tcW w:w="348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石家庄市藁城区劳动技工学校</w:t>
            </w:r>
          </w:p>
        </w:tc>
        <w:tc>
          <w:tcPr>
            <w:tcW w:w="244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事业单位</w:t>
            </w:r>
          </w:p>
        </w:tc>
        <w:tc>
          <w:tcPr>
            <w:tcW w:w="266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3</w:t>
            </w:r>
          </w:p>
        </w:tc>
        <w:tc>
          <w:tcPr>
            <w:tcW w:w="348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石家庄市藁城区社会保险中心</w:t>
            </w:r>
          </w:p>
        </w:tc>
        <w:tc>
          <w:tcPr>
            <w:tcW w:w="244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事业单位</w:t>
            </w:r>
          </w:p>
        </w:tc>
        <w:tc>
          <w:tcPr>
            <w:tcW w:w="266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4</w:t>
            </w:r>
          </w:p>
        </w:tc>
        <w:tc>
          <w:tcPr>
            <w:tcW w:w="348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石家庄市藁城区就业服务中心</w:t>
            </w:r>
          </w:p>
        </w:tc>
        <w:tc>
          <w:tcPr>
            <w:tcW w:w="244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事业单位</w:t>
            </w:r>
          </w:p>
        </w:tc>
        <w:tc>
          <w:tcPr>
            <w:tcW w:w="2665" w:type="dxa"/>
            <w:tcBorders>
              <w:top w:val="single" w:color="auto" w:sz="4" w:space="0"/>
              <w:left w:val="single" w:color="auto" w:sz="4" w:space="0"/>
              <w:bottom w:val="single" w:color="auto" w:sz="4" w:space="0"/>
              <w:right w:val="single" w:color="auto" w:sz="4" w:space="0"/>
            </w:tcBorders>
          </w:tcPr>
          <w:p>
            <w:pPr>
              <w:spacing w:line="560" w:lineRule="exact"/>
              <w:jc w:val="center"/>
              <w:rPr>
                <w:rFonts w:hint="eastAsia" w:ascii="仿宋_GB2312" w:hAnsi="Calibri" w:eastAsia="仿宋_GB2312" w:cs="ArialUnicodeMS"/>
                <w:kern w:val="0"/>
                <w:sz w:val="32"/>
                <w:szCs w:val="32"/>
              </w:rPr>
            </w:pPr>
            <w:r>
              <w:rPr>
                <w:rFonts w:hint="eastAsia" w:ascii="仿宋_GB2312" w:eastAsia="仿宋_GB2312" w:cs="ArialUnicodeMS"/>
                <w:kern w:val="0"/>
                <w:sz w:val="32"/>
                <w:szCs w:val="32"/>
              </w:rPr>
              <w:t>财政性资金基本保证</w:t>
            </w:r>
          </w:p>
        </w:tc>
      </w:tr>
    </w:tbl>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pStyle w:val="9"/>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预算情况：2023年预算收入45926.37万元，其中：一般公共预算收入45440.26万元，基金预算收入0万元，财政专户核拨收入0万元，其他来源收入486.11万元。2023年部门支出预算为45926.37万元，其中基本支出2209.53万元，包括人员经费2112.75万元和日常公用经费96.78万元；项目支出43716.84万元，主要为财政拨款结转项目483.31万元，年初预算本级项目18496.46万元，年初预算提前下达专款24737.07万元；其他支出0万元。</w:t>
      </w:r>
    </w:p>
    <w:p>
      <w:pPr>
        <w:pStyle w:val="9"/>
        <w:rPr>
          <w:rFonts w:hint="default" w:ascii="仿宋_GB2312" w:hAnsi="仿宋" w:eastAsia="仿宋_GB2312" w:cs="Times New Roman"/>
          <w:color w:val="000000"/>
          <w:kern w:val="2"/>
          <w:sz w:val="32"/>
          <w:szCs w:val="32"/>
          <w:lang w:val="en-US" w:eastAsia="zh-CN" w:bidi="ar-SA"/>
        </w:rPr>
      </w:pPr>
      <w:r>
        <w:rPr>
          <w:rFonts w:hint="eastAsia" w:ascii="楷体_GB2312" w:hAnsi="楷体_GB2312" w:eastAsia="楷体_GB2312" w:cs="楷体_GB2312"/>
          <w:bCs/>
          <w:sz w:val="32"/>
          <w:szCs w:val="32"/>
          <w:lang w:val="en-US" w:eastAsia="zh-CN"/>
        </w:rPr>
        <w:t>决算情况：</w:t>
      </w:r>
      <w:r>
        <w:rPr>
          <w:rFonts w:hint="eastAsia" w:ascii="仿宋_GB2312" w:hAnsi="仿宋" w:eastAsia="仿宋_GB2312" w:cs="Times New Roman"/>
          <w:color w:val="000000"/>
          <w:kern w:val="2"/>
          <w:sz w:val="32"/>
          <w:szCs w:val="32"/>
          <w:lang w:val="en-US" w:eastAsia="zh-CN" w:bidi="ar-SA"/>
        </w:rPr>
        <w:t>2023年本单位总收入44910.4万元，总支出44910.4万元。预算收入44910.4万元，预算支出44910.4万元。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总体绩效目标：贯彻落实中央和省委、市委及区位关于人力资源和社会保障工作的方针政策和决策部署，坚持和加强人力资源和社会保障工作的集中统一领导，整体绩效目标如下：</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落实人才引进目标政策，对区直政府系统事业单位人事工作进行综合指导、监督检查、协调服务，贯彻落实企事业单位人员工资收入分配政策，建立全区企事业单位人员工资正常增长和支付保障机制，做好农民工工作，维护农民工合法权益，建立健全运行机制，扩展服务功能，改善服务手段，提升服务能力，负责组织开展公共就业服务专项行动，做好就业再就业援助工作。统筹推进社会保障体系建设，完善劳动关系协调协商机制，推进全民参保，推动法定人群全民覆盖，实现应参尽参，应保尽保，扩大企业养老、居民养老、工伤保险覆盖面。</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分绩效目标：</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(一)做好事业单位管理工作，贯彻落实人才工作目标</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绩效目标：开展事业单位人事管理工作及全区职称评审工作，争取工作圆满完成,相关单位人员满意，达成预定工作目标。</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绩效指标：受益对象满意度90%以上，相关单位满意度90%以上。</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（二）完善劳动关系调解协商机制，落实相关政策。</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绩效目标：提高案件办结率，圆满解决突发情况,维护社会稳定。</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绩效指标：提高劳动监察接待欠薪案件受理率、劳动争议案件受理率。</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（三）落实全区人力资源和社会保障事业规划。</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绩效目标：落实人社系统事业规划，促进人社工作有序发展。</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绩效指标：统筹推进人社系统工作进展，落实人社事业规划。群众满意度不断提高，相关单位满意度90%以上，业务保障能力不断提升。</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（四）促进就业创业工作，落实有关政策。</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绩效目标：合理利用政策和专项资金，提高收益群体覆盖面。</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绩效指标：补助覆盖率达到90%以上，经济增长情况达到90%以上，群众满意度达到90%以上。</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（五）社会培训</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绩效目标：在全区范围内开展职业技能培训和创业培训及新型学徒制培训。</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绩效指标：提高全区范围内职业技能培训人数。</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（六）职业技能鉴定</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绩效目标：协调鉴定过程中有关事务、协助鉴定中心办理证书、负责鉴定过程中的安全管理工作。</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绩效指标：鉴定结束后，合格者在30天内发放职业资格证书。</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（七）搭建服务平台，拓宽就业渠道</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绩效目标：主动与用工企业对接，进一步扩大用工信息的采集面，获取用工信息，并进行及时发布，使城乡各类求职人员能够及时、准确地了解到最新的用工需求。</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绩效指标：定期举办劳务招聘洽谈会开展职业指导服务，对登记求职的下岗失业人员、就业困难人员、高校毕业生、复退军人等各类群体采取“一对一”和“集中式”的职业指导，帮助他们了解我区的就业形势。</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（八）开展职业培训，提升技能水平</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绩效目标：积极开展职业技能培训，加强职业技能培训监管，提升我区劳动者整体技能素质水平，畅通职业发展通道。</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绩效指标：根据不同群体，汇集市场用工需求，组织开展培训；严格执行开班申请、期间督查、结业回访三项工作制度，提高培训服务水平，建立健全培训人员台账，确保培训工作有序开展。</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（九）落实就业创业政策，激发就业创业活力</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绩效目标：激发我区创新潜能和就业创业活力。</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积极开展创业担保贷款政策宣传，使群众了解政策，让初次创业人员享受政策，达到以促进创业带动就业；宣传和落实高校毕业生创业政策，鼓励高校毕业生自主创业，并享受政策补贴；鼓励就业困难人员灵活就业，落实灵活就业人员社会保险补贴政策。</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（十）扩大覆盖范围，强化基金征缴，维护参保人员基本权益。</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绩效目标：加大社会保险政策法规宣传力度，扩大社会保险覆盖面。</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 xml:space="preserve">绩效指标：推进全民参保，推动法定人群全民覆盖，实现应参尽参，应保尽保，城乡居民参保率达到98%以上。 </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（十一）深化城乡居民养老保险制度改革，按时完成与城乡居民养老保险基金的并轨工作。</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绩效目标:提高社会保障工作信息化水平。</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_GB2312" w:eastAsia="仿宋_GB2312" w:cs="仿宋_GB2312"/>
          <w:sz w:val="32"/>
          <w:szCs w:val="32"/>
          <w:highlight w:val="none"/>
          <w:lang w:val="en-US" w:eastAsia="zh-CN"/>
        </w:rPr>
      </w:pPr>
      <w:r>
        <w:rPr>
          <w:rFonts w:hint="default" w:ascii="仿宋_GB2312" w:hAnsi="仿宋" w:eastAsia="仿宋_GB2312" w:cs="Times New Roman"/>
          <w:color w:val="000000"/>
          <w:kern w:val="2"/>
          <w:sz w:val="32"/>
          <w:szCs w:val="32"/>
          <w:lang w:val="en-US" w:eastAsia="zh-CN" w:bidi="ar-SA"/>
        </w:rPr>
        <w:t>绩效指标：做好社会保障卡的信息采集、发放、挂失、补办等工作。</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针对此次项目绩效自评，设置4个一级指标，7个二级指标，7个三级指标，根据预期指标值和实际完成值确定最终自评分数。</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自评的方法和过程</w:t>
      </w:r>
    </w:p>
    <w:p>
      <w:pPr>
        <w:adjustRightInd w:val="0"/>
        <w:snapToGrid w:val="0"/>
        <w:spacing w:line="620" w:lineRule="exact"/>
        <w:ind w:firstLine="640" w:firstLineChars="200"/>
        <w:rPr>
          <w:rFonts w:hint="eastAsia" w:ascii="楷体_GB2312" w:hAnsi="楷体_GB2312" w:eastAsia="楷体_GB2312" w:cs="楷体_GB2312"/>
          <w:bCs/>
          <w:sz w:val="32"/>
          <w:szCs w:val="32"/>
        </w:rPr>
      </w:pPr>
      <w:r>
        <w:rPr>
          <w:rFonts w:hint="eastAsia" w:ascii="仿宋_GB2312" w:eastAsia="仿宋_GB2312"/>
          <w:sz w:val="32"/>
          <w:szCs w:val="32"/>
        </w:rPr>
        <w:t>绩效评价工作共分三个阶段进行。第一个阶段，筹备资料阶段；第二个阶段，集中测评阶段，绩效测评小组成员按照绩效评价指标体系以及提供材料进行测评打分；第三阶段，汇总生成报告阶段，根据对测评结果进行汇总审核并撰写自评报告。</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贯彻落实中央和省委、市委及区位关于人力资源和社会保障工作的方针政策和决策部署，坚持和加强人力资源和社会保障工作的集中统一领导，整体绩效目标如下：</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eastAsia" w:ascii="仿宋_GB2312" w:hAnsi="仿宋" w:eastAsia="仿宋_GB2312" w:cs="Times New Roman"/>
          <w:color w:val="000000"/>
          <w:kern w:val="2"/>
          <w:sz w:val="32"/>
          <w:szCs w:val="32"/>
          <w:lang w:val="en-US" w:eastAsia="zh-CN" w:bidi="ar-SA"/>
        </w:rPr>
        <w:t>落实人才引进目标政策，对区直政府系统事业单位人事工作进行综合指导、监督检查、协调服务，贯彻落实企事业单位人员工资收入分配政策，建立全区企事业单位人员工资正常增长和支付保障机制，做好农民工工作，维护农民工合法权益，建立健全运行机制，扩展服务功能，改善服务手段，提升服务能力，负责组织开展公共就业服务专项行动，做好就业再就业援助工作。统筹推进社会保障体系建设，完善劳动关系协调协商机制，推进全民参保，推动法定人群全民覆盖，实现应参尽参，应保尽保，扩大企业养老、居民养老、工伤保险覆盖面。</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widowControl/>
        <w:suppressLineNumbers w:val="0"/>
        <w:spacing w:before="0" w:beforeAutospacing="0" w:after="0" w:afterAutospacing="0" w:line="15" w:lineRule="atLeast"/>
        <w:ind w:left="0" w:right="0" w:firstLine="640" w:firstLineChars="200"/>
        <w:jc w:val="left"/>
        <w:rPr>
          <w:rFonts w:hint="eastAsia"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(一)做好事业单位管理工作，贯彻落实人才工作目标</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绩效目标：开展事业单位人事管理工作及全区职称评审工作，争取工作圆满完成,相关单位人员满意，达成预定工作目标。</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绩效指标：受益对象满意度90%以上，相关单位满意度90%以上。</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（二）完善劳动关系调解协商机制，落实相关政策。</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绩效目标：提高案件办结率，圆满解决突发情况,维护社会稳定。</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绩效指标：提高劳动监察接待欠薪案件受理率、劳动争议案件受理率。</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（三）落实全区人力资源和社会保障事业规划。</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绩效目标：落实人社系统事业规划，促进人社工作有序发展。</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绩效指标：统筹推进人社系统工作进展，落实人社事业规划。群众满意度不断提高，相关单位满意度90%以上，业务保障能力不断提升。</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（四）促进就业创业工作，落实有关政策。</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绩效目标：合理利用政策和专项资金，提高收益群体覆盖面。</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绩效指标：补助覆盖率达到90%以上，经济增长情况达到90%以上，群众满意度达到90%以上。</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（五）社会培训</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绩效目标：在全区范围内开展职业技能培训和创业培训及新型学徒制培训。</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绩效指标：提高全区范围内职业技能培训人数。</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（六）职业技能鉴定</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绩效目标：协调鉴定过程中有关事务、协助鉴定中心办理证书、负责鉴定过程中的安全管理工作。</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绩效指标：鉴定结束后，合格者在30天内发放职业资格证书。</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（七）搭建服务平台，拓宽就业渠道</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绩效目标：主动与用工企业对接，进一步扩大用工信息的采集面，获取用工信息，并进行及时发布，使城乡各类求职人员能够及时、准确地了解到最新的用工需求。</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绩效指标：定期举办劳务招聘洽谈会开展职业指导服务，对登记求职的下岗失业人员、就业困难人员、高校毕业生、复退军人等各类群体采取“一对一”和“集中式”的职业指导，帮助他们了解我区的就业形势。</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（八）开展职业培训，提升技能水平</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绩效目标：积极开展职业技能培训，加强职业技能培训监管，提升我区劳动者整体技能素质水平，畅通职业发展通道。</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绩效指标：根据不同群体，汇集市场用工需求，组织开展培训；严格执行开班申请、期间督查、结业回访三项工作制度，提高培训服务水平，建立健全培训人员台账，确保培训工作有序开展。</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（九）落实就业创业政策，激发就业创业活力</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绩效目标：激发我区创新潜能和就业创业活力。</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指标：积极开展创业担保贷款政策宣传，使群众了解政策，让初次创业人员享受政策，达到以促进创业带动就业；宣传和落实高校毕业生创业政策，鼓励高校毕业生自主创业，并享受政策补贴；鼓励就业困难人员灵活就业，落实灵活就业人员社会保险补贴政策。</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（十）扩大覆盖范围，强化基金征缴，维护参保人员基本权益。</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绩效目标：加大社会保险政策法规宣传力度，扩大社会保险覆盖面。</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 xml:space="preserve">绩效指标：推进全民参保，推动法定人群全民覆盖，实现应参尽参，应保尽保，城乡居民参保率达到98%以上。 </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（十一）深化城乡居民养老保险制度改革，按时完成与城乡居民养老保险基金的并轨工作。</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 w:eastAsia="仿宋_GB2312" w:cs="Times New Roman"/>
          <w:color w:val="000000"/>
          <w:kern w:val="2"/>
          <w:sz w:val="32"/>
          <w:szCs w:val="32"/>
          <w:lang w:val="en-US" w:eastAsia="zh-CN" w:bidi="ar-SA"/>
        </w:rPr>
      </w:pPr>
      <w:r>
        <w:rPr>
          <w:rFonts w:hint="default" w:ascii="仿宋_GB2312" w:hAnsi="仿宋" w:eastAsia="仿宋_GB2312" w:cs="Times New Roman"/>
          <w:color w:val="000000"/>
          <w:kern w:val="2"/>
          <w:sz w:val="32"/>
          <w:szCs w:val="32"/>
          <w:lang w:val="en-US" w:eastAsia="zh-CN" w:bidi="ar-SA"/>
        </w:rPr>
        <w:t>绩效目标:提高社会保障工作信息化水平。</w:t>
      </w:r>
    </w:p>
    <w:p>
      <w:pPr>
        <w:keepNext w:val="0"/>
        <w:keepLines w:val="0"/>
        <w:widowControl/>
        <w:suppressLineNumbers w:val="0"/>
        <w:spacing w:before="0" w:beforeAutospacing="0" w:after="0" w:afterAutospacing="0" w:line="15" w:lineRule="atLeast"/>
        <w:ind w:left="0" w:right="0" w:firstLine="640" w:firstLineChars="200"/>
        <w:jc w:val="left"/>
        <w:rPr>
          <w:rFonts w:hint="default" w:ascii="仿宋_GB2312" w:hAnsi="仿宋_GB2312" w:eastAsia="仿宋_GB2312" w:cs="仿宋_GB2312"/>
          <w:sz w:val="32"/>
          <w:szCs w:val="32"/>
          <w:highlight w:val="none"/>
          <w:lang w:val="en-US" w:eastAsia="zh-CN"/>
        </w:rPr>
      </w:pPr>
      <w:r>
        <w:rPr>
          <w:rFonts w:hint="default" w:ascii="仿宋_GB2312" w:hAnsi="仿宋" w:eastAsia="仿宋_GB2312" w:cs="Times New Roman"/>
          <w:color w:val="000000"/>
          <w:kern w:val="2"/>
          <w:sz w:val="32"/>
          <w:szCs w:val="32"/>
          <w:lang w:val="en-US" w:eastAsia="zh-CN" w:bidi="ar-SA"/>
        </w:rPr>
        <w:t>绩效指标：做好社会保障卡的信息采集、发放、挂失、补办等工作。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根据项目执行情况和项目绩效情况，</w:t>
      </w:r>
      <w:r>
        <w:rPr>
          <w:rFonts w:hint="eastAsia" w:ascii="仿宋" w:hAnsi="仿宋" w:eastAsia="仿宋"/>
          <w:sz w:val="32"/>
          <w:szCs w:val="32"/>
          <w:lang w:val="en-US" w:eastAsia="zh-CN"/>
        </w:rPr>
        <w:t>我局</w:t>
      </w:r>
      <w:r>
        <w:rPr>
          <w:rFonts w:hint="eastAsia" w:ascii="仿宋" w:hAnsi="仿宋" w:eastAsia="仿宋"/>
          <w:sz w:val="32"/>
          <w:szCs w:val="32"/>
        </w:rPr>
        <w:t>项目最终自评得分为9</w:t>
      </w:r>
      <w:r>
        <w:rPr>
          <w:rFonts w:hint="eastAsia" w:ascii="仿宋" w:hAnsi="仿宋" w:eastAsia="仿宋"/>
          <w:sz w:val="32"/>
          <w:szCs w:val="32"/>
          <w:lang w:val="en-US" w:eastAsia="zh-CN"/>
        </w:rPr>
        <w:t>5</w:t>
      </w:r>
      <w:r>
        <w:rPr>
          <w:rFonts w:hint="eastAsia" w:ascii="仿宋" w:hAnsi="仿宋" w:eastAsia="仿宋"/>
          <w:sz w:val="32"/>
          <w:szCs w:val="32"/>
        </w:rPr>
        <w:t>分，该项目综合绩效评价分为优秀等次。</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numPr>
          <w:ilvl w:val="0"/>
          <w:numId w:val="0"/>
        </w:numPr>
        <w:kinsoku/>
        <w:wordWrap/>
        <w:overflowPunct/>
        <w:topLinePunct w:val="0"/>
        <w:autoSpaceDE/>
        <w:autoSpaceDN/>
        <w:bidi w:val="0"/>
        <w:spacing w:line="560" w:lineRule="exact"/>
        <w:ind w:firstLine="320" w:firstLineChars="100"/>
        <w:textAlignment w:val="auto"/>
        <w:rPr>
          <w:rFonts w:hint="eastAsia"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无</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无</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Segoe Print"/>
    <w:panose1 w:val="00000000000000000000"/>
    <w:charset w:val="00"/>
    <w:family w:val="auto"/>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1E3D65"/>
    <w:multiLevelType w:val="singleLevel"/>
    <w:tmpl w:val="851E3D65"/>
    <w:lvl w:ilvl="0" w:tentative="0">
      <w:start w:val="1"/>
      <w:numFmt w:val="chineseCounting"/>
      <w:suff w:val="nothing"/>
      <w:lvlText w:val="（%1）"/>
      <w:lvlJc w:val="left"/>
      <w:rPr>
        <w:rFonts w:hint="eastAsia"/>
      </w:r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5882B867"/>
    <w:multiLevelType w:val="singleLevel"/>
    <w:tmpl w:val="5882B867"/>
    <w:lvl w:ilvl="0" w:tentative="0">
      <w:start w:val="2"/>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wM2E4OTE4NzM0NmY5MzE3MjFmODM4Y2NlMWJhNDI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B61930"/>
    <w:rsid w:val="1A3B21A2"/>
    <w:rsid w:val="1BAF1154"/>
    <w:rsid w:val="1C655171"/>
    <w:rsid w:val="20276775"/>
    <w:rsid w:val="26B75F6B"/>
    <w:rsid w:val="2F2C2A40"/>
    <w:rsid w:val="344704E1"/>
    <w:rsid w:val="360472A5"/>
    <w:rsid w:val="39744C0B"/>
    <w:rsid w:val="3AEF6FE7"/>
    <w:rsid w:val="441F3676"/>
    <w:rsid w:val="493B718D"/>
    <w:rsid w:val="4F3E697A"/>
    <w:rsid w:val="52EA4391"/>
    <w:rsid w:val="53A42ADD"/>
    <w:rsid w:val="563B01B4"/>
    <w:rsid w:val="56604927"/>
    <w:rsid w:val="590F0BE0"/>
    <w:rsid w:val="5C4A315B"/>
    <w:rsid w:val="661D3074"/>
    <w:rsid w:val="6B1C1E0E"/>
    <w:rsid w:val="6BDE7164"/>
    <w:rsid w:val="7FB85E1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nhideWhenUsed/>
    <w:qFormat/>
    <w:uiPriority w:val="99"/>
    <w:rPr>
      <w:rFonts w:eastAsia="Times New Roman"/>
      <w:sz w:val="22"/>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15</Pages>
  <Words>6163</Words>
  <Characters>6322</Characters>
  <Lines>3</Lines>
  <Paragraphs>1</Paragraphs>
  <TotalTime>0</TotalTime>
  <ScaleCrop>false</ScaleCrop>
  <LinksUpToDate>false</LinksUpToDate>
  <CharactersWithSpaces>6366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2024-05-27T07:39:27Z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28C64EFCB758481798A31117B3E7B5E3</vt:lpwstr>
  </property>
</Properties>
</file>