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560" w:lineRule="exact"/>
        <w:jc w:val="cente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石家庄市藁城区发展和改革局部门</w:t>
      </w:r>
    </w:p>
    <w:p>
      <w:pPr>
        <w:snapToGrid w:val="0"/>
        <w:spacing w:line="560" w:lineRule="exact"/>
        <w:jc w:val="center"/>
        <w:rPr>
          <w:rFonts w:ascii="宋体" w:hAnsi="宋体" w:cs="宋体"/>
          <w:b/>
          <w:bCs/>
          <w:sz w:val="44"/>
          <w:szCs w:val="44"/>
        </w:rPr>
      </w:pPr>
      <w:r>
        <w:rPr>
          <w:rFonts w:hint="eastAsia" w:ascii="方正小标宋简体" w:hAnsi="方正小标宋简体" w:eastAsia="方正小标宋简体" w:cs="方正小标宋简体"/>
          <w:b w:val="0"/>
          <w:bCs w:val="0"/>
          <w:sz w:val="44"/>
          <w:szCs w:val="44"/>
        </w:rPr>
        <w:t>2023年度整体支出绩效自评工作报告</w:t>
      </w:r>
    </w:p>
    <w:p>
      <w:pPr>
        <w:snapToGrid w:val="0"/>
        <w:spacing w:line="560" w:lineRule="exact"/>
        <w:jc w:val="center"/>
        <w:rPr>
          <w:rFonts w:ascii="仿宋" w:hAnsi="仿宋" w:eastAsia="仿宋" w:cs="仿宋"/>
          <w:sz w:val="32"/>
          <w:szCs w:val="32"/>
        </w:rPr>
      </w:pPr>
    </w:p>
    <w:p>
      <w:pPr>
        <w:adjustRightInd w:val="0"/>
        <w:snapToGrid w:val="0"/>
        <w:spacing w:line="560" w:lineRule="exact"/>
        <w:ind w:firstLine="640" w:firstLineChars="200"/>
        <w:rPr>
          <w:rFonts w:ascii="宋体" w:hAnsi="宋体" w:cs="宋体"/>
          <w:sz w:val="32"/>
          <w:szCs w:val="32"/>
        </w:rPr>
      </w:pPr>
      <w:r>
        <w:rPr>
          <w:rFonts w:hint="eastAsia" w:ascii="仿宋_GB2312" w:hAnsi="仿宋_GB2312" w:eastAsia="仿宋_GB2312" w:cs="仿宋_GB2312"/>
          <w:sz w:val="32"/>
          <w:szCs w:val="32"/>
        </w:rPr>
        <w:t>贯彻落实区委区政府《关于全面落实预算绩效管理的实施意见》（藁发〔2019〕9号）文件精神，遵循“科学性、规范性、客观性和公正性”的原则，对石家庄市藁城区发展和改革局部门2023年整体支出情况实施了财政支出绩效自评价，形成本评价报告。</w:t>
      </w:r>
    </w:p>
    <w:p>
      <w:pPr>
        <w:ind w:firstLine="640" w:firstLineChars="200"/>
        <w:rPr>
          <w:rFonts w:ascii="仿宋_GB2312" w:hAnsi="宋体" w:eastAsia="仿宋_GB2312" w:cs="宋体"/>
          <w:sz w:val="32"/>
          <w:szCs w:val="32"/>
        </w:rPr>
      </w:pPr>
      <w:r>
        <w:rPr>
          <w:rFonts w:hint="eastAsia" w:ascii="黑体" w:hAnsi="黑体" w:eastAsia="黑体" w:cs="黑体"/>
          <w:sz w:val="32"/>
          <w:szCs w:val="32"/>
        </w:rPr>
        <w:t>一、部门基本情况</w:t>
      </w:r>
    </w:p>
    <w:p>
      <w:pPr>
        <w:snapToGrid w:val="0"/>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rPr>
        <w:t>部门职责：</w:t>
      </w:r>
    </w:p>
    <w:p>
      <w:pPr>
        <w:snapToGrid w:val="0"/>
        <w:spacing w:line="560" w:lineRule="exact"/>
        <w:ind w:firstLine="640" w:firstLineChars="200"/>
        <w:rPr>
          <w:rFonts w:ascii="仿宋_GB2312" w:hAnsi="宋体" w:eastAsia="仿宋_GB2312" w:cs="宋体"/>
          <w:sz w:val="32"/>
          <w:szCs w:val="32"/>
          <w:shd w:val="clear" w:color="auto" w:fill="FFFFFF"/>
        </w:rPr>
      </w:pPr>
      <w:r>
        <w:rPr>
          <w:rFonts w:hint="eastAsia" w:ascii="仿宋_GB2312" w:hAnsi="宋体" w:eastAsia="仿宋_GB2312" w:cs="宋体"/>
          <w:sz w:val="32"/>
          <w:szCs w:val="32"/>
          <w:shd w:val="clear" w:color="auto" w:fill="FFFFFF"/>
        </w:rPr>
        <w:t>（一）拟订并组织实施全区国民经济和社会发展战略、中长期规划和年度计划。牵头组织统一规划体系建设。负责区级专项规划、区域规划、空间规划与全区发展规划的统筹衔接。</w:t>
      </w:r>
    </w:p>
    <w:p>
      <w:pPr>
        <w:pStyle w:val="9"/>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（二）提出加快建设全区现代化经济体系、推动高质量发展的总体目标、重大任务以及相关政策。</w:t>
      </w:r>
    </w:p>
    <w:p>
      <w:pPr>
        <w:pStyle w:val="9"/>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（三）提出全区利用外资和境外投资的战略、规划、总量平衡和结构优化政策。</w:t>
      </w:r>
    </w:p>
    <w:p>
      <w:pPr>
        <w:pStyle w:val="9"/>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（四）负责全区投资综合管理。拟订全区固定资产投资总规模、结构调控目标和政策，会同相关部门落实执行政府投资项目审批权限和政府核准的固定资产投资项目目录。</w:t>
      </w:r>
    </w:p>
    <w:p>
      <w:pPr>
        <w:pStyle w:val="9"/>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五）推进落实区域协调发展战略、新型城镇化战略和重大政策，组织拟订相关区域规划和政策。落实推进实施京津冀协同发展等区域发展战略。统筹协调区域合作和对口支援工作。组织编制并推动实施新型城镇化规划。</w:t>
      </w:r>
    </w:p>
    <w:p>
      <w:pPr>
        <w:pStyle w:val="9"/>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（六）贯彻实施国家、省、市产业政策，拟订全区综合性产业政策。协调一二三产业发展重大问题并统筹衔接相关发展规划和重大政策。</w:t>
      </w:r>
    </w:p>
    <w:p>
      <w:pPr>
        <w:pStyle w:val="9"/>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（七）跟踪研判涉及经济安全、生态安全、资源安全、科技安全、社会安全等各类风险隐患，提出相关工作建议。</w:t>
      </w:r>
    </w:p>
    <w:p>
      <w:pPr>
        <w:pStyle w:val="9"/>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（八）推进实施可持续发展战略，推动生态文明建设和改革，协调生态环境保护与修复、能源资源节约和综合利用等工作。</w:t>
      </w:r>
    </w:p>
    <w:p>
      <w:pPr>
        <w:pStyle w:val="9"/>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（九）组织拟订推进全区经济建设与国防建设协调发展的战略和规划，组织推进经济建设项目贯彻国防要求。</w:t>
      </w:r>
    </w:p>
    <w:p>
      <w:pPr>
        <w:pStyle w:val="9"/>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（十）拟订并组织实施有关价格政策，组织制定由区级管理的重要商品和服务价格。</w:t>
      </w:r>
    </w:p>
    <w:p>
      <w:pPr>
        <w:pStyle w:val="9"/>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（十一）提出全区能源发展战略建议，拟订能源发展规划、产业政策和年度制定计划并组织实施。</w:t>
      </w:r>
    </w:p>
    <w:p>
      <w:pPr>
        <w:pStyle w:val="9"/>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（十二）拟订全区粮食流通规划及粮食、食糖、食盐和救灾物资储备规划、储备品种目录并组织实施。</w:t>
      </w:r>
    </w:p>
    <w:p>
      <w:pPr>
        <w:pStyle w:val="9"/>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（十三）协调、管理、推动口岸建设和物流业发展，组织重大物流园区和物流项目建设等相关工作。</w:t>
      </w:r>
    </w:p>
    <w:p>
      <w:pPr>
        <w:pStyle w:val="9"/>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（十四）贯彻落实国家有关国内外贸易、国际经济合作的发展战略、方针、政策和法律法规。</w:t>
      </w:r>
    </w:p>
    <w:p>
      <w:pPr>
        <w:pStyle w:val="9"/>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（十五）提出流通体制改革建议。负责推进流通产业结构调整，培育商贸流通主体，推动流通企业改革、商贸服务业和社区商业发展，提出促进商贸中小企业发展的政策建议。</w:t>
      </w:r>
    </w:p>
    <w:p>
      <w:pPr>
        <w:pStyle w:val="9"/>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十六）组织实施重要消费品市场调控。负责建立健全生活必需品市场供应应急管理机制，检测分析市场运行、商品供求状况，调查分析商品价格信息，进行预测预警和信息引导；按分工负责重要消费品储备管理和市场调控工作。</w:t>
      </w:r>
    </w:p>
    <w:p>
      <w:pPr>
        <w:pStyle w:val="9"/>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（十七）会同有关部门贯彻执行国家促进服务出口和服务外包发展的规划、政策，牵头拟定全区服务贸易发展规划并组织实施。</w:t>
      </w:r>
    </w:p>
    <w:p>
      <w:pPr>
        <w:pStyle w:val="9"/>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（十八）配合上级部门调查国（境）外对我国出口商品实施的歧视性贸易政策、法律法规及做法。</w:t>
      </w:r>
    </w:p>
    <w:p>
      <w:pPr>
        <w:pStyle w:val="9"/>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（十九）负责会展业促进与管理工作。拟订会展业发展规划、政策措施并组织实施，组织指导境内外对外经济技术展览会和赴境外非商业性办展活动。</w:t>
      </w:r>
    </w:p>
    <w:p>
      <w:pPr>
        <w:pStyle w:val="9"/>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 xml:space="preserve"> （二十）监测分析全区商务运行情况，承担全区商务系统对外宣传和信息发布工作。</w:t>
      </w:r>
    </w:p>
    <w:p>
      <w:pPr>
        <w:pStyle w:val="9"/>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二十一）负责拟订招商引资、利用外资、区域协作、开发区管理中长期发展规划、年度计划并组织实施；研究拟订投资促进政策，贯彻落实投资促进方面地方性法规、政府规章，承担区投资促进工作领导小组日常工作。</w:t>
      </w:r>
    </w:p>
    <w:p>
      <w:pPr>
        <w:pStyle w:val="9"/>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（二十二）负责建立投资促进工作体系、工作机制，对利用国内外资金和经济技术合作、开发区发展情况进行统计、汇总、分析。</w:t>
      </w:r>
    </w:p>
    <w:p>
      <w:pPr>
        <w:pStyle w:val="9"/>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（二十三）负责促进资金、技术、人才、项目引进和产业对接，争取招商引资相关政策、资金和项目支持。</w:t>
      </w:r>
    </w:p>
    <w:p>
      <w:pPr>
        <w:pStyle w:val="9"/>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（二十四）负责指导全区经济技术交流与区域经济技术合作工作；负责区域间资金、项目、人才、科研成果及产业合作工作，开展与省外重点大专院校、科研院所合作。</w:t>
      </w:r>
    </w:p>
    <w:p>
      <w:pPr>
        <w:pStyle w:val="9"/>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（二十五）负责经济开发区管理工作，指导经济开发区建设、招商引资和体制、机制创新，负责对经济开发区招商引资工作的调度和绩效评估、考核认定工作。</w:t>
      </w:r>
    </w:p>
    <w:p>
      <w:pPr>
        <w:pStyle w:val="9"/>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（二十六）完成区委、区政府交办的其他任务。</w:t>
      </w:r>
    </w:p>
    <w:p>
      <w:pPr>
        <w:pStyle w:val="9"/>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组织机构：我局为正科级行政单位，内设办公室、发展规划和综合股、政工股、重点项目管理股、固定资产投资股、招商合作股、产业协调股、商贸流通和服务业发展股、人事股、基础产业股、粮食和物资储备股、资产管理和经营股、价格收费股、价格认证中心、社会事业和农村经济股等15个职能股室。</w:t>
      </w:r>
    </w:p>
    <w:p>
      <w:pPr>
        <w:pStyle w:val="9"/>
        <w:spacing w:line="560" w:lineRule="exact"/>
        <w:ind w:firstLine="640" w:firstLineChars="200"/>
        <w:jc w:val="both"/>
        <w:rPr>
          <w:rFonts w:ascii="仿宋_GB2312" w:hAnsi="宋体" w:eastAsia="仿宋_GB2312" w:cs="宋体"/>
          <w:sz w:val="32"/>
          <w:szCs w:val="32"/>
        </w:rPr>
      </w:pPr>
      <w:r>
        <w:rPr>
          <w:rFonts w:hint="eastAsia" w:ascii="仿宋_GB2312" w:hAnsi="宋体" w:eastAsia="仿宋_GB2312" w:cs="宋体"/>
          <w:kern w:val="2"/>
          <w:sz w:val="32"/>
          <w:szCs w:val="32"/>
          <w:shd w:val="clear" w:color="auto" w:fill="FFFFFF"/>
        </w:rPr>
        <w:t>2023年底在职干部职工84人（其中：公务员28人，全额事业53人，自收自支事业3人），离退休人员125人。</w:t>
      </w:r>
    </w:p>
    <w:p>
      <w:pPr>
        <w:snapToGrid w:val="0"/>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shd w:val="clear" w:color="auto" w:fill="FFFFFF"/>
        </w:rPr>
        <w:t>部门收支情况：20</w:t>
      </w:r>
      <w:r>
        <w:rPr>
          <w:rFonts w:hint="eastAsia" w:ascii="仿宋_GB2312" w:hAnsi="宋体" w:eastAsia="仿宋_GB2312" w:cs="宋体"/>
          <w:sz w:val="32"/>
          <w:szCs w:val="32"/>
        </w:rPr>
        <w:t>23年部门决算收支完成情况如下：</w:t>
      </w:r>
    </w:p>
    <w:p>
      <w:pPr>
        <w:snapToGrid w:val="0"/>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rPr>
        <w:t>1. 全年收入为139161132.10元，其中：财政拔款收入139161132.10元，非财政补助收入0元。</w:t>
      </w:r>
    </w:p>
    <w:p>
      <w:pPr>
        <w:snapToGrid w:val="0"/>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rPr>
        <w:t>2.全年支出为139161132.10元。其中：行政支出：19552408.61元，项目支出119608723.49元。</w:t>
      </w:r>
    </w:p>
    <w:p>
      <w:pPr>
        <w:snapToGrid w:val="0"/>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rPr>
        <w:t>3、资金结存情况：财政拨款结转结余0元，其中财政拨款结转（项目结转）0元，财政结余0元，非财政拨款收入0元。</w:t>
      </w:r>
    </w:p>
    <w:p>
      <w:pPr>
        <w:snapToGrid w:val="0"/>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rPr>
        <w:t>部门整体支出绩效目标指标情况：</w:t>
      </w:r>
    </w:p>
    <w:p>
      <w:pPr>
        <w:pStyle w:val="5"/>
        <w:spacing w:before="0" w:beforeAutospacing="0" w:after="0" w:afterAutospacing="0"/>
        <w:ind w:firstLine="640" w:firstLineChars="200"/>
        <w:rPr>
          <w:rFonts w:ascii="仿宋_GB2312" w:eastAsia="仿宋_GB2312"/>
          <w:sz w:val="32"/>
          <w:szCs w:val="32"/>
        </w:rPr>
      </w:pPr>
      <w:r>
        <w:rPr>
          <w:rFonts w:hint="eastAsia" w:ascii="仿宋_GB2312" w:eastAsia="仿宋_GB2312"/>
          <w:sz w:val="32"/>
          <w:szCs w:val="32"/>
        </w:rPr>
        <w:t>1、部门总目标：</w:t>
      </w:r>
      <w:r>
        <w:rPr>
          <w:rFonts w:hint="eastAsia" w:ascii="仿宋_GB2312" w:eastAsia="仿宋_GB2312"/>
          <w:color w:val="000000"/>
          <w:sz w:val="32"/>
          <w:szCs w:val="32"/>
        </w:rPr>
        <w:t>石家庄市藁城区发展和改革局坚持稳中求进工作总基调，坚持高质量发展要求，坚持深化改革扩大开放，</w:t>
      </w:r>
      <w:r>
        <w:rPr>
          <w:rStyle w:val="10"/>
          <w:rFonts w:hint="eastAsia" w:ascii="仿宋_GB2312" w:hAnsi="宋体" w:eastAsia="仿宋_GB2312" w:cs="宋体"/>
          <w:sz w:val="32"/>
          <w:szCs w:val="32"/>
        </w:rPr>
        <w:t>严格落实“四个干”工作机制，切实服务项目单位，</w:t>
      </w:r>
      <w:r>
        <w:rPr>
          <w:rFonts w:hint="eastAsia" w:ascii="仿宋_GB2312" w:eastAsia="仿宋_GB2312"/>
          <w:sz w:val="32"/>
          <w:szCs w:val="32"/>
        </w:rPr>
        <w:t>创新招商方式，推动“双招双引”工作开展</w:t>
      </w:r>
      <w:r>
        <w:rPr>
          <w:rFonts w:hint="eastAsia" w:ascii="仿宋_GB2312" w:eastAsia="仿宋_GB2312"/>
          <w:color w:val="000000"/>
          <w:sz w:val="32"/>
          <w:szCs w:val="32"/>
        </w:rPr>
        <w:t>，</w:t>
      </w:r>
      <w:r>
        <w:rPr>
          <w:rFonts w:hint="eastAsia" w:ascii="仿宋_GB2312" w:eastAsia="仿宋_GB2312"/>
          <w:sz w:val="32"/>
          <w:szCs w:val="32"/>
        </w:rPr>
        <w:t>加快建设实力之城、活力之城、品质之城、幸福之城的“一极四城”奋斗目标。</w:t>
      </w:r>
    </w:p>
    <w:p>
      <w:pPr>
        <w:pStyle w:val="5"/>
        <w:spacing w:before="0" w:beforeAutospacing="0" w:after="0" w:afterAutospacing="0"/>
        <w:ind w:firstLine="640" w:firstLineChars="200"/>
        <w:rPr>
          <w:rFonts w:ascii="仿宋_GB2312" w:eastAsia="仿宋_GB2312"/>
          <w:sz w:val="32"/>
          <w:szCs w:val="32"/>
        </w:rPr>
      </w:pPr>
      <w:r>
        <w:rPr>
          <w:rFonts w:hint="eastAsia" w:ascii="仿宋_GB2312" w:eastAsia="仿宋_GB2312"/>
          <w:sz w:val="32"/>
          <w:szCs w:val="32"/>
        </w:rPr>
        <w:t>2、预决算公开:2023年度部门决算、部门预算、专项资金和部门整体支出预算绩效目标按财政规定及时规范完成地进行了申报，并在政府网上进行了公开。</w:t>
      </w:r>
    </w:p>
    <w:p>
      <w:pPr>
        <w:snapToGrid w:val="0"/>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rPr>
        <w:t>3、资产管理:严格执行《固定资产管理制度》，实行固定资产统一管理，专人负责固定资产的分类，统一编号，建立固定资产档案，登记账卡，负责审批并办理验收、调拨、报废、封存、启用等事项，保证账、卡、物三相符。</w:t>
      </w:r>
    </w:p>
    <w:p>
      <w:pPr>
        <w:snapToGrid w:val="0"/>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rPr>
        <w:t>4、三公经费控制情况:我局在认真贯彻落实厉行节约、严控“三公”经费、降低一般运行经费、加强项目支出管理等方面取得了一定的成绩。按照区财政要求，实行“三公”经费预算和公示制度，有效地控制“三公”经费支出。实际支出没有超出预算规模、范围和标准，没有挤占、摊派、乱收费和转移“三公”经费支出的行为。公务接待费无出国(境)差旅费。</w:t>
      </w:r>
    </w:p>
    <w:p>
      <w:pPr>
        <w:snapToGrid w:val="0"/>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rPr>
        <w:t xml:space="preserve">5、内部管理制度建设:我局建立了一系列内部管理制度:《部门预算绩效管理制度》、《内部控制制度》、《重大经济事项决策制度》等，制度建设较为完善。 </w:t>
      </w:r>
    </w:p>
    <w:p>
      <w:pPr>
        <w:adjustRightInd w:val="0"/>
        <w:snapToGrid w:val="0"/>
        <w:spacing w:line="560" w:lineRule="exact"/>
        <w:ind w:firstLine="640" w:firstLineChars="200"/>
        <w:rPr>
          <w:rFonts w:ascii="仿宋_GB2312" w:hAnsi="宋体" w:eastAsia="仿宋_GB2312" w:cs="宋体"/>
          <w:sz w:val="32"/>
          <w:szCs w:val="32"/>
        </w:rPr>
      </w:pPr>
      <w:r>
        <w:rPr>
          <w:rFonts w:hint="eastAsia" w:ascii="黑体" w:hAnsi="黑体" w:eastAsia="黑体" w:cs="黑体"/>
          <w:sz w:val="32"/>
          <w:szCs w:val="32"/>
        </w:rPr>
        <w:t>二、绩效自评工作开展情况</w:t>
      </w:r>
    </w:p>
    <w:p>
      <w:pPr>
        <w:snapToGrid w:val="0"/>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rPr>
        <w:t>按照上级文件的有关要求，结合我单位实际情况，经局办公会研究决定，成立了以董宏波局长为组长的自评领导小组，明确了主管领导及业务科室等相关负责人，制定了 2023年自评工作方案，为自评工作做好准备。</w:t>
      </w:r>
    </w:p>
    <w:p>
      <w:pPr>
        <w:snapToGrid w:val="0"/>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rPr>
        <w:t>2023年我单位自评绩效项目共有45个，由自评工作小组负责实施项目绩效自评工作，首先对2023年度45个项目的实际完成情况进行了解，与年初预算制定的绩效目标相比较，均已完成年初预算绩效目标;其次对项目资金的使用情况进行评价，通过查阅有关项目收入支出明细帐，审核项目资金是否专款专用、支出进度是否达到年初计划;最后，对项目实施过程中存在的问题进行分析讨论，并提出可行性建议和措施。</w:t>
      </w:r>
    </w:p>
    <w:p>
      <w:pPr>
        <w:snapToGrid w:val="0"/>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rPr>
        <w:t>经自评得出，2023年我单位自评绩效项目共45个，全部为财政拨款，其中，一般公共预算项目43个，政府性基金项目2个;自评绩效项目资金12886.26412万元，其中，一般公共预算资金11719.26415万元，政府性基金资金1167万元，45个项目的资金预算安排合理。</w:t>
      </w:r>
    </w:p>
    <w:p>
      <w:pPr>
        <w:snapToGrid w:val="0"/>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rPr>
        <w:t>我局发挥部门职责与项目相结合，构建部门整体监控体系。建立以部门监控为基础、紧盯重点项目的监控机制，对部门整体支出和重点项目支出同时实施监控，提高绩效监控的针对性和有效性。与业务部门协商沟通，分析偏离原因，及时调整预算及目标。</w:t>
      </w:r>
    </w:p>
    <w:p>
      <w:pPr>
        <w:adjustRightInd w:val="0"/>
        <w:snapToGrid w:val="0"/>
        <w:spacing w:line="560" w:lineRule="exact"/>
        <w:ind w:firstLine="640" w:firstLineChars="200"/>
        <w:rPr>
          <w:rFonts w:ascii="仿宋_GB2312" w:hAnsi="宋体" w:eastAsia="仿宋_GB2312" w:cs="宋体"/>
          <w:sz w:val="32"/>
          <w:szCs w:val="32"/>
        </w:rPr>
      </w:pPr>
      <w:r>
        <w:rPr>
          <w:rFonts w:hint="eastAsia" w:ascii="黑体" w:hAnsi="黑体" w:eastAsia="黑体" w:cs="黑体"/>
          <w:sz w:val="32"/>
          <w:szCs w:val="32"/>
        </w:rPr>
        <w:t>三、部门整体支出绩效目标实现情况及指标分析</w:t>
      </w:r>
    </w:p>
    <w:p>
      <w:pPr>
        <w:snapToGrid w:val="0"/>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rPr>
        <w:t>绩效总目标实现情况:我局重视项目资金的管理，各项开支专款专用。各项目按照财政要求进行绩效自评工作。总体来说，各项目执行与绩效目标基本一致，项目完成率较高。从整体情况来看，我局严格按照年初预算使用经费。在支出管理方面，我们坚决贯彻落实省委省政府关于落实党政机关“过紧日子”的有关精神，严格控制单位行政运行基本支出，有效地降低了行政成本。部门支出严格遵守各项规章制度，在专项经费支出上，严格执行了专款专用制度，无截留、无挪用等现象。</w:t>
      </w:r>
    </w:p>
    <w:p>
      <w:pPr>
        <w:numPr>
          <w:numId w:val="0"/>
        </w:numPr>
        <w:adjustRightInd w:val="0"/>
        <w:snapToGrid w:val="0"/>
        <w:spacing w:line="560" w:lineRule="exact"/>
        <w:ind w:left="630" w:leftChars="0"/>
        <w:rPr>
          <w:rFonts w:ascii="仿宋_GB2312" w:hAnsi="宋体" w:eastAsia="仿宋_GB2312" w:cs="宋体"/>
          <w:sz w:val="32"/>
          <w:szCs w:val="32"/>
        </w:rPr>
      </w:pPr>
      <w:r>
        <w:rPr>
          <w:rFonts w:hint="eastAsia" w:ascii="黑体" w:hAnsi="黑体" w:eastAsia="黑体" w:cs="黑体"/>
          <w:sz w:val="32"/>
          <w:szCs w:val="32"/>
          <w:lang w:val="en-US" w:eastAsia="zh-CN"/>
        </w:rPr>
        <w:t>四、</w:t>
      </w:r>
      <w:r>
        <w:rPr>
          <w:rFonts w:hint="eastAsia" w:ascii="黑体" w:hAnsi="黑体" w:eastAsia="黑体" w:cs="黑体"/>
          <w:sz w:val="32"/>
          <w:szCs w:val="32"/>
        </w:rPr>
        <w:t>评价结论和评价等级</w:t>
      </w:r>
    </w:p>
    <w:p>
      <w:pPr>
        <w:adjustRightInd w:val="0"/>
        <w:snapToGrid w:val="0"/>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rPr>
        <w:t>我局严格执行省、市、区绩效管理工作有关规定，进一步规范财政资金管理，强化财政支出绩效理念，提升部门责任意识，提高资金使用效益，促进发展改革管理水平的发展，基本实现项目绩效目标。</w:t>
      </w:r>
      <w:r>
        <w:rPr>
          <w:rFonts w:hint="eastAsia" w:ascii="仿宋" w:hAnsi="仿宋" w:eastAsia="仿宋" w:cs="仿宋"/>
          <w:sz w:val="32"/>
          <w:szCs w:val="32"/>
        </w:rPr>
        <w:t>综合评价2023年度项目，绩效自评得分为98分，良好。</w:t>
      </w:r>
    </w:p>
    <w:p>
      <w:pPr>
        <w:adjustRightInd w:val="0"/>
        <w:snapToGrid w:val="0"/>
        <w:spacing w:line="560" w:lineRule="exact"/>
        <w:ind w:firstLine="640" w:firstLineChars="200"/>
        <w:rPr>
          <w:rFonts w:ascii="仿宋_GB2312" w:hAnsi="宋体" w:eastAsia="仿宋_GB2312" w:cs="宋体"/>
          <w:sz w:val="32"/>
          <w:szCs w:val="32"/>
        </w:rPr>
      </w:pPr>
      <w:r>
        <w:rPr>
          <w:rFonts w:hint="eastAsia" w:ascii="黑体" w:hAnsi="黑体" w:eastAsia="黑体" w:cs="黑体"/>
          <w:sz w:val="32"/>
          <w:szCs w:val="32"/>
        </w:rPr>
        <w:t>五、整改措施及结果应用</w:t>
      </w:r>
    </w:p>
    <w:p>
      <w:pPr>
        <w:pStyle w:val="12"/>
        <w:spacing w:before="0" w:beforeAutospacing="0" w:after="0" w:afterAutospacing="0"/>
        <w:ind w:firstLine="640"/>
        <w:rPr>
          <w:rFonts w:ascii="仿宋_GB2312" w:eastAsia="仿宋_GB2312"/>
          <w:sz w:val="32"/>
          <w:szCs w:val="32"/>
        </w:rPr>
      </w:pPr>
      <w:r>
        <w:rPr>
          <w:rFonts w:hint="eastAsia" w:ascii="仿宋_GB2312" w:eastAsia="仿宋_GB2312"/>
          <w:sz w:val="32"/>
          <w:szCs w:val="32"/>
        </w:rPr>
        <w:t>针对存在的问题进一步细化部门项目指标，提高绩效指标设置的科学性，项目绩效评价指标做到详细可操作，更加合理地安排预算资金，减少预算调整事项。</w:t>
      </w:r>
    </w:p>
    <w:p>
      <w:pPr>
        <w:pStyle w:val="12"/>
        <w:spacing w:before="0" w:beforeAutospacing="0" w:after="0" w:afterAutospacing="0"/>
        <w:ind w:firstLine="640"/>
        <w:rPr>
          <w:rFonts w:ascii="仿宋_GB2312" w:eastAsia="仿宋_GB2312"/>
          <w:sz w:val="32"/>
          <w:szCs w:val="32"/>
        </w:rPr>
      </w:pPr>
      <w:r>
        <w:rPr>
          <w:rFonts w:hint="eastAsia" w:ascii="仿宋_GB2312" w:eastAsia="仿宋_GB2312"/>
          <w:sz w:val="32"/>
          <w:szCs w:val="32"/>
        </w:rPr>
        <w:t>制定如下整改措施：一是加强预算执行的计划性，提高部门支出进度的均衡程度；二是加强对科学技术局项目预算资金支出的监督检查工作，确保资金使用合法合规；三是加强对财务人员的培训工作，同时及时了解各单位存在的问题，有疑问事项及时与财政等部门沟通解决，提高财务管理工作</w:t>
      </w:r>
      <w:bookmarkStart w:id="0" w:name="_GoBack"/>
      <w:bookmarkEnd w:id="0"/>
      <w:r>
        <w:rPr>
          <w:rFonts w:hint="eastAsia" w:ascii="仿宋_GB2312" w:eastAsia="仿宋_GB2312"/>
          <w:sz w:val="32"/>
          <w:szCs w:val="32"/>
        </w:rPr>
        <w:t>的规范性。四是加强项目资金和绩效目标指标的动态管理，持续改进。加大对单位预算项目管理工作的指导力度，及时了解项目情况，推进各预算单位工作任务的及时完成。</w:t>
      </w:r>
    </w:p>
    <w:p>
      <w:pPr>
        <w:pStyle w:val="12"/>
        <w:spacing w:before="0" w:beforeAutospacing="0" w:after="0" w:afterAutospacing="0"/>
        <w:ind w:firstLine="640"/>
        <w:rPr>
          <w:rFonts w:ascii="仿宋_GB2312" w:eastAsia="仿宋_GB2312"/>
          <w:sz w:val="32"/>
          <w:szCs w:val="32"/>
        </w:rPr>
      </w:pPr>
      <w:r>
        <w:rPr>
          <w:rFonts w:hint="eastAsia" w:ascii="仿宋_GB2312" w:eastAsia="仿宋_GB2312"/>
          <w:sz w:val="32"/>
          <w:szCs w:val="32"/>
        </w:rPr>
        <w:t>借助这次项目评价，进一步加强对我部门预算的工作活动工作效果绩效考核工作，督促积极落实绩效目标，积极推动我部门各项工作不断向前发展。</w:t>
      </w:r>
    </w:p>
    <w:p>
      <w:pPr>
        <w:adjustRightInd w:val="0"/>
        <w:snapToGrid w:val="0"/>
        <w:spacing w:line="560" w:lineRule="exact"/>
        <w:ind w:firstLine="640" w:firstLineChars="200"/>
        <w:rPr>
          <w:rFonts w:ascii="仿宋_GB2312" w:hAnsi="黑体" w:eastAsia="仿宋_GB2312" w:cs="黑体"/>
          <w:sz w:val="32"/>
          <w:szCs w:val="32"/>
        </w:rPr>
      </w:pPr>
      <w:r>
        <w:rPr>
          <w:rFonts w:hint="eastAsia" w:ascii="黑体" w:hAnsi="黑体" w:eastAsia="黑体" w:cs="黑体"/>
          <w:sz w:val="32"/>
          <w:szCs w:val="32"/>
        </w:rPr>
        <w:t>六、评价工作组人员名单及签字</w:t>
      </w:r>
    </w:p>
    <w:tbl>
      <w:tblPr>
        <w:tblStyle w:val="7"/>
        <w:tblW w:w="89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41"/>
        <w:gridCol w:w="2838"/>
        <w:gridCol w:w="1410"/>
        <w:gridCol w:w="24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2341" w:type="dxa"/>
          </w:tcPr>
          <w:p>
            <w:pPr>
              <w:pStyle w:val="2"/>
              <w:jc w:val="center"/>
              <w:outlineLvl w:val="1"/>
              <w:rPr>
                <w:rFonts w:ascii="仿宋_GB2312" w:eastAsia="仿宋_GB2312" w:cs="宋体"/>
                <w:b w:val="0"/>
                <w:sz w:val="32"/>
                <w:szCs w:val="32"/>
              </w:rPr>
            </w:pPr>
            <w:r>
              <w:rPr>
                <w:rFonts w:hint="eastAsia" w:ascii="仿宋_GB2312" w:eastAsia="仿宋_GB2312" w:cs="宋体"/>
                <w:b w:val="0"/>
                <w:sz w:val="32"/>
                <w:szCs w:val="32"/>
              </w:rPr>
              <w:t>姓名</w:t>
            </w:r>
          </w:p>
        </w:tc>
        <w:tc>
          <w:tcPr>
            <w:tcW w:w="2838" w:type="dxa"/>
          </w:tcPr>
          <w:p>
            <w:pPr>
              <w:pStyle w:val="2"/>
              <w:jc w:val="center"/>
              <w:outlineLvl w:val="1"/>
              <w:rPr>
                <w:rFonts w:ascii="仿宋_GB2312" w:eastAsia="仿宋_GB2312" w:cs="宋体"/>
                <w:b w:val="0"/>
                <w:sz w:val="32"/>
                <w:szCs w:val="32"/>
              </w:rPr>
            </w:pPr>
            <w:r>
              <w:rPr>
                <w:rFonts w:hint="eastAsia" w:ascii="仿宋_GB2312" w:eastAsia="仿宋_GB2312" w:cs="宋体"/>
                <w:b w:val="0"/>
                <w:sz w:val="32"/>
                <w:szCs w:val="32"/>
              </w:rPr>
              <w:t>工作单位</w:t>
            </w:r>
          </w:p>
        </w:tc>
        <w:tc>
          <w:tcPr>
            <w:tcW w:w="1410" w:type="dxa"/>
          </w:tcPr>
          <w:p>
            <w:pPr>
              <w:pStyle w:val="2"/>
              <w:jc w:val="center"/>
              <w:outlineLvl w:val="1"/>
              <w:rPr>
                <w:rFonts w:ascii="仿宋_GB2312" w:eastAsia="仿宋_GB2312" w:cs="宋体"/>
                <w:b w:val="0"/>
                <w:sz w:val="32"/>
                <w:szCs w:val="32"/>
              </w:rPr>
            </w:pPr>
            <w:r>
              <w:rPr>
                <w:rFonts w:hint="eastAsia" w:ascii="仿宋_GB2312" w:eastAsia="仿宋_GB2312" w:cs="宋体"/>
                <w:b w:val="0"/>
                <w:sz w:val="32"/>
                <w:szCs w:val="32"/>
              </w:rPr>
              <w:t>职务</w:t>
            </w:r>
          </w:p>
        </w:tc>
        <w:tc>
          <w:tcPr>
            <w:tcW w:w="2400" w:type="dxa"/>
          </w:tcPr>
          <w:p>
            <w:pPr>
              <w:pStyle w:val="2"/>
              <w:jc w:val="center"/>
              <w:outlineLvl w:val="1"/>
              <w:rPr>
                <w:rFonts w:ascii="仿宋_GB2312" w:eastAsia="仿宋_GB2312" w:cs="宋体"/>
                <w:b w:val="0"/>
                <w:sz w:val="32"/>
                <w:szCs w:val="32"/>
              </w:rPr>
            </w:pPr>
            <w:r>
              <w:rPr>
                <w:rFonts w:hint="eastAsia" w:ascii="仿宋_GB2312" w:eastAsia="仿宋_GB2312" w:cs="宋体"/>
                <w:b w:val="0"/>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2341" w:type="dxa"/>
          </w:tcPr>
          <w:p>
            <w:pPr>
              <w:pStyle w:val="2"/>
              <w:outlineLvl w:val="1"/>
              <w:rPr>
                <w:rFonts w:ascii="仿宋_GB2312" w:eastAsia="仿宋_GB2312" w:cs="宋体"/>
                <w:b w:val="0"/>
                <w:sz w:val="32"/>
                <w:szCs w:val="32"/>
              </w:rPr>
            </w:pPr>
            <w:r>
              <w:rPr>
                <w:rFonts w:hint="eastAsia" w:ascii="仿宋_GB2312" w:eastAsia="仿宋_GB2312" w:cs="宋体"/>
                <w:b w:val="0"/>
                <w:sz w:val="32"/>
                <w:szCs w:val="32"/>
              </w:rPr>
              <w:t>董宏波</w:t>
            </w:r>
          </w:p>
        </w:tc>
        <w:tc>
          <w:tcPr>
            <w:tcW w:w="2838" w:type="dxa"/>
          </w:tcPr>
          <w:p>
            <w:pPr>
              <w:pStyle w:val="2"/>
              <w:outlineLvl w:val="1"/>
              <w:rPr>
                <w:rFonts w:ascii="仿宋_GB2312" w:eastAsia="仿宋_GB2312" w:cs="宋体"/>
                <w:b w:val="0"/>
                <w:sz w:val="32"/>
                <w:szCs w:val="32"/>
              </w:rPr>
            </w:pPr>
            <w:r>
              <w:rPr>
                <w:rFonts w:hint="eastAsia" w:ascii="仿宋_GB2312" w:eastAsia="仿宋_GB2312" w:cs="宋体"/>
                <w:b w:val="0"/>
                <w:sz w:val="32"/>
                <w:szCs w:val="32"/>
              </w:rPr>
              <w:t>区发展和改革局</w:t>
            </w:r>
          </w:p>
        </w:tc>
        <w:tc>
          <w:tcPr>
            <w:tcW w:w="1410" w:type="dxa"/>
          </w:tcPr>
          <w:p>
            <w:pPr>
              <w:pStyle w:val="2"/>
              <w:outlineLvl w:val="1"/>
              <w:rPr>
                <w:rFonts w:ascii="仿宋_GB2312" w:eastAsia="仿宋_GB2312" w:cs="宋体"/>
                <w:b w:val="0"/>
                <w:sz w:val="32"/>
                <w:szCs w:val="32"/>
              </w:rPr>
            </w:pPr>
            <w:r>
              <w:rPr>
                <w:rFonts w:hint="eastAsia" w:ascii="仿宋_GB2312" w:eastAsia="仿宋_GB2312" w:cs="宋体"/>
                <w:b w:val="0"/>
                <w:sz w:val="32"/>
                <w:szCs w:val="32"/>
              </w:rPr>
              <w:t>组长</w:t>
            </w:r>
          </w:p>
        </w:tc>
        <w:tc>
          <w:tcPr>
            <w:tcW w:w="2400" w:type="dxa"/>
          </w:tcPr>
          <w:p>
            <w:pPr>
              <w:pStyle w:val="2"/>
              <w:outlineLvl w:val="1"/>
              <w:rPr>
                <w:rFonts w:ascii="仿宋_GB2312" w:eastAsia="仿宋_GB2312" w:cs="宋体"/>
                <w:b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2341" w:type="dxa"/>
          </w:tcPr>
          <w:p>
            <w:pPr>
              <w:pStyle w:val="2"/>
              <w:outlineLvl w:val="1"/>
              <w:rPr>
                <w:rFonts w:ascii="仿宋_GB2312" w:eastAsia="仿宋_GB2312" w:cs="宋体"/>
                <w:b w:val="0"/>
                <w:sz w:val="32"/>
                <w:szCs w:val="32"/>
              </w:rPr>
            </w:pPr>
            <w:r>
              <w:rPr>
                <w:rFonts w:hint="eastAsia" w:ascii="仿宋_GB2312" w:eastAsia="仿宋_GB2312" w:cs="宋体"/>
                <w:b w:val="0"/>
                <w:sz w:val="32"/>
                <w:szCs w:val="32"/>
              </w:rPr>
              <w:t xml:space="preserve">李保杰  </w:t>
            </w:r>
          </w:p>
          <w:p>
            <w:pPr>
              <w:pStyle w:val="2"/>
              <w:outlineLvl w:val="1"/>
              <w:rPr>
                <w:rFonts w:ascii="仿宋_GB2312" w:eastAsia="仿宋_GB2312" w:cs="宋体"/>
                <w:b w:val="0"/>
                <w:sz w:val="32"/>
                <w:szCs w:val="32"/>
              </w:rPr>
            </w:pPr>
            <w:r>
              <w:rPr>
                <w:rFonts w:hint="eastAsia" w:ascii="仿宋_GB2312" w:eastAsia="仿宋_GB2312" w:cs="宋体"/>
                <w:b w:val="0"/>
                <w:sz w:val="32"/>
                <w:szCs w:val="32"/>
              </w:rPr>
              <w:t>朱冉冉</w:t>
            </w:r>
          </w:p>
          <w:p>
            <w:pPr>
              <w:pStyle w:val="2"/>
              <w:outlineLvl w:val="1"/>
              <w:rPr>
                <w:rFonts w:ascii="仿宋_GB2312" w:eastAsia="仿宋_GB2312" w:cs="宋体"/>
                <w:b w:val="0"/>
                <w:sz w:val="32"/>
                <w:szCs w:val="32"/>
              </w:rPr>
            </w:pPr>
            <w:r>
              <w:rPr>
                <w:rFonts w:hint="eastAsia" w:ascii="仿宋_GB2312" w:eastAsia="仿宋_GB2312" w:cs="宋体"/>
                <w:b w:val="0"/>
                <w:sz w:val="32"/>
                <w:szCs w:val="32"/>
              </w:rPr>
              <w:t>丁春卫</w:t>
            </w:r>
          </w:p>
          <w:p>
            <w:pPr>
              <w:pStyle w:val="2"/>
              <w:outlineLvl w:val="1"/>
              <w:rPr>
                <w:rFonts w:ascii="仿宋_GB2312" w:eastAsia="仿宋_GB2312" w:cs="宋体"/>
                <w:b w:val="0"/>
                <w:sz w:val="32"/>
                <w:szCs w:val="32"/>
              </w:rPr>
            </w:pPr>
            <w:r>
              <w:rPr>
                <w:rFonts w:hint="eastAsia" w:ascii="仿宋_GB2312" w:eastAsia="仿宋_GB2312" w:cs="宋体"/>
                <w:b w:val="0"/>
                <w:sz w:val="32"/>
                <w:szCs w:val="32"/>
              </w:rPr>
              <w:t>王隆隆</w:t>
            </w:r>
          </w:p>
          <w:p>
            <w:pPr>
              <w:pStyle w:val="2"/>
              <w:outlineLvl w:val="1"/>
              <w:rPr>
                <w:rFonts w:ascii="仿宋_GB2312" w:eastAsia="仿宋_GB2312" w:cs="宋体"/>
                <w:b w:val="0"/>
                <w:sz w:val="32"/>
                <w:szCs w:val="32"/>
              </w:rPr>
            </w:pPr>
            <w:r>
              <w:rPr>
                <w:rFonts w:hint="eastAsia" w:ascii="仿宋_GB2312" w:eastAsia="仿宋_GB2312" w:cs="宋体"/>
                <w:b w:val="0"/>
                <w:sz w:val="32"/>
                <w:szCs w:val="32"/>
              </w:rPr>
              <w:t xml:space="preserve">唐志山  </w:t>
            </w:r>
          </w:p>
        </w:tc>
        <w:tc>
          <w:tcPr>
            <w:tcW w:w="2838" w:type="dxa"/>
          </w:tcPr>
          <w:p>
            <w:pPr>
              <w:pStyle w:val="2"/>
              <w:outlineLvl w:val="1"/>
              <w:rPr>
                <w:rFonts w:ascii="仿宋_GB2312" w:eastAsia="仿宋_GB2312" w:cs="宋体"/>
                <w:b w:val="0"/>
                <w:sz w:val="32"/>
                <w:szCs w:val="32"/>
              </w:rPr>
            </w:pPr>
            <w:r>
              <w:rPr>
                <w:rFonts w:hint="eastAsia" w:ascii="仿宋_GB2312" w:eastAsia="仿宋_GB2312" w:cs="宋体"/>
                <w:b w:val="0"/>
                <w:sz w:val="32"/>
                <w:szCs w:val="32"/>
              </w:rPr>
              <w:t>区发展和改革局</w:t>
            </w:r>
          </w:p>
        </w:tc>
        <w:tc>
          <w:tcPr>
            <w:tcW w:w="1410" w:type="dxa"/>
          </w:tcPr>
          <w:p>
            <w:pPr>
              <w:pStyle w:val="2"/>
              <w:outlineLvl w:val="1"/>
              <w:rPr>
                <w:rFonts w:ascii="仿宋_GB2312" w:eastAsia="仿宋_GB2312" w:cs="宋体"/>
                <w:b w:val="0"/>
                <w:sz w:val="32"/>
                <w:szCs w:val="32"/>
              </w:rPr>
            </w:pPr>
            <w:r>
              <w:rPr>
                <w:rFonts w:hint="eastAsia" w:ascii="仿宋_GB2312" w:eastAsia="仿宋_GB2312" w:cs="宋体"/>
                <w:b w:val="0"/>
                <w:sz w:val="32"/>
                <w:szCs w:val="32"/>
              </w:rPr>
              <w:t>成员</w:t>
            </w:r>
          </w:p>
        </w:tc>
        <w:tc>
          <w:tcPr>
            <w:tcW w:w="2400" w:type="dxa"/>
          </w:tcPr>
          <w:p>
            <w:pPr>
              <w:pStyle w:val="2"/>
              <w:outlineLvl w:val="1"/>
              <w:rPr>
                <w:rFonts w:ascii="仿宋_GB2312" w:eastAsia="仿宋_GB2312" w:cs="宋体"/>
                <w:b w:val="0"/>
                <w:sz w:val="32"/>
                <w:szCs w:val="32"/>
              </w:rPr>
            </w:pPr>
          </w:p>
        </w:tc>
      </w:tr>
    </w:tbl>
    <w:p>
      <w:pPr>
        <w:rPr>
          <w:rFonts w:ascii="仿宋_GB2312" w:eastAsia="仿宋_GB2312"/>
          <w:sz w:val="32"/>
          <w:szCs w:val="32"/>
        </w:rPr>
      </w:pPr>
    </w:p>
    <w:p>
      <w:pPr>
        <w:snapToGrid w:val="0"/>
        <w:spacing w:line="560" w:lineRule="exact"/>
        <w:jc w:val="center"/>
        <w:rPr>
          <w:rFonts w:hint="eastAsia" w:ascii="仿宋_GB2312" w:hAnsi="宋体" w:eastAsia="仿宋_GB2312" w:cs="宋体"/>
          <w:kern w:val="0"/>
          <w:sz w:val="32"/>
          <w:szCs w:val="32"/>
        </w:rPr>
      </w:pPr>
      <w:r>
        <w:rPr>
          <w:rFonts w:hint="eastAsia" w:ascii="仿宋_GB2312" w:hAnsi="宋体" w:eastAsia="仿宋_GB2312" w:cs="宋体"/>
          <w:kern w:val="0"/>
          <w:sz w:val="32"/>
          <w:szCs w:val="32"/>
        </w:rPr>
        <w:t xml:space="preserve">                   </w:t>
      </w:r>
    </w:p>
    <w:p>
      <w:pPr>
        <w:snapToGrid w:val="0"/>
        <w:spacing w:line="560" w:lineRule="exact"/>
        <w:jc w:val="center"/>
        <w:rPr>
          <w:rFonts w:ascii="仿宋_GB2312" w:hAnsi="宋体" w:eastAsia="仿宋_GB2312" w:cs="宋体"/>
          <w:kern w:val="0"/>
          <w:sz w:val="32"/>
          <w:szCs w:val="32"/>
        </w:rPr>
      </w:pPr>
      <w:r>
        <w:rPr>
          <w:rFonts w:hint="eastAsia" w:ascii="仿宋_GB2312" w:hAnsi="宋体" w:eastAsia="仿宋_GB2312" w:cs="宋体"/>
          <w:kern w:val="0"/>
          <w:sz w:val="32"/>
          <w:szCs w:val="32"/>
          <w:lang w:val="en-US" w:eastAsia="zh-CN"/>
        </w:rPr>
        <w:t xml:space="preserve">              </w:t>
      </w:r>
      <w:r>
        <w:rPr>
          <w:rFonts w:hint="eastAsia" w:ascii="仿宋_GB2312" w:hAnsi="宋体" w:eastAsia="仿宋_GB2312" w:cs="宋体"/>
          <w:kern w:val="0"/>
          <w:sz w:val="32"/>
          <w:szCs w:val="32"/>
        </w:rPr>
        <w:t xml:space="preserve">    石家庄市藁城区发展和改革局</w:t>
      </w:r>
    </w:p>
    <w:p>
      <w:pPr>
        <w:rPr>
          <w:rFonts w:ascii="仿宋_GB2312" w:hAnsi="宋体" w:eastAsia="仿宋_GB2312" w:cs="宋体"/>
          <w:kern w:val="0"/>
          <w:sz w:val="32"/>
          <w:szCs w:val="32"/>
        </w:rPr>
      </w:pPr>
      <w:r>
        <w:rPr>
          <w:rFonts w:hint="eastAsia" w:ascii="仿宋_GB2312" w:hAnsi="宋体" w:eastAsia="仿宋_GB2312" w:cs="宋体"/>
          <w:kern w:val="0"/>
          <w:sz w:val="32"/>
          <w:szCs w:val="32"/>
        </w:rPr>
        <w:t xml:space="preserve">                              2024年5月29日</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3073" o:spid="_x0000_s3073" o:spt="202" type="#_x0000_t202" style="position:absolute;left:0pt;margin-top:0pt;height:144pt;width:144pt;mso-position-horizontal:center;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28036C09"/>
    <w:rsid w:val="000B33C6"/>
    <w:rsid w:val="000B5E7D"/>
    <w:rsid w:val="000E7B0C"/>
    <w:rsid w:val="000F3218"/>
    <w:rsid w:val="001236E5"/>
    <w:rsid w:val="00140AD9"/>
    <w:rsid w:val="001A62F2"/>
    <w:rsid w:val="002045A8"/>
    <w:rsid w:val="00234BA0"/>
    <w:rsid w:val="00255046"/>
    <w:rsid w:val="002742F3"/>
    <w:rsid w:val="002B2A11"/>
    <w:rsid w:val="002E2567"/>
    <w:rsid w:val="003310CF"/>
    <w:rsid w:val="00487BD4"/>
    <w:rsid w:val="004B1F82"/>
    <w:rsid w:val="004B672D"/>
    <w:rsid w:val="0075475F"/>
    <w:rsid w:val="008B798B"/>
    <w:rsid w:val="008C05E9"/>
    <w:rsid w:val="009C1E03"/>
    <w:rsid w:val="009E162F"/>
    <w:rsid w:val="00A24C3B"/>
    <w:rsid w:val="00B376E9"/>
    <w:rsid w:val="00B901C8"/>
    <w:rsid w:val="00B96940"/>
    <w:rsid w:val="00BA73BC"/>
    <w:rsid w:val="00BE40A5"/>
    <w:rsid w:val="00BF0E5E"/>
    <w:rsid w:val="00C061CD"/>
    <w:rsid w:val="00C77398"/>
    <w:rsid w:val="00C8377B"/>
    <w:rsid w:val="00CD1890"/>
    <w:rsid w:val="00D27D9A"/>
    <w:rsid w:val="00D74458"/>
    <w:rsid w:val="00E06150"/>
    <w:rsid w:val="00E07139"/>
    <w:rsid w:val="00E57E93"/>
    <w:rsid w:val="00F77868"/>
    <w:rsid w:val="00FA7B6A"/>
    <w:rsid w:val="01670B16"/>
    <w:rsid w:val="04CF776D"/>
    <w:rsid w:val="0D280357"/>
    <w:rsid w:val="0DBD5A4E"/>
    <w:rsid w:val="15E36520"/>
    <w:rsid w:val="19266AB6"/>
    <w:rsid w:val="1BDE3ED3"/>
    <w:rsid w:val="1CAE0268"/>
    <w:rsid w:val="1CB1371C"/>
    <w:rsid w:val="1E0943F6"/>
    <w:rsid w:val="1E1D29B9"/>
    <w:rsid w:val="1EFA736B"/>
    <w:rsid w:val="22AC3903"/>
    <w:rsid w:val="23256DAA"/>
    <w:rsid w:val="23854B27"/>
    <w:rsid w:val="27C84D78"/>
    <w:rsid w:val="28036C09"/>
    <w:rsid w:val="2F486250"/>
    <w:rsid w:val="2F6D1A1F"/>
    <w:rsid w:val="2F9A3AC1"/>
    <w:rsid w:val="30EB45CB"/>
    <w:rsid w:val="322446DF"/>
    <w:rsid w:val="343A0CDF"/>
    <w:rsid w:val="363C2A78"/>
    <w:rsid w:val="3663183C"/>
    <w:rsid w:val="427C68CE"/>
    <w:rsid w:val="4455188C"/>
    <w:rsid w:val="44E81CBA"/>
    <w:rsid w:val="473D6B48"/>
    <w:rsid w:val="475E080B"/>
    <w:rsid w:val="4A3C7ADE"/>
    <w:rsid w:val="4CD47C2D"/>
    <w:rsid w:val="539C2AB2"/>
    <w:rsid w:val="53A97137"/>
    <w:rsid w:val="53BC408A"/>
    <w:rsid w:val="55B47DDB"/>
    <w:rsid w:val="58D11698"/>
    <w:rsid w:val="5C2C3E0B"/>
    <w:rsid w:val="6BB60747"/>
    <w:rsid w:val="70315121"/>
    <w:rsid w:val="711C11AF"/>
    <w:rsid w:val="727A61D3"/>
    <w:rsid w:val="751C5706"/>
    <w:rsid w:val="7AE351DD"/>
    <w:rsid w:val="7C2956E9"/>
    <w:rsid w:val="7C8E646A"/>
    <w:rsid w:val="7D8B3936"/>
    <w:rsid w:val="7F0531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qFormat/>
    <w:uiPriority w:val="99"/>
    <w:pPr>
      <w:spacing w:beforeAutospacing="1" w:afterAutospacing="1"/>
      <w:jc w:val="left"/>
      <w:outlineLvl w:val="1"/>
    </w:pPr>
    <w:rPr>
      <w:rFonts w:ascii="宋体" w:hAnsi="宋体"/>
      <w:b/>
      <w:kern w:val="0"/>
      <w:sz w:val="36"/>
      <w:szCs w:val="36"/>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footer"/>
    <w:basedOn w:val="1"/>
    <w:link w:val="11"/>
    <w:qFormat/>
    <w:uiPriority w:val="0"/>
    <w:pPr>
      <w:tabs>
        <w:tab w:val="center" w:pos="4153"/>
        <w:tab w:val="right" w:pos="8306"/>
      </w:tabs>
      <w:snapToGrid w:val="0"/>
      <w:jc w:val="left"/>
    </w:pPr>
    <w:rPr>
      <w:sz w:val="18"/>
      <w:szCs w:val="18"/>
    </w:rPr>
  </w:style>
  <w:style w:type="paragraph" w:styleId="4">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9">
    <w:name w:val="普通(网站)1"/>
    <w:basedOn w:val="1"/>
    <w:qFormat/>
    <w:uiPriority w:val="0"/>
    <w:pPr>
      <w:jc w:val="left"/>
    </w:pPr>
    <w:rPr>
      <w:rFonts w:ascii="Calibri" w:hAnsi="Calibri"/>
      <w:kern w:val="0"/>
      <w:sz w:val="24"/>
    </w:rPr>
  </w:style>
  <w:style w:type="character" w:customStyle="1" w:styleId="10">
    <w:name w:val="NormalCharacter"/>
    <w:semiHidden/>
    <w:qFormat/>
    <w:uiPriority w:val="0"/>
    <w:rPr>
      <w:rFonts w:ascii="Times New Roman" w:hAnsi="Times New Roman" w:eastAsia="宋体" w:cs="Times New Roman"/>
      <w:kern w:val="2"/>
      <w:sz w:val="21"/>
      <w:szCs w:val="24"/>
      <w:lang w:val="en-US" w:eastAsia="zh-CN" w:bidi="ar-SA"/>
    </w:rPr>
  </w:style>
  <w:style w:type="character" w:customStyle="1" w:styleId="11">
    <w:name w:val="页脚 Char"/>
    <w:basedOn w:val="8"/>
    <w:link w:val="3"/>
    <w:qFormat/>
    <w:uiPriority w:val="0"/>
    <w:rPr>
      <w:rFonts w:ascii="Times New Roman" w:hAnsi="Times New Roman" w:eastAsia="宋体" w:cs="Times New Roman"/>
      <w:kern w:val="2"/>
      <w:sz w:val="18"/>
      <w:szCs w:val="18"/>
    </w:rPr>
  </w:style>
  <w:style w:type="paragraph" w:customStyle="1" w:styleId="12">
    <w:name w:val="p0"/>
    <w:basedOn w:val="1"/>
    <w:qFormat/>
    <w:uiPriority w:val="0"/>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8</Pages>
  <Words>607</Words>
  <Characters>3462</Characters>
  <Lines>28</Lines>
  <Paragraphs>8</Paragraphs>
  <TotalTime>64</TotalTime>
  <ScaleCrop>false</ScaleCrop>
  <LinksUpToDate>false</LinksUpToDate>
  <CharactersWithSpaces>4061</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2023-12-26T08:37:00Z</dcterms:created>
  <dc:creator>z</dc:creator>
  <cp:lastModifiedBy>岱</cp:lastModifiedBy>
  <cp:lastPrinted>2023-04-18T07:53:00Z</cp:lastPrinted>
  <dcterms:modified xsi:type="dcterms:W3CDTF">2024-05-29T08:07:13Z</dcterms:modified>
  <dc:title>石家庄市藁城区发展和改革局</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FF808D66ACF94C9CACA5A8E7BD874414</vt:lpwstr>
  </property>
</Properties>
</file>