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方正小标宋简体" w:hAnsi="方正小标宋简体" w:eastAsia="方正小标宋简体"/>
          <w:sz w:val="36"/>
          <w:lang w:val="en-US" w:eastAsia="zh-CN"/>
        </w:rPr>
      </w:pPr>
      <w:r>
        <w:rPr>
          <w:rFonts w:hint="eastAsia" w:ascii="方正小标宋简体" w:hAnsi="方正小标宋简体" w:eastAsia="方正小标宋简体"/>
          <w:sz w:val="36"/>
          <w:lang w:val="en-US" w:eastAsia="zh-CN"/>
        </w:rPr>
        <w:t>石家庄市藁城区交通运输局权责清单事项分表</w:t>
      </w:r>
    </w:p>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（行政裁决类、共1项）</w:t>
      </w:r>
    </w:p>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楷体_GB2312" w:hAnsi="楷体_GB2312" w:eastAsia="楷体_GB2312"/>
          <w:sz w:val="28"/>
          <w:lang w:val="en-US" w:eastAsia="zh-CN"/>
        </w:rPr>
      </w:pPr>
      <w:r>
        <w:rPr>
          <w:rFonts w:hint="eastAsia" w:ascii="楷体_GB2312" w:hAnsi="楷体_GB2312" w:eastAsia="楷体_GB2312"/>
          <w:sz w:val="28"/>
          <w:lang w:val="en-US" w:eastAsia="zh-CN"/>
        </w:rPr>
        <w:t>单位：石家庄市藁城区交通运输局</w:t>
      </w:r>
    </w:p>
    <w:tbl>
      <w:tblPr>
        <w:tblStyle w:val="2"/>
        <w:tblW w:w="14775" w:type="dxa"/>
        <w:tblInd w:w="0" w:type="dxa"/>
        <w:shd w:val="clear" w:color="auto" w:fill="auto"/>
        <w:tblLayout w:type="fixed"/>
        <w:tblCellMar>
          <w:top w:w="0" w:type="dxa"/>
          <w:left w:w="0" w:type="dxa"/>
          <w:bottom w:w="0" w:type="dxa"/>
          <w:right w:w="0" w:type="dxa"/>
        </w:tblCellMar>
      </w:tblPr>
      <w:tblGrid>
        <w:gridCol w:w="575"/>
        <w:gridCol w:w="1000"/>
        <w:gridCol w:w="738"/>
        <w:gridCol w:w="862"/>
        <w:gridCol w:w="1913"/>
        <w:gridCol w:w="5925"/>
        <w:gridCol w:w="2825"/>
        <w:gridCol w:w="937"/>
      </w:tblGrid>
      <w:tr>
        <w:tblPrEx>
          <w:shd w:val="clear" w:color="auto" w:fill="auto"/>
          <w:tblCellMar>
            <w:top w:w="0" w:type="dxa"/>
            <w:left w:w="0" w:type="dxa"/>
            <w:bottom w:w="0" w:type="dxa"/>
            <w:right w:w="0" w:type="dxa"/>
          </w:tblCellMar>
        </w:tblPrEx>
        <w:trPr>
          <w:trHeight w:val="59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序号</w:t>
            </w: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权力类型</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权力事项</w:t>
            </w:r>
          </w:p>
        </w:tc>
        <w:tc>
          <w:tcPr>
            <w:tcW w:w="8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行政主体</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实施依据</w:t>
            </w:r>
          </w:p>
        </w:tc>
        <w:tc>
          <w:tcPr>
            <w:tcW w:w="59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责任事项</w:t>
            </w:r>
          </w:p>
        </w:tc>
        <w:tc>
          <w:tcPr>
            <w:tcW w:w="2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追责情形</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备注</w:t>
            </w:r>
          </w:p>
        </w:tc>
      </w:tr>
      <w:tr>
        <w:tblPrEx>
          <w:shd w:val="clear" w:color="auto" w:fill="auto"/>
          <w:tblCellMar>
            <w:top w:w="0" w:type="dxa"/>
            <w:left w:w="0" w:type="dxa"/>
            <w:bottom w:w="0" w:type="dxa"/>
            <w:right w:w="0" w:type="dxa"/>
          </w:tblCellMar>
        </w:tblPrEx>
        <w:trPr>
          <w:trHeight w:val="5392"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行政裁决</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客运经营者发车时间安排纠纷的裁决</w:t>
            </w:r>
          </w:p>
        </w:tc>
        <w:tc>
          <w:tcPr>
            <w:tcW w:w="8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石家庄市藁城区交通运输局</w:t>
            </w:r>
          </w:p>
        </w:tc>
        <w:tc>
          <w:tcPr>
            <w:tcW w:w="19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《道路旅客运输及客运站管理规定》（</w:t>
            </w:r>
            <w:r>
              <w:rPr>
                <w:rFonts w:hint="eastAsia" w:ascii="宋体" w:hAnsi="宋体" w:eastAsia="宋体" w:cs="宋体"/>
                <w:i w:val="0"/>
                <w:color w:val="000000"/>
                <w:kern w:val="0"/>
                <w:sz w:val="18"/>
                <w:szCs w:val="18"/>
                <w:u w:val="none"/>
                <w:lang w:val="en-US" w:eastAsia="zh-CN" w:bidi="ar"/>
              </w:rPr>
              <w:t>交通运输部令2023年第18号）</w:t>
            </w:r>
            <w:r>
              <w:rPr>
                <w:rFonts w:hint="eastAsia" w:ascii="宋体" w:hAnsi="宋体" w:eastAsia="宋体" w:cs="宋体"/>
                <w:i w:val="0"/>
                <w:color w:val="000000"/>
                <w:kern w:val="0"/>
                <w:sz w:val="18"/>
                <w:szCs w:val="18"/>
                <w:u w:val="none"/>
                <w:lang w:val="en-US" w:eastAsia="zh-CN" w:bidi="ar"/>
              </w:rPr>
              <w:t>第七十四条第三款  “客运经营者在发车时间安排上发生纠纷，客运站经营者协调无效时，由当地县</w:t>
            </w:r>
            <w:bookmarkStart w:id="0" w:name="_GoBack"/>
            <w:bookmarkEnd w:id="0"/>
            <w:r>
              <w:rPr>
                <w:rFonts w:hint="eastAsia" w:ascii="宋体" w:hAnsi="宋体" w:eastAsia="宋体" w:cs="宋体"/>
                <w:i w:val="0"/>
                <w:color w:val="000000"/>
                <w:kern w:val="0"/>
                <w:sz w:val="18"/>
                <w:szCs w:val="18"/>
                <w:u w:val="none"/>
                <w:lang w:val="en-US" w:eastAsia="zh-CN" w:bidi="ar"/>
              </w:rPr>
              <w:t>级以上道路运输管理机构裁定。”</w:t>
            </w:r>
          </w:p>
        </w:tc>
        <w:tc>
          <w:tcPr>
            <w:tcW w:w="59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受理阶段：收到申请人提出裁决申请资料后完成资料审核，对资料齐全的发给受理通知书；资料不全的，应当书面通知当事人补充（资料补充齐全的，应当受理申请）。不予受理的，从作出决定之日起5日内书面通知当事人，并说明理由。</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2.审查阶段：按法定程序要求，通知权属争议的对方当事人在规定的期限内提交答辩书及有关证据材料。应对争议的事实、证据材料进行审查，应当事人请求，且符合听证条件的，应举行听证。</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3.裁决阶段：根据事实和法律、法规作出裁决，制作并向双方当事人送达裁决书（说明裁决的理由和依据，并告知法律救济权利）。</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4.执行阶段：纠纷裁决生效后，争议当事人应当自觉履行，对逾期不履行行政裁决决定的，由交通行政机关依照相关法律申请强制执行。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5.其他法律法规规章文件规定应履行的责任。</w:t>
            </w:r>
          </w:p>
        </w:tc>
        <w:tc>
          <w:tcPr>
            <w:tcW w:w="2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因不履行或不正确履行行政职责，有下列情形的，行政机关及相关工作人员应承担相应责任：</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1.不依法履行监督职责或者监督不力的；</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2.相关工作人员滥用职权、徇私舞弊、玩忽职守的；</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3.相关工作人员索贿、受贿，谋取不正当利益的；</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4.其他违反法律法规规章文件规定的行为。</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5"/>
                <w:szCs w:val="15"/>
                <w:u w:val="none"/>
              </w:rPr>
            </w:pP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3N2E5NTNjMjA4ZTBkNjM3MzY3MDU1OWJkZjU1NzEifQ=="/>
  </w:docVars>
  <w:rsids>
    <w:rsidRoot w:val="00000000"/>
    <w:rsid w:val="24082070"/>
    <w:rsid w:val="63326A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Emphasis"/>
    <w:basedOn w:val="3"/>
    <w:qFormat/>
    <w:uiPriority w:val="0"/>
    <w:rPr>
      <w:i/>
    </w:rPr>
  </w:style>
  <w:style w:type="character" w:customStyle="1" w:styleId="5">
    <w:name w:val="font21"/>
    <w:basedOn w:val="3"/>
    <w:qFormat/>
    <w:uiPriority w:val="0"/>
    <w:rPr>
      <w:rFonts w:hint="eastAsia" w:ascii="宋体" w:hAnsi="宋体" w:eastAsia="宋体" w:cs="宋体"/>
      <w:color w:val="000000"/>
      <w:sz w:val="40"/>
      <w:szCs w:val="40"/>
      <w:u w:val="none"/>
    </w:rPr>
  </w:style>
  <w:style w:type="character" w:customStyle="1" w:styleId="6">
    <w:name w:val="font01"/>
    <w:basedOn w:val="3"/>
    <w:uiPriority w:val="0"/>
    <w:rPr>
      <w:rFonts w:hint="eastAsia" w:ascii="宋体" w:hAnsi="宋体" w:eastAsia="宋体" w:cs="宋体"/>
      <w:color w:val="000000"/>
      <w:sz w:val="40"/>
      <w:szCs w:val="40"/>
      <w:u w:val="none"/>
    </w:rPr>
  </w:style>
  <w:style w:type="character" w:customStyle="1" w:styleId="7">
    <w:name w:val="font11"/>
    <w:basedOn w:val="3"/>
    <w:uiPriority w:val="0"/>
    <w:rPr>
      <w:rFonts w:hint="eastAsia" w:ascii="宋体" w:hAnsi="宋体" w:eastAsia="宋体" w:cs="宋体"/>
      <w:color w:val="000000"/>
      <w:sz w:val="40"/>
      <w:szCs w:val="40"/>
      <w:u w:val="none"/>
    </w:rPr>
  </w:style>
  <w:style w:type="character" w:customStyle="1" w:styleId="8">
    <w:name w:val="font41"/>
    <w:basedOn w:val="3"/>
    <w:uiPriority w:val="0"/>
    <w:rPr>
      <w:rFonts w:hint="eastAsia" w:ascii="宋体" w:hAnsi="宋体" w:eastAsia="宋体" w:cs="宋体"/>
      <w:color w:val="000000"/>
      <w:sz w:val="40"/>
      <w:szCs w:val="40"/>
      <w:u w:val="none"/>
    </w:rPr>
  </w:style>
  <w:style w:type="character" w:customStyle="1" w:styleId="9">
    <w:name w:val="font71"/>
    <w:basedOn w:val="3"/>
    <w:qFormat/>
    <w:uiPriority w:val="0"/>
    <w:rPr>
      <w:rFonts w:hint="eastAsia" w:ascii="宋体" w:hAnsi="宋体" w:eastAsia="宋体" w:cs="宋体"/>
      <w:color w:val="000000"/>
      <w:sz w:val="40"/>
      <w:szCs w:val="40"/>
      <w:u w:val="none"/>
    </w:rPr>
  </w:style>
  <w:style w:type="character" w:customStyle="1" w:styleId="10">
    <w:name w:val="font51"/>
    <w:basedOn w:val="3"/>
    <w:uiPriority w:val="0"/>
    <w:rPr>
      <w:rFonts w:hint="eastAsia" w:ascii="宋体" w:hAnsi="宋体" w:eastAsia="宋体" w:cs="宋体"/>
      <w:color w:val="000000"/>
      <w:sz w:val="40"/>
      <w:szCs w:val="4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646</Words>
  <Characters>659</Characters>
  <Lines>0</Lines>
  <Paragraphs>0</Paragraphs>
  <TotalTime>4</TotalTime>
  <ScaleCrop>false</ScaleCrop>
  <LinksUpToDate>false</LinksUpToDate>
  <CharactersWithSpaces>661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2021-05-14T01:58:00Z</dcterms:created>
  <dc:creator>Administrator</dc:creator>
  <cp:lastModifiedBy>熊</cp:lastModifiedBy>
  <dcterms:modified xsi:type="dcterms:W3CDTF">2024-05-24T07:29:02Z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A6D6D5FB47444E4982B14A47DB387E91_13</vt:lpwstr>
  </property>
</Properties>
</file>