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方正小标宋简体" w:hAnsi="方正小标宋简体" w:eastAsia="方正小标宋简体"/>
          <w:sz w:val="36"/>
          <w:lang w:val="en-US" w:eastAsia="zh-CN"/>
        </w:rPr>
      </w:pPr>
      <w:r>
        <w:rPr>
          <w:rFonts w:hint="eastAsia" w:ascii="方正小标宋简体" w:hAnsi="方正小标宋简体" w:eastAsia="方正小标宋简体"/>
          <w:sz w:val="36"/>
          <w:lang w:val="en-US" w:eastAsia="zh-CN"/>
        </w:rPr>
        <w:t>石家庄市藁城区交通运输局权责清单事项分表</w:t>
      </w:r>
    </w:p>
    <w:p>
      <w:pPr>
        <w:keepNext w:val="0"/>
        <w:keepLines w:val="0"/>
        <w:pageBreakBefore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楷体_GB2312" w:hAnsi="楷体_GB2312" w:eastAsia="楷体_GB2312"/>
          <w:sz w:val="36"/>
          <w:lang w:val="en-US" w:eastAsia="zh-CN"/>
        </w:rPr>
      </w:pPr>
      <w:r>
        <w:rPr>
          <w:rFonts w:hint="eastAsia" w:ascii="楷体_GB2312" w:hAnsi="楷体_GB2312" w:eastAsia="楷体_GB2312"/>
          <w:lang w:val="en-US" w:eastAsia="zh-CN"/>
        </w:rPr>
        <w:t>（其他权力事项类、共5项）</w:t>
      </w:r>
    </w:p>
    <w:p>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textAlignment w:val="auto"/>
        <w:rPr>
          <w:rFonts w:hint="eastAsia" w:ascii="仿宋_GB2312"/>
          <w:lang w:val="en-US" w:eastAsia="zh-CN"/>
        </w:rPr>
      </w:pPr>
      <w:r>
        <w:rPr>
          <w:rFonts w:hint="eastAsia" w:ascii="楷体_GB2312" w:hAnsi="楷体_GB2312" w:eastAsia="楷体_GB2312"/>
          <w:sz w:val="28"/>
          <w:lang w:val="en-US" w:eastAsia="zh-CN"/>
        </w:rPr>
        <w:t>单位：石家庄市藁城区交通运输局</w:t>
      </w:r>
    </w:p>
    <w:tbl>
      <w:tblPr>
        <w:tblStyle w:val="3"/>
        <w:tblW w:w="14280" w:type="dxa"/>
        <w:tblInd w:w="0" w:type="dxa"/>
        <w:shd w:val="clear" w:color="auto" w:fill="auto"/>
        <w:tblLayout w:type="fixed"/>
        <w:tblCellMar>
          <w:top w:w="0" w:type="dxa"/>
          <w:left w:w="0" w:type="dxa"/>
          <w:bottom w:w="0" w:type="dxa"/>
          <w:right w:w="0" w:type="dxa"/>
        </w:tblCellMar>
      </w:tblPr>
      <w:tblGrid>
        <w:gridCol w:w="713"/>
        <w:gridCol w:w="600"/>
        <w:gridCol w:w="587"/>
        <w:gridCol w:w="338"/>
        <w:gridCol w:w="375"/>
        <w:gridCol w:w="350"/>
        <w:gridCol w:w="4225"/>
        <w:gridCol w:w="2132"/>
        <w:gridCol w:w="230"/>
        <w:gridCol w:w="1350"/>
        <w:gridCol w:w="2340"/>
        <w:gridCol w:w="1040"/>
      </w:tblGrid>
      <w:tr>
        <w:tblPrEx>
          <w:shd w:val="clear" w:color="auto" w:fill="auto"/>
          <w:tblCellMar>
            <w:top w:w="0" w:type="dxa"/>
            <w:left w:w="0" w:type="dxa"/>
            <w:bottom w:w="0" w:type="dxa"/>
            <w:right w:w="0" w:type="dxa"/>
          </w:tblCellMar>
        </w:tblPrEx>
        <w:trPr>
          <w:trHeight w:val="51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序号</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权力类型</w:t>
            </w:r>
          </w:p>
        </w:tc>
        <w:tc>
          <w:tcPr>
            <w:tcW w:w="9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权力事项</w:t>
            </w:r>
          </w:p>
        </w:tc>
        <w:tc>
          <w:tcPr>
            <w:tcW w:w="7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行政主体</w:t>
            </w:r>
          </w:p>
        </w:tc>
        <w:tc>
          <w:tcPr>
            <w:tcW w:w="4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实施依据</w:t>
            </w:r>
          </w:p>
        </w:tc>
        <w:tc>
          <w:tcPr>
            <w:tcW w:w="2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责任事项</w:t>
            </w:r>
          </w:p>
        </w:tc>
        <w:tc>
          <w:tcPr>
            <w:tcW w:w="3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5"/>
                <w:szCs w:val="15"/>
                <w:u w:val="none"/>
              </w:rPr>
            </w:pPr>
            <w:r>
              <w:rPr>
                <w:rFonts w:hint="eastAsia" w:ascii="宋体" w:hAnsi="宋体" w:eastAsia="宋体" w:cs="宋体"/>
                <w:b/>
                <w:i w:val="0"/>
                <w:color w:val="000000"/>
                <w:kern w:val="0"/>
                <w:sz w:val="15"/>
                <w:szCs w:val="15"/>
                <w:u w:val="none"/>
                <w:lang w:val="en-US" w:eastAsia="zh-CN" w:bidi="ar"/>
              </w:rPr>
              <w:t>追责情形</w:t>
            </w: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备注</w:t>
            </w:r>
          </w:p>
        </w:tc>
      </w:tr>
      <w:tr>
        <w:tblPrEx>
          <w:shd w:val="clear" w:color="auto" w:fill="auto"/>
          <w:tblCellMar>
            <w:top w:w="0" w:type="dxa"/>
            <w:left w:w="0" w:type="dxa"/>
            <w:bottom w:w="0" w:type="dxa"/>
            <w:right w:w="0" w:type="dxa"/>
          </w:tblCellMar>
        </w:tblPrEx>
        <w:trPr>
          <w:trHeight w:val="576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其他行政权力</w:t>
            </w:r>
          </w:p>
        </w:tc>
        <w:tc>
          <w:tcPr>
            <w:tcW w:w="9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规范出租车车型、车容车貌、专用设施设备</w:t>
            </w:r>
          </w:p>
        </w:tc>
        <w:tc>
          <w:tcPr>
            <w:tcW w:w="7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石家庄市藁城区交通运输局</w:t>
            </w:r>
          </w:p>
        </w:tc>
        <w:tc>
          <w:tcPr>
            <w:tcW w:w="4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《河北省道路运输管理条例》第三十二条   出租汽车服务规范、车型、车容车貌、专用设施以及年度审验制度由所在地设区的市、县级人民政府交通运输主管部门制定。</w:t>
            </w:r>
          </w:p>
        </w:tc>
        <w:tc>
          <w:tcPr>
            <w:tcW w:w="2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1、对制定政策所要解</w:t>
            </w:r>
            <w:bookmarkStart w:id="0" w:name="_GoBack"/>
            <w:bookmarkEnd w:id="0"/>
            <w:r>
              <w:rPr>
                <w:rFonts w:hint="eastAsia" w:ascii="宋体" w:hAnsi="宋体" w:eastAsia="宋体" w:cs="宋体"/>
                <w:i w:val="0"/>
                <w:color w:val="000000"/>
                <w:kern w:val="0"/>
                <w:sz w:val="15"/>
                <w:szCs w:val="15"/>
                <w:u w:val="none"/>
                <w:lang w:val="en-US" w:eastAsia="zh-CN" w:bidi="ar"/>
              </w:rPr>
              <w:t xml:space="preserve">决的主要问题、拟确定的主要制度作出说明。                     </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 xml:space="preserve">2、调查研究，总结经验，起草政策措施或及其说明。                                3、合理合法进行社会公布。               4、做好政策解释并按规定进行备案。      </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5、其他法律法规规章文件规定应履行的责任。</w:t>
            </w:r>
          </w:p>
        </w:tc>
        <w:tc>
          <w:tcPr>
            <w:tcW w:w="3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因不履行或不正确履行行政职责，有下列情形的，行政机关及相关工作人员应承担相应责任：</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1、不依法履行监督职责或者监督不力的；</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2、相关工作人员滥用职权、徇私舞弊、玩忽职守的；</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3、相关工作人员索贿、受贿，谋取不正当利益的；</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4、其他违反法律法规规章文件规定的行为。</w:t>
            </w: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5"/>
                <w:szCs w:val="15"/>
                <w:u w:val="none"/>
              </w:rPr>
            </w:pPr>
          </w:p>
        </w:tc>
      </w:tr>
      <w:tr>
        <w:tblPrEx>
          <w:shd w:val="clear" w:color="auto" w:fill="auto"/>
          <w:tblCellMar>
            <w:top w:w="0" w:type="dxa"/>
            <w:left w:w="0" w:type="dxa"/>
            <w:bottom w:w="0" w:type="dxa"/>
            <w:right w:w="0" w:type="dxa"/>
          </w:tblCellMar>
        </w:tblPrEx>
        <w:trPr>
          <w:trHeight w:val="7218"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2</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其他行政权力</w:t>
            </w:r>
          </w:p>
        </w:tc>
        <w:tc>
          <w:tcPr>
            <w:tcW w:w="9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出租汽车年度审验</w:t>
            </w:r>
          </w:p>
        </w:tc>
        <w:tc>
          <w:tcPr>
            <w:tcW w:w="7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石家庄市藁城区交通运输局</w:t>
            </w:r>
          </w:p>
        </w:tc>
        <w:tc>
          <w:tcPr>
            <w:tcW w:w="4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《河北省道路运输管理条例》第三十二条   出租汽车服务规范、车型、车容车貌、专用设施以及年度审验制度由所在地设区的市、县级人民政府交通运输主管部门制定。</w:t>
            </w:r>
          </w:p>
        </w:tc>
        <w:tc>
          <w:tcPr>
            <w:tcW w:w="2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1、对制定政策所要解决的主要问题、拟确定的主要制度作出说明。                     </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 xml:space="preserve">2、调查研究，总结经验，起草政策措施或及其说明。                                3、合理合法进行社会公布。               4、做好政策解释并按规定进行备案。      </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5、其他法律法规规章文件规定应履行的责任。</w:t>
            </w:r>
          </w:p>
        </w:tc>
        <w:tc>
          <w:tcPr>
            <w:tcW w:w="3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因不履行或不正确履行行政职责，有下列情形的，行政机关及相关工作人员应承担相应责任：</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1、不依法履行监督职责或者监督不力的；</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2、相关工作人员滥用职权、徇私舞弊、玩忽职守的；</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3、相关工作人员索贿、受贿，谋取不正当利益的；</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4、其他违反法律法规规章文件规定的行为。</w:t>
            </w: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5"/>
                <w:szCs w:val="15"/>
                <w:u w:val="none"/>
              </w:rPr>
            </w:pPr>
          </w:p>
        </w:tc>
      </w:tr>
      <w:tr>
        <w:tblPrEx>
          <w:shd w:val="clear" w:color="auto" w:fill="auto"/>
          <w:tblCellMar>
            <w:top w:w="0" w:type="dxa"/>
            <w:left w:w="0" w:type="dxa"/>
            <w:bottom w:w="0" w:type="dxa"/>
            <w:right w:w="0" w:type="dxa"/>
          </w:tblCellMar>
        </w:tblPrEx>
        <w:trPr>
          <w:trHeight w:val="818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3</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其他行政权力</w:t>
            </w:r>
          </w:p>
        </w:tc>
        <w:tc>
          <w:tcPr>
            <w:tcW w:w="58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收取公路赔补偿款</w:t>
            </w:r>
          </w:p>
        </w:tc>
        <w:tc>
          <w:tcPr>
            <w:tcW w:w="71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石家庄市藁城区交通运输局</w:t>
            </w:r>
          </w:p>
        </w:tc>
        <w:tc>
          <w:tcPr>
            <w:tcW w:w="6937"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1.《公路法》第五章路政管理-第四十四条 任何单位和个人不得擅自占用、挖掘公路。</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因修建铁路、机场、电站、通信设施、水利工程和进行其他建设工程需要占用、挖掘公路或者使公路改线的，建设单位应当事先征得有关交通主管部门的同意；影响交通安全的，还须征得有关公安机关的同意。占用、挖掘公路或者使公路改线的，建设单位应当按照不低于该段公路原有的技术标准予以修复、改建或者给予相应的经济补偿。</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第四十五条 跨越、穿越公路修建桥梁、渡槽或者架设、埋设管线等设施的，以及在公路用地范围内架设、埋设管线、电缆等设施的，应当事先经有关交通主管部门同意，影响交通安全的，还须征得有关公安机关的同意；所修建、架设或者埋设的设施应当符合公路工程技术标准的要求。对公路造成损坏的，应当按照损坏程度给予补偿。      第四十八条 铁轮车、履带车和其他可能损害公路路面的机具，不得在公路上行驶。“农业机械因当地田间作业需要在公路上短距离行驶或者军用车辆执行任务需要在公路上行驶的，可以不受前款限制，但是应当采取安全保护措施。对公路造成损坏的，应当按照损坏程度给予补偿。                                                       第五十条 超过公路、公路桥梁、公路隧道或者汽车渡船的限载、限高、限宽、限长标准的车辆，不得在有限定标准的公路、公路桥梁上或者公路隧道内行驶，不得使用汽车渡船。超过公路或者公路桥梁限载标准确需行驶的，必须经县级以上地方人民政府交通主管部门批准，并按要求采取有效的防护措施；运载不可解体的超限物品的，应当按照指定的时间、路线、时速行驶，并悬挂明显标志。运输单位不能按照前款规定采取防护措施的，由交通主管部门帮助其采取防护措施，所需费用由运输单位承担。              第五十三条 造成公路损坏的，责任者应当及时报告公路管理机构，并接受公路管理机构的现场调查。</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2.《路政管理规定》（交通运输部令第81号）第三十一条　公民、法人或者其他组织造成路产损坏的，应向公路管理机构缴纳路产损坏赔(补)偿费。</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第三十二条　根据《公路法》第四十四条第二款，经批准占用、利用、挖掘公路或者使公路改线的，建设单位应当按照不低于该段公路原有技术标准予以修复、改建或者给予相应的补偿。</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1、对制定政策所要解决的主要问题、拟确定的主要制度作出说明。</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2、调查研究，总结经验，起草政策措施或及其说明。                                3、合理合法进行社会公布。               4、做好政策解释并按规定进行备案。</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5、其他法律法规规章文件规定应履行的责任。</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因不履行或不正确履行行政职责，有下列情形的，行政机关及相关工作人员应承担相应责任：</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1、不依法履行监督职责或者监督不力的；</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2、相关工作人员滥用职权、徇私舞弊、玩忽职守的；</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3、相关工作人员索贿、受贿，谋取不正当利益的；</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4、其他违反法律法规规章文件规定的行为。</w:t>
            </w: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5"/>
                <w:szCs w:val="15"/>
                <w:u w:val="none"/>
              </w:rPr>
            </w:pPr>
          </w:p>
        </w:tc>
      </w:tr>
      <w:tr>
        <w:tblPrEx>
          <w:shd w:val="clear" w:color="auto" w:fill="auto"/>
          <w:tblCellMar>
            <w:top w:w="0" w:type="dxa"/>
            <w:left w:w="0" w:type="dxa"/>
            <w:bottom w:w="0" w:type="dxa"/>
            <w:right w:w="0" w:type="dxa"/>
          </w:tblCellMar>
        </w:tblPrEx>
        <w:trPr>
          <w:trHeight w:val="6340"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4</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其他行政权力</w:t>
            </w:r>
          </w:p>
        </w:tc>
        <w:tc>
          <w:tcPr>
            <w:tcW w:w="9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对经检测认定违法超限运输情形车辆的处理</w:t>
            </w:r>
          </w:p>
        </w:tc>
        <w:tc>
          <w:tcPr>
            <w:tcW w:w="7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石家庄市藁城区交通运输局</w:t>
            </w:r>
          </w:p>
        </w:tc>
        <w:tc>
          <w:tcPr>
            <w:tcW w:w="4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 xml:space="preserve"> 《公路安全保护条例》第六十四条　违反本条例的规定,在公路上行驶的车辆,车货总体的外廓尺寸、轴荷或者总质量超过公路、公路桥梁、公路隧道、汽车渡船限定标准的,由公路管理机构责令改正,可以处3万元以下的罚款。</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第六十五条　违反本条例的规定,经批准进行超限运输的车辆,未按照指定时间、路线和速度行驶的,由公路管理机构或者公安机关交通管理部门责令改正；拒不改正的,公路管理机构或者公安机关交通管理部门可以扣留车辆。</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未随车携带超限运输车辆通行证的,由公路管理机构扣留车辆,责令车辆驾驶人提供超限运输车辆通行证或者相应的证明。</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租借、转让超限运输车辆通行证的,由公路管理机构没收超限运输车辆通行证,处1000元以上5000元以下的罚款。使用伪造、变造的超限运输车辆通行证的,由公路管理机构没收伪造、变造的超限运输车辆通行证,处3万元以下的罚款。</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第六十六条　对1年内违法超限运输超过3次的货运车辆,由道路运输管理机构吊销其车辆营运证；对1年内违法超限运输超过3次的货运车辆驾驶人,由道路运输管理机构责令其停止从事营业性运输；道路运输企业1年内违法超限运输的货运车辆超过本单位货运车辆总数10％的,由道路运输管理机构责令道路运输企业停业整顿；情节严重的,吊销其道路运输经营许可证,并向社会公告。</w:t>
            </w:r>
          </w:p>
        </w:tc>
        <w:tc>
          <w:tcPr>
            <w:tcW w:w="2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1、对制定政策所要解决的主要问题、拟确定的主要制度作出说明。</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2、调查研究，总结经验，起草政策措施或及其说明。                                3、合理合法进行社会公布。               4、做好政策解释并按规定进行备案。</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5、其他法律法规规章文件规定应履行的责任。</w:t>
            </w:r>
          </w:p>
        </w:tc>
        <w:tc>
          <w:tcPr>
            <w:tcW w:w="3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5"/>
                <w:szCs w:val="15"/>
                <w:u w:val="none"/>
              </w:rPr>
            </w:pPr>
            <w:r>
              <w:rPr>
                <w:rFonts w:hint="eastAsia" w:ascii="宋体" w:hAnsi="宋体" w:eastAsia="宋体" w:cs="宋体"/>
                <w:i w:val="0"/>
                <w:color w:val="000000"/>
                <w:kern w:val="0"/>
                <w:sz w:val="15"/>
                <w:szCs w:val="15"/>
                <w:u w:val="none"/>
                <w:lang w:val="en-US" w:eastAsia="zh-CN" w:bidi="ar"/>
              </w:rPr>
              <w:t>因不履行或不正确履行行政职责，有下列情形的，行政机关及相关工作人员应承担相应责任：</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1、不依法履行监督职责或者监督不力的；</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2、相关工作人员滥用职权、徇私舞弊、玩忽职守的；</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3、相关工作人员索贿、受贿，谋取不正当利益的；</w:t>
            </w:r>
            <w:r>
              <w:rPr>
                <w:rFonts w:hint="eastAsia" w:ascii="宋体" w:hAnsi="宋体" w:eastAsia="宋体" w:cs="宋体"/>
                <w:i w:val="0"/>
                <w:color w:val="000000"/>
                <w:kern w:val="0"/>
                <w:sz w:val="15"/>
                <w:szCs w:val="15"/>
                <w:u w:val="none"/>
                <w:lang w:val="en-US" w:eastAsia="zh-CN" w:bidi="ar"/>
              </w:rPr>
              <w:br w:type="textWrapping"/>
            </w:r>
            <w:r>
              <w:rPr>
                <w:rFonts w:hint="eastAsia" w:ascii="宋体" w:hAnsi="宋体" w:eastAsia="宋体" w:cs="宋体"/>
                <w:i w:val="0"/>
                <w:color w:val="000000"/>
                <w:kern w:val="0"/>
                <w:sz w:val="15"/>
                <w:szCs w:val="15"/>
                <w:u w:val="none"/>
                <w:lang w:val="en-US" w:eastAsia="zh-CN" w:bidi="ar"/>
              </w:rPr>
              <w:t>4、其他违反法律法规规章文件规定的行为。</w:t>
            </w: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5"/>
                <w:szCs w:val="15"/>
                <w:u w:val="none"/>
              </w:rPr>
            </w:pPr>
          </w:p>
        </w:tc>
      </w:tr>
      <w:tr>
        <w:tblPrEx>
          <w:shd w:val="clear" w:color="auto" w:fill="auto"/>
          <w:tblCellMar>
            <w:top w:w="0" w:type="dxa"/>
            <w:left w:w="0" w:type="dxa"/>
            <w:bottom w:w="0" w:type="dxa"/>
            <w:right w:w="0" w:type="dxa"/>
          </w:tblCellMar>
        </w:tblPrEx>
        <w:trPr>
          <w:trHeight w:val="8322" w:hRule="atLeast"/>
        </w:trPr>
        <w:tc>
          <w:tcPr>
            <w:tcW w:w="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5</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其他行政权力</w:t>
            </w:r>
          </w:p>
        </w:tc>
        <w:tc>
          <w:tcPr>
            <w:tcW w:w="9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营运客车、货车年度审验</w:t>
            </w:r>
          </w:p>
        </w:tc>
        <w:tc>
          <w:tcPr>
            <w:tcW w:w="7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石家庄市藁城区交通运输局</w:t>
            </w:r>
          </w:p>
        </w:tc>
        <w:tc>
          <w:tcPr>
            <w:tcW w:w="42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1.【部门规章】《道路旅客运输及客运站管理规定》《道路旅客运输及客运站管理规定》（中华人民共和国交通运输部令2023年第18号）第八十三条　交通运输主管部门应当每年对客运车辆进行一次审验。审验内容包括：（一）车辆违法违章记录；（二）车辆技术等级评定情况；（三）车辆类型等级评定情况；</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（四）按照规定安装、使用符合标准的具有行驶记录功能的卫星定位装置情况；（五）客运经营者为客运车辆投保承运人责任险情况。</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审验符合要求的，交通运输主管部门在《道路运输证》中注明；不符合要求的，应当责令限期改正或者办理变更手续。</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2.【部门规章】《道路货物运输及站场管理规定》（中华人民共和国交通运输部令2023年第12号）第五十条　交通运输主管部门应当定期对配发《道路运输证》的货运车辆进行审验，每年审验一次。审验内容包括车辆技术等级评定情况、车辆结构及尺寸变动情况和违章记录等。审验符合要求的，交通运输主管部门在《道路运输证》上做好审验记录；不符合要求的，应当责令限期改正或者办理变更手续。</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《道路运输管理工作规范第三章第二节第一条第二项》</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3.【部门规章】《道路危险货物运输管理规定》《道路危险货物运输管理规定》（中华人民共和国交通运输部令2023年第13号）第二十一条 设区的市级交通运输主管部门应当定期对专用车辆进行审验，每年审验一次。审验按照《道路运输车辆技术管理规定》进行，并增加以下审验项目：</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（一）专用车辆投保危险货物承运人责任险情况；（二）必需的应急处理器材、安全防护设施设备和专用车辆标志的配备情况；（三）具有行驶记录功能的卫星定位装置的配备情况。</w:t>
            </w:r>
          </w:p>
        </w:tc>
        <w:tc>
          <w:tcPr>
            <w:tcW w:w="21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1.受理阶段责任：公示依法应当提交的材料；一次性告知补正材料；依法受理或不予受理建设工程施工安全措施备案申请（不予受理应当告知理由）。</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2.审查阶段责任：在规定的时间内对申请材料进行审查，提出意见。</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3.决定阶段责任：作出同意备案决定或者不予备案决定、法定告知（不予备案的应当告知理由）。</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4.送达阶段责任：制作相关证明，送达并信息公开。</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5.事后监管阶段责任：定期或不定期对备案的活动情况进行检查，督促申请人遵守有关的法律法规。</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6.其他法律法规规章文件规定应履行的责任。</w:t>
            </w:r>
          </w:p>
        </w:tc>
        <w:tc>
          <w:tcPr>
            <w:tcW w:w="3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　　因不履行或不正确履行行政职责，有下列情形的，行政机关及相关工作人员应承担相应责任：</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　　1.超越或者滥用职权的；</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 xml:space="preserve">    2.违反法定程序的；</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 xml:space="preserve">    3.适用法律、法规、规章错误的；</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 xml:space="preserve">    4.认定事实不清，主要证据不足的；</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 xml:space="preserve">    5.具体行政行为明显不当的；</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 xml:space="preserve">    6.不履行法定职责的；</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 xml:space="preserve">    7.法律、法规、规章规定应当追究行政执法过错责任的其他情形。</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r>
              <w:rPr>
                <w:rFonts w:hint="eastAsia" w:ascii="宋体" w:hAnsi="宋体" w:eastAsia="宋体" w:cs="宋体"/>
                <w:i w:val="0"/>
                <w:color w:val="000000"/>
                <w:kern w:val="0"/>
                <w:sz w:val="15"/>
                <w:szCs w:val="15"/>
                <w:u w:val="none"/>
                <w:lang w:val="en-US" w:eastAsia="zh-CN" w:bidi="ar"/>
              </w:rPr>
              <w:t>　　除以上追责情形外，其他违反法律法规规章的行为依法追究相应责任。（机关党委）</w:t>
            </w:r>
          </w:p>
          <w:p>
            <w:pPr>
              <w:keepNext w:val="0"/>
              <w:keepLines w:val="0"/>
              <w:widowControl/>
              <w:suppressLineNumbers w:val="0"/>
              <w:jc w:val="left"/>
              <w:textAlignment w:val="center"/>
              <w:rPr>
                <w:rFonts w:hint="eastAsia" w:ascii="宋体" w:hAnsi="宋体" w:eastAsia="宋体" w:cs="宋体"/>
                <w:i w:val="0"/>
                <w:color w:val="000000"/>
                <w:kern w:val="0"/>
                <w:sz w:val="15"/>
                <w:szCs w:val="15"/>
                <w:u w:val="none"/>
                <w:lang w:val="en-US" w:eastAsia="zh-CN" w:bidi="ar"/>
              </w:rPr>
            </w:pPr>
          </w:p>
        </w:tc>
        <w:tc>
          <w:tcPr>
            <w:tcW w:w="10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15"/>
                <w:szCs w:val="15"/>
                <w:u w:val="none"/>
              </w:rPr>
            </w:pP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altName w:val="仿宋_GB2312"/>
    <w:panose1 w:val="02010601030101010101"/>
    <w:charset w:val="86"/>
    <w:family w:val="auto"/>
    <w:pitch w:val="default"/>
    <w:sig w:usb0="00000000" w:usb1="00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NkNzk5ZmY5MTg0MmM2ZTNiOGVmNzYwYTUyZjVkNGUifQ=="/>
  </w:docVars>
  <w:rsids>
    <w:rsidRoot w:val="35D768A8"/>
    <w:rsid w:val="018B528D"/>
    <w:rsid w:val="07BC760A"/>
    <w:rsid w:val="11371F40"/>
    <w:rsid w:val="14A31784"/>
    <w:rsid w:val="1548627E"/>
    <w:rsid w:val="161270E3"/>
    <w:rsid w:val="2D954688"/>
    <w:rsid w:val="35D768A8"/>
    <w:rsid w:val="3D7D7335"/>
    <w:rsid w:val="4DD54F37"/>
    <w:rsid w:val="572613ED"/>
    <w:rsid w:val="58B62589"/>
    <w:rsid w:val="5E9B3E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3763</Words>
  <Characters>3801</Characters>
  <Lines>0</Lines>
  <Paragraphs>0</Paragraphs>
  <TotalTime>1</TotalTime>
  <ScaleCrop>false</ScaleCrop>
  <LinksUpToDate>false</LinksUpToDate>
  <CharactersWithSpaces>4168</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2021-05-13T03:37:00Z</dcterms:created>
  <dc:creator>Administrator</dc:creator>
  <cp:lastModifiedBy>丁晟</cp:lastModifiedBy>
  <dcterms:modified xsi:type="dcterms:W3CDTF">2024-05-27T02:32:42Z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DFF88533E14C49099B02833D2AFC919E_13</vt:lpwstr>
  </property>
</Properties>
</file>