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藁城区计划生育协会</w:t>
      </w:r>
      <w:r>
        <w:rPr>
          <w:rFonts w:hint="eastAsia" w:ascii="方正小标宋简体" w:hAnsi="方正小标宋简体" w:eastAsia="方正小标宋简体" w:cs="方正小标宋简体"/>
          <w:b w:val="0"/>
          <w:bCs w:val="0"/>
          <w:sz w:val="44"/>
          <w:szCs w:val="44"/>
        </w:rPr>
        <w:t>部门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藁城区计划生育协会</w:t>
      </w:r>
      <w:r>
        <w:rPr>
          <w:rFonts w:hint="eastAsia" w:ascii="仿宋_GB2312" w:hAnsi="仿宋_GB2312" w:eastAsia="仿宋_GB2312" w:cs="仿宋_GB2312"/>
          <w:sz w:val="32"/>
          <w:szCs w:val="32"/>
          <w:highlight w:val="none"/>
          <w:lang w:eastAsia="zh-CN"/>
        </w:rPr>
        <w:t>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宋体" w:hAnsi="宋体"/>
          <w:sz w:val="32"/>
          <w:lang w:val="en-US" w:eastAsia="zh-CN"/>
        </w:rPr>
        <w:t xml:space="preserve"> </w:t>
      </w:r>
      <w:r>
        <w:rPr>
          <w:rFonts w:hint="eastAsia" w:ascii="仿宋" w:hAnsi="仿宋" w:eastAsia="仿宋" w:cs="仿宋"/>
          <w:sz w:val="32"/>
          <w:szCs w:val="32"/>
          <w:lang w:val="en-US" w:eastAsia="zh-CN"/>
        </w:rPr>
        <w:t>藁城区计划生育协会为财政拨款参公群团单位，预算编码为725001，独立核算机构。 财政拨款行政编制9个，在职人员9人，全部财政开支。部门基本</w:t>
      </w:r>
      <w:r>
        <w:rPr>
          <w:rFonts w:hint="eastAsia" w:ascii="仿宋_GB2312" w:hAnsi="仿宋" w:eastAsia="仿宋_GB2312"/>
          <w:sz w:val="32"/>
          <w:szCs w:val="32"/>
          <w:lang w:val="en-US" w:eastAsia="zh-CN"/>
        </w:rPr>
        <w:t>职责是</w:t>
      </w:r>
      <w:r>
        <w:rPr>
          <w:rFonts w:hint="eastAsia" w:ascii="仿宋" w:hAnsi="仿宋" w:eastAsia="仿宋" w:cs="仿宋"/>
          <w:sz w:val="32"/>
          <w:szCs w:val="32"/>
          <w:lang w:val="en-US" w:eastAsia="zh-CN"/>
        </w:rPr>
        <w:t>落实计划生育方针政策。指导各级协会向群众宣传计划生育方针政策和生育健康知识，协调社会力量，向群众提供生产、生活、生育服务开展计划生育系列保险等社会保障事业，组织实施幸福工程项目，对计划生育特殊家庭帮扶，实施亲情关爱。帮助群众解决实行计划生育的实际困难和后顾之忧。履行民主参与和民主监督职能，反映群众的意愿和要求，依法维护群众在计划生育和生殖健康方面的合法权益。承担区委、区政府和石家庄市计划生育协会交办的有关事项。</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pPr>
        <w:keepNext w:val="0"/>
        <w:keepLines w:val="0"/>
        <w:pageBreakBefore w:val="0"/>
        <w:widowControl w:val="0"/>
        <w:numPr>
          <w:numId w:val="0"/>
        </w:numPr>
        <w:kinsoku/>
        <w:wordWrap/>
        <w:overflowPunct/>
        <w:topLinePunct w:val="0"/>
        <w:autoSpaceDE/>
        <w:autoSpaceDN/>
        <w:bidi w:val="0"/>
        <w:adjustRightInd w:val="0"/>
        <w:snapToGrid w:val="0"/>
        <w:spacing w:line="560" w:lineRule="exact"/>
        <w:jc w:val="both"/>
        <w:textAlignment w:val="auto"/>
        <w:rPr>
          <w:rFonts w:hint="eastAsia" w:ascii="楷体_GB2312" w:hAnsi="楷体_GB2312" w:eastAsia="楷体_GB2312" w:cs="楷体_GB2312"/>
          <w:bCs/>
          <w:sz w:val="32"/>
          <w:szCs w:val="32"/>
        </w:rPr>
      </w:pPr>
      <w:r>
        <w:rPr>
          <w:rFonts w:hint="eastAsia" w:ascii="仿宋_GB2312" w:hAnsi="仿宋" w:eastAsia="仿宋_GB2312" w:cs="Times New Roman"/>
          <w:kern w:val="2"/>
          <w:sz w:val="32"/>
          <w:szCs w:val="32"/>
          <w:lang w:val="en-US" w:eastAsia="zh-CN" w:bidi="ar-SA"/>
        </w:rPr>
        <w:t xml:space="preserve"> </w:t>
      </w:r>
      <w:r>
        <w:rPr>
          <w:rFonts w:hint="default" w:ascii="仿宋_GB2312" w:hAnsi="仿宋" w:eastAsia="仿宋_GB2312" w:cs="Times New Roman"/>
          <w:kern w:val="2"/>
          <w:sz w:val="32"/>
          <w:szCs w:val="32"/>
          <w:lang w:val="en-US" w:eastAsia="zh-CN" w:bidi="ar-SA"/>
        </w:rPr>
        <w:t>202</w:t>
      </w:r>
      <w:r>
        <w:rPr>
          <w:rFonts w:hint="eastAsia" w:ascii="仿宋_GB2312" w:hAnsi="仿宋" w:eastAsia="仿宋_GB2312" w:cs="Times New Roman"/>
          <w:kern w:val="2"/>
          <w:sz w:val="32"/>
          <w:szCs w:val="32"/>
          <w:lang w:val="en-US" w:eastAsia="zh-CN" w:bidi="ar-SA"/>
        </w:rPr>
        <w:t>3年本部门收入年初预算安排为243.54万元，支出为231.076006万，比去年年初预算减少了12.463994万元，主要原因是2月份退休1人，工资基本支出减少。</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cs="仿宋"/>
          <w:sz w:val="32"/>
          <w:szCs w:val="32"/>
          <w:lang w:val="en-US" w:eastAsia="zh-CN"/>
        </w:rPr>
        <w:t>对广大群众宣传计划生育现行政策，宣传教育。增大人们对国家新的计划生育政策的知晓率。对辖区内符合条件的计划生育家庭全部覆盖，为计生农村独生子女家庭赠送一份计划生育家庭意外伤害保险，给予计生失独家庭护工保险补贴。实施“天使圆梦”助学活动。实施计划生育特困家庭帮扶制度，对计划生育家庭进行节日活动慰问和亲情关爱，保障和改善民生，促进社会和谐稳定。对育龄群众进行优生优育指导，依法维护群众在计划生育和生殖健康方面的合法权益。全面落实“六项重点任务”。</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自评的组织工作</w:t>
      </w:r>
    </w:p>
    <w:p>
      <w:pPr>
        <w:widowControl w:val="0"/>
        <w:numPr>
          <w:ilvl w:val="0"/>
          <w:numId w:val="0"/>
        </w:numPr>
        <w:wordWrap/>
        <w:adjustRightInd/>
        <w:snapToGrid w:val="0"/>
        <w:spacing w:line="560" w:lineRule="exact"/>
        <w:ind w:leftChars="0" w:right="0" w:rightChars="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在区财政局的指导下，2023年我单位所有专项均按照相关管理制度执行，建立了工作有方案，实施有方案，日常有监管的管理机制。六个专项全部按预算实施完成。</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二</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自评的方法和过程</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仿宋" w:hAnsi="仿宋" w:eastAsia="仿宋" w:cs="仿宋"/>
          <w:kern w:val="2"/>
          <w:sz w:val="32"/>
          <w:szCs w:val="32"/>
          <w:lang w:val="en-US" w:eastAsia="zh-CN" w:bidi="ar-SA"/>
        </w:rPr>
        <w:t>为做好专项施行的跟踪检查工作。我单位定期不定期的对专项资金施行情况和经费使用情况进展跟踪检查，对能实现预期绩效目标的项目予以充分肯定；对进展缓慢，预期绩效目标较差的项目及时调整并提出整改措施，确保每个项目达到预期绩效目标。</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对广大群众宣传计划生育现行政策，宣传教育。增大人们对国家新的计划生育政策的知晓率。 完成全区共3900户计生家庭投保意外伤害险.87户131人特殊家庭计生失独家庭护工保险补贴。“5.29”“7.11”“12.1”等活动日扩大计生宣传，积极为计生困难家庭考入“985”“211”高校的女孩争取支持，2023年为全区16名考入高校的女孩提供每人4000元的助学金及物品。利用重大传统节日开展“暖心活动”对全区87户计生特殊家庭给予慰问和亲情关爱.</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农村独生子女家庭意外伤害保险项目。2023年计生协共为全区3900户0-19周岁的农村计划生育独生子女家庭、失独、孤儿、低保等家庭投保意外伤害保险。以较低的保费，较全较高的保额，最大限度地维护计划生育家庭的利益，增强了计生家庭抵御意外伤害的能力。</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w:t>
      </w:r>
      <w:r>
        <w:rPr>
          <w:rFonts w:hint="default" w:ascii="仿宋" w:hAnsi="仿宋" w:eastAsia="仿宋" w:cs="仿宋"/>
          <w:sz w:val="32"/>
          <w:szCs w:val="32"/>
          <w:lang w:val="en-US" w:eastAsia="zh-CN"/>
        </w:rPr>
        <w:t>劳务派遣工作人员费用</w:t>
      </w:r>
      <w:r>
        <w:rPr>
          <w:rFonts w:hint="eastAsia" w:ascii="仿宋" w:hAnsi="仿宋" w:eastAsia="仿宋" w:cs="仿宋"/>
          <w:sz w:val="32"/>
          <w:szCs w:val="32"/>
          <w:lang w:val="en-US" w:eastAsia="zh-CN"/>
        </w:rPr>
        <w:t>项目。为了加强计生协队伍建设，提高工作效率，为进一步增强计生协能力建设，通过购买社会服务的形式，通过劳务公司招录相关人员1名。</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w:t>
      </w:r>
      <w:r>
        <w:rPr>
          <w:rFonts w:hint="default" w:ascii="仿宋" w:hAnsi="仿宋" w:eastAsia="仿宋" w:cs="仿宋"/>
          <w:sz w:val="32"/>
          <w:szCs w:val="32"/>
          <w:lang w:val="en-US" w:eastAsia="zh-CN"/>
        </w:rPr>
        <w:t>计生特殊家庭慰问资金</w:t>
      </w:r>
      <w:r>
        <w:rPr>
          <w:rFonts w:hint="eastAsia" w:ascii="仿宋" w:hAnsi="仿宋" w:eastAsia="仿宋" w:cs="仿宋"/>
          <w:sz w:val="32"/>
          <w:szCs w:val="32"/>
          <w:lang w:val="en-US" w:eastAsia="zh-CN"/>
        </w:rPr>
        <w:t>项目。 实施计划生育特困家庭帮</w:t>
      </w:r>
    </w:p>
    <w:p>
      <w:pPr>
        <w:widowControl w:val="0"/>
        <w:wordWrap/>
        <w:adjustRightInd/>
        <w:snapToGrid w:val="0"/>
        <w:spacing w:line="560" w:lineRule="exact"/>
        <w:ind w:right="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扶制度，对计划生育家庭进行节日慰问和亲情关爱,开展精神慰藉紧急救助等走访活动。保障和改善民生，促进社会和谐稳定。利用重大传统节日开展“暖心活动”2023年对全区87户计生特殊家庭给予慰问和亲情关爱 。</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w:t>
      </w:r>
      <w:r>
        <w:rPr>
          <w:rFonts w:hint="default" w:ascii="仿宋" w:hAnsi="仿宋" w:eastAsia="仿宋" w:cs="仿宋"/>
          <w:sz w:val="32"/>
          <w:szCs w:val="32"/>
          <w:lang w:val="en-US" w:eastAsia="zh-CN"/>
        </w:rPr>
        <w:t>计生协宣传服务专项经费</w:t>
      </w:r>
      <w:r>
        <w:rPr>
          <w:rFonts w:hint="eastAsia" w:ascii="仿宋" w:hAnsi="仿宋" w:eastAsia="仿宋" w:cs="仿宋"/>
          <w:sz w:val="32"/>
          <w:szCs w:val="32"/>
          <w:lang w:val="en-US" w:eastAsia="zh-CN"/>
        </w:rPr>
        <w:t>项目。</w:t>
      </w:r>
      <w:r>
        <w:rPr>
          <w:rFonts w:hint="default" w:ascii="仿宋" w:hAnsi="仿宋" w:eastAsia="仿宋" w:cs="仿宋"/>
          <w:sz w:val="32"/>
          <w:szCs w:val="32"/>
          <w:lang w:val="en-US" w:eastAsia="zh-CN"/>
        </w:rPr>
        <w:t>为进一步发挥计生协生</w:t>
      </w:r>
    </w:p>
    <w:p>
      <w:pPr>
        <w:widowControl w:val="0"/>
        <w:wordWrap/>
        <w:adjustRightInd/>
        <w:snapToGrid w:val="0"/>
        <w:spacing w:line="560" w:lineRule="exact"/>
        <w:ind w:right="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力军的作用，重点开展一系列宣传活动，在“5.29”“7.11”“12.1”等活动日扩大计生宣传</w:t>
      </w:r>
      <w:r>
        <w:rPr>
          <w:rFonts w:hint="eastAsia" w:ascii="仿宋" w:hAnsi="仿宋" w:eastAsia="仿宋" w:cs="仿宋"/>
          <w:sz w:val="32"/>
          <w:szCs w:val="32"/>
          <w:lang w:val="en-US" w:eastAsia="zh-CN"/>
        </w:rPr>
        <w:t>。</w:t>
      </w:r>
    </w:p>
    <w:p>
      <w:pPr>
        <w:widowControl w:val="0"/>
        <w:wordWrap/>
        <w:adjustRightInd/>
        <w:snapToGrid w:val="0"/>
        <w:spacing w:line="560" w:lineRule="exact"/>
        <w:ind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5）</w:t>
      </w:r>
      <w:r>
        <w:rPr>
          <w:rFonts w:hint="default" w:ascii="仿宋" w:hAnsi="仿宋" w:eastAsia="仿宋" w:cs="仿宋"/>
          <w:sz w:val="32"/>
          <w:szCs w:val="32"/>
          <w:lang w:val="en-US" w:eastAsia="zh-CN"/>
        </w:rPr>
        <w:t>实施“天使圆梦”助学活动。积极为1</w:t>
      </w:r>
      <w:r>
        <w:rPr>
          <w:rFonts w:hint="eastAsia" w:ascii="仿宋" w:hAnsi="仿宋" w:eastAsia="仿宋" w:cs="仿宋"/>
          <w:sz w:val="32"/>
          <w:szCs w:val="32"/>
          <w:lang w:val="en-US" w:eastAsia="zh-CN"/>
        </w:rPr>
        <w:t>6</w:t>
      </w:r>
      <w:r>
        <w:rPr>
          <w:rFonts w:hint="default" w:ascii="仿宋" w:hAnsi="仿宋" w:eastAsia="仿宋" w:cs="仿宋"/>
          <w:sz w:val="32"/>
          <w:szCs w:val="32"/>
          <w:lang w:val="en-US" w:eastAsia="zh-CN"/>
        </w:rPr>
        <w:t>名计生困难家庭考入“985”“211”高校的女孩争取支持，逐步完善藁城区“天使圆梦”活动。</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w:t>
      </w:r>
      <w:r>
        <w:rPr>
          <w:rFonts w:hint="default" w:ascii="仿宋" w:hAnsi="仿宋" w:eastAsia="仿宋" w:cs="仿宋"/>
          <w:sz w:val="32"/>
          <w:szCs w:val="32"/>
          <w:lang w:val="en-US" w:eastAsia="zh-CN"/>
        </w:rPr>
        <w:t>亲情关爱救助基金</w:t>
      </w:r>
      <w:r>
        <w:rPr>
          <w:rFonts w:hint="eastAsia" w:ascii="仿宋" w:hAnsi="仿宋" w:eastAsia="仿宋" w:cs="仿宋"/>
          <w:sz w:val="32"/>
          <w:szCs w:val="32"/>
          <w:lang w:val="en-US" w:eastAsia="zh-CN"/>
        </w:rPr>
        <w:t>项目。实施计划生育特困家庭帮扶制</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度，对计划生育家庭进行节日活动慰问和亲情关爱，2023年对全区87户计生特殊家庭给予慰问和亲情关爱，并对87户131人特殊家庭投护工保险，保障在住院期间有人陪护，使计划生育家庭在养老、医疗方面的特殊困难得到缓解。</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2023年计划生育协会各项项目预算共为39.559498万元，支出39.559498万元，总体支出进度为100%。</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农村独生子女家庭意外伤害保险项目预算9.96万元，支出为9.959万元，支出进度为99.99%。自评分为96分。</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关于招聘劳务派遣工作人员费用</w:t>
      </w:r>
      <w:r>
        <w:rPr>
          <w:rFonts w:hint="eastAsia" w:ascii="仿宋" w:hAnsi="仿宋" w:eastAsia="仿宋" w:cs="仿宋"/>
          <w:sz w:val="32"/>
          <w:szCs w:val="32"/>
          <w:lang w:val="en-US" w:eastAsia="zh-CN"/>
        </w:rPr>
        <w:t>项目预算4.983648万元，支出为4.983648万元，支出进度为99.67%。自评分为96分。</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计生特殊家庭慰问资金</w:t>
      </w:r>
      <w:r>
        <w:rPr>
          <w:rFonts w:hint="eastAsia" w:ascii="仿宋" w:hAnsi="仿宋" w:eastAsia="仿宋" w:cs="仿宋"/>
          <w:sz w:val="32"/>
          <w:szCs w:val="32"/>
          <w:lang w:val="en-US" w:eastAsia="zh-CN"/>
        </w:rPr>
        <w:t>项目预算8.58万元，支出为8.58万元，支出进度为100%。自评分为96分。</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天使圆梦助学金项目预算6.8万元，支出为6.8万元，支出进度为100%。自评分为96分。</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亲情关爱救助基金</w:t>
      </w:r>
      <w:r>
        <w:rPr>
          <w:rFonts w:hint="eastAsia" w:ascii="仿宋" w:hAnsi="仿宋" w:eastAsia="仿宋" w:cs="仿宋"/>
          <w:sz w:val="32"/>
          <w:szCs w:val="32"/>
          <w:lang w:val="en-US" w:eastAsia="zh-CN"/>
        </w:rPr>
        <w:t>项目预算7.24万元，支出为7.23685万元，支出进度为99.96%。自评分为96分。</w:t>
      </w:r>
    </w:p>
    <w:p>
      <w:pPr>
        <w:widowControl w:val="0"/>
        <w:wordWrap/>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color w:val="FF0000"/>
          <w:sz w:val="32"/>
          <w:szCs w:val="32"/>
          <w:highlight w:val="none"/>
          <w:lang w:eastAsia="zh-CN"/>
        </w:rPr>
      </w:pPr>
      <w:r>
        <w:rPr>
          <w:rFonts w:hint="default" w:ascii="仿宋" w:hAnsi="仿宋" w:eastAsia="仿宋" w:cs="仿宋"/>
          <w:sz w:val="32"/>
          <w:szCs w:val="32"/>
          <w:lang w:val="en-US" w:eastAsia="zh-CN"/>
        </w:rPr>
        <w:t>计生协宣传服务</w:t>
      </w:r>
      <w:r>
        <w:rPr>
          <w:rFonts w:hint="eastAsia" w:ascii="仿宋" w:hAnsi="仿宋" w:eastAsia="仿宋" w:cs="仿宋"/>
          <w:sz w:val="32"/>
          <w:szCs w:val="32"/>
          <w:lang w:val="en-US" w:eastAsia="zh-CN"/>
        </w:rPr>
        <w:t>活动</w:t>
      </w:r>
      <w:r>
        <w:rPr>
          <w:rFonts w:hint="default" w:ascii="仿宋" w:hAnsi="仿宋" w:eastAsia="仿宋" w:cs="仿宋"/>
          <w:sz w:val="32"/>
          <w:szCs w:val="32"/>
          <w:lang w:val="en-US" w:eastAsia="zh-CN"/>
        </w:rPr>
        <w:t>经费</w:t>
      </w:r>
      <w:r>
        <w:rPr>
          <w:rFonts w:hint="eastAsia" w:ascii="仿宋" w:hAnsi="仿宋" w:eastAsia="仿宋" w:cs="仿宋"/>
          <w:sz w:val="32"/>
          <w:szCs w:val="32"/>
          <w:lang w:val="en-US" w:eastAsia="zh-CN"/>
        </w:rPr>
        <w:t>项目预算2万元，支出为2万元，支出进度为100%。自评分为96分。</w:t>
      </w:r>
    </w:p>
    <w:p>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5"/>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对于绩效评价的认识不够深入，把预算绩效简单等同于工作目标、工作考核和业务管理。绩效目标和指标往往根据项目实际完成情况制定，对项目执行过程有效约束不够，存在一定的偏差。</w:t>
      </w:r>
    </w:p>
    <w:p>
      <w:pPr>
        <w:widowControl w:val="0"/>
        <w:wordWrap/>
        <w:adjustRightInd/>
        <w:snapToGrid w:val="0"/>
        <w:spacing w:line="560" w:lineRule="exact"/>
        <w:ind w:left="0" w:leftChars="0" w:right="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问题成因分析：在绩效考评指标的设计上，部分特色指标缺乏数据支持和可行的分析测评，绩效指标体系有待完善。</w:t>
      </w:r>
    </w:p>
    <w:p>
      <w:pPr>
        <w:keepNext w:val="0"/>
        <w:keepLines w:val="0"/>
        <w:pageBreakBefore w:val="0"/>
        <w:widowControl w:val="0"/>
        <w:numPr>
          <w:numId w:val="0"/>
        </w:numPr>
        <w:kinsoku/>
        <w:wordWrap/>
        <w:overflowPunct/>
        <w:topLinePunct w:val="0"/>
        <w:autoSpaceDE/>
        <w:autoSpaceDN/>
        <w:bidi w:val="0"/>
        <w:spacing w:line="560" w:lineRule="exact"/>
        <w:textAlignment w:val="auto"/>
        <w:rPr>
          <w:rFonts w:hint="eastAsia" w:ascii="楷体_GB2312" w:hAnsi="楷体_GB2312" w:eastAsia="楷体_GB2312" w:cs="楷体_GB2312"/>
          <w:bCs/>
          <w:sz w:val="32"/>
          <w:szCs w:val="32"/>
        </w:rPr>
      </w:pPr>
    </w:p>
    <w:p>
      <w:pPr>
        <w:widowControl w:val="0"/>
        <w:numPr>
          <w:ilvl w:val="0"/>
          <w:numId w:val="5"/>
        </w:numPr>
        <w:wordWrap/>
        <w:adjustRightInd/>
        <w:snapToGrid w:val="0"/>
        <w:spacing w:line="560" w:lineRule="exact"/>
        <w:ind w:left="0" w:leftChars="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widowControl w:val="0"/>
        <w:numPr>
          <w:numId w:val="0"/>
        </w:numPr>
        <w:wordWrap/>
        <w:adjustRightInd/>
        <w:snapToGrid w:val="0"/>
        <w:spacing w:line="560" w:lineRule="exact"/>
        <w:ind w:leftChars="20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1）加强项目绩效认识。提高机关及分管人员对绩效管理及预算资金使用效益的认识，把预算资金是否发挥使用效益与各岗位是否履职尽责相结合。</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2）加强预算绩效管理。进一步加强机关预算资金管理，减少预算资金使用的随意性，对预算的事前、事中、事后进行全过程控制，加大对预算编制与执行的监督管理力度，提高预算资金使用效率。</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3）加强项目实施监控。加强对项目实施进度的实时监控， 对项目实施过程中进度异常、实施范围调整等情况及时按照流程报批。</w:t>
      </w:r>
    </w:p>
    <w:p>
      <w:pPr>
        <w:keepNext w:val="0"/>
        <w:keepLines w:val="0"/>
        <w:pageBreakBefore w:val="0"/>
        <w:widowControl w:val="0"/>
        <w:numPr>
          <w:numId w:val="0"/>
        </w:numPr>
        <w:kinsoku/>
        <w:wordWrap/>
        <w:overflowPunct/>
        <w:topLinePunct w:val="0"/>
        <w:autoSpaceDE/>
        <w:autoSpaceDN/>
        <w:bidi w:val="0"/>
        <w:adjustRightInd/>
        <w:snapToGrid w:val="0"/>
        <w:spacing w:line="560" w:lineRule="exact"/>
        <w:ind w:right="0" w:rightChars="0" w:firstLine="960" w:firstLineChars="300"/>
        <w:textAlignment w:val="auto"/>
        <w:outlineLvl w:val="9"/>
        <w:rPr>
          <w:rFonts w:hint="eastAsia" w:ascii="黑体" w:hAnsi="黑体" w:eastAsia="黑体"/>
          <w:sz w:val="32"/>
          <w:szCs w:val="32"/>
        </w:rPr>
      </w:pPr>
      <w:r>
        <w:rPr>
          <w:rFonts w:hint="eastAsia" w:ascii="黑体" w:hAnsi="黑体" w:eastAsia="黑体"/>
          <w:sz w:val="32"/>
          <w:szCs w:val="32"/>
          <w:lang w:val="en-US" w:eastAsia="zh-CN"/>
        </w:rPr>
        <w:t>六、</w:t>
      </w:r>
      <w:bookmarkStart w:id="0" w:name="_GoBack"/>
      <w:bookmarkEnd w:id="0"/>
      <w:r>
        <w:rPr>
          <w:rFonts w:hint="eastAsia" w:ascii="黑体" w:hAnsi="黑体" w:eastAsia="黑体"/>
          <w:sz w:val="32"/>
          <w:szCs w:val="32"/>
        </w:rPr>
        <w:t>评价工作组人员名单及签字（姓名、工作单位、职务、职称）</w:t>
      </w:r>
    </w:p>
    <w:p>
      <w:pPr>
        <w:keepNext w:val="0"/>
        <w:keepLines w:val="0"/>
        <w:pageBreakBefore w:val="0"/>
        <w:widowControl w:val="0"/>
        <w:numPr>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pPr>
        <w:keepNext w:val="0"/>
        <w:keepLines w:val="0"/>
        <w:pageBreakBefore w:val="0"/>
        <w:widowControl w:val="0"/>
        <w:numPr>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pPr>
        <w:keepNext w:val="0"/>
        <w:keepLines w:val="0"/>
        <w:pageBreakBefore w:val="0"/>
        <w:widowControl w:val="0"/>
        <w:numPr>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p>
      <w:pPr>
        <w:keepNext w:val="0"/>
        <w:keepLines w:val="0"/>
        <w:pageBreakBefore w:val="0"/>
        <w:widowControl w:val="0"/>
        <w:numPr>
          <w:numId w:val="0"/>
        </w:numPr>
        <w:kinsoku/>
        <w:wordWrap/>
        <w:overflowPunct/>
        <w:topLinePunct w:val="0"/>
        <w:autoSpaceDE/>
        <w:autoSpaceDN/>
        <w:bidi w:val="0"/>
        <w:adjustRightInd/>
        <w:snapToGrid w:val="0"/>
        <w:spacing w:line="560" w:lineRule="exact"/>
        <w:ind w:right="0" w:rightChars="0"/>
        <w:jc w:val="both"/>
        <w:textAlignment w:val="auto"/>
        <w:outlineLvl w:val="9"/>
        <w:rPr>
          <w:rFonts w:hint="eastAsia" w:ascii="黑体" w:hAnsi="黑体" w:eastAsia="黑体"/>
          <w:sz w:val="32"/>
          <w:szCs w:val="32"/>
        </w:rPr>
      </w:pPr>
    </w:p>
    <w:tbl>
      <w:tblPr>
        <w:tblStyle w:val="4"/>
        <w:tblW w:w="9056" w:type="dxa"/>
        <w:tblInd w:w="135" w:type="dxa"/>
        <w:tblLayout w:type="fixed"/>
        <w:tblCellMar>
          <w:top w:w="0" w:type="dxa"/>
          <w:left w:w="108" w:type="dxa"/>
          <w:bottom w:w="0" w:type="dxa"/>
          <w:right w:w="108" w:type="dxa"/>
        </w:tblCellMar>
      </w:tblPr>
      <w:tblGrid>
        <w:gridCol w:w="1024"/>
        <w:gridCol w:w="1674"/>
        <w:gridCol w:w="2468"/>
        <w:gridCol w:w="2078"/>
        <w:gridCol w:w="1812"/>
      </w:tblGrid>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序号</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姓名</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工作单位</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职务</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b/>
                <w:bCs/>
                <w:kern w:val="0"/>
                <w:sz w:val="30"/>
                <w:szCs w:val="30"/>
              </w:rPr>
            </w:pPr>
            <w:r>
              <w:rPr>
                <w:rFonts w:hint="eastAsia" w:ascii="新宋体" w:hAnsi="新宋体" w:eastAsia="新宋体" w:cs="宋体"/>
                <w:b/>
                <w:bCs/>
                <w:kern w:val="0"/>
                <w:sz w:val="30"/>
                <w:szCs w:val="30"/>
              </w:rPr>
              <w:t>签字</w:t>
            </w:r>
          </w:p>
        </w:tc>
      </w:tr>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r>
              <w:rPr>
                <w:rFonts w:ascii="新宋体" w:hAnsi="新宋体" w:eastAsia="新宋体" w:cs="宋体"/>
                <w:kern w:val="0"/>
                <w:sz w:val="30"/>
                <w:szCs w:val="30"/>
              </w:rPr>
              <w:t>1</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eastAsia="zh-CN"/>
              </w:rPr>
            </w:pPr>
            <w:r>
              <w:rPr>
                <w:rFonts w:hint="eastAsia" w:ascii="新宋体" w:hAnsi="新宋体" w:eastAsia="新宋体" w:cs="宋体"/>
                <w:kern w:val="0"/>
                <w:sz w:val="30"/>
                <w:szCs w:val="30"/>
                <w:lang w:val="en-US" w:eastAsia="zh-CN"/>
              </w:rPr>
              <w:t>孟庆瑶</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left"/>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党组书记</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p>
        </w:tc>
      </w:tr>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r>
              <w:rPr>
                <w:rFonts w:ascii="新宋体" w:hAnsi="新宋体" w:eastAsia="新宋体" w:cs="宋体"/>
                <w:kern w:val="0"/>
                <w:sz w:val="30"/>
                <w:szCs w:val="30"/>
              </w:rPr>
              <w:t>2</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eastAsia="zh-CN"/>
              </w:rPr>
            </w:pPr>
            <w:r>
              <w:rPr>
                <w:rFonts w:hint="eastAsia" w:ascii="新宋体" w:hAnsi="新宋体" w:eastAsia="新宋体" w:cs="宋体"/>
                <w:kern w:val="0"/>
                <w:sz w:val="30"/>
                <w:szCs w:val="30"/>
                <w:lang w:val="en-US" w:eastAsia="zh-CN"/>
              </w:rPr>
              <w:t>高思思</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left"/>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常务副会长</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p>
        </w:tc>
      </w:tr>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r>
              <w:rPr>
                <w:rFonts w:hint="eastAsia" w:ascii="新宋体" w:hAnsi="新宋体" w:eastAsia="新宋体" w:cs="宋体"/>
                <w:kern w:val="0"/>
                <w:sz w:val="30"/>
                <w:szCs w:val="30"/>
              </w:rPr>
              <w:t>3</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郭新峰</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left"/>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副会长</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p>
        </w:tc>
      </w:tr>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r>
              <w:rPr>
                <w:rFonts w:hint="eastAsia" w:ascii="新宋体" w:hAnsi="新宋体" w:eastAsia="新宋体" w:cs="宋体"/>
                <w:kern w:val="0"/>
                <w:sz w:val="30"/>
                <w:szCs w:val="30"/>
              </w:rPr>
              <w:t>4</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李翠娟</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default"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left"/>
              <w:rPr>
                <w:rFonts w:ascii="新宋体" w:hAnsi="新宋体" w:eastAsia="新宋体" w:cs="宋体"/>
                <w:kern w:val="0"/>
                <w:sz w:val="30"/>
                <w:szCs w:val="30"/>
              </w:rPr>
            </w:pPr>
            <w:r>
              <w:rPr>
                <w:rFonts w:hint="eastAsia" w:ascii="新宋体" w:hAnsi="新宋体" w:eastAsia="新宋体" w:cs="宋体"/>
                <w:kern w:val="0"/>
                <w:sz w:val="30"/>
                <w:szCs w:val="30"/>
                <w:lang w:val="en-US" w:eastAsia="zh-CN"/>
              </w:rPr>
              <w:t>副会长</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p>
        </w:tc>
      </w:tr>
      <w:tr>
        <w:tblPrEx>
          <w:tblCellMar>
            <w:top w:w="0" w:type="dxa"/>
            <w:left w:w="108" w:type="dxa"/>
            <w:bottom w:w="0" w:type="dxa"/>
            <w:right w:w="108" w:type="dxa"/>
          </w:tblCellMar>
        </w:tblPrEx>
        <w:trPr>
          <w:trHeight w:val="748" w:hRule="atLeast"/>
        </w:trPr>
        <w:tc>
          <w:tcPr>
            <w:tcW w:w="1024" w:type="dxa"/>
            <w:tcBorders>
              <w:top w:val="single" w:color="000000" w:sz="4" w:space="0"/>
              <w:left w:val="single" w:color="000000" w:sz="4" w:space="0"/>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rPr>
            </w:pPr>
            <w:r>
              <w:rPr>
                <w:rFonts w:hint="eastAsia" w:ascii="新宋体" w:hAnsi="新宋体" w:eastAsia="新宋体" w:cs="宋体"/>
                <w:kern w:val="0"/>
                <w:sz w:val="30"/>
                <w:szCs w:val="30"/>
                <w:lang w:val="en-US" w:eastAsia="zh-CN"/>
              </w:rPr>
              <w:t>5</w:t>
            </w:r>
          </w:p>
        </w:tc>
        <w:tc>
          <w:tcPr>
            <w:tcW w:w="1674"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bidi="ar-SA"/>
              </w:rPr>
            </w:pPr>
            <w:r>
              <w:rPr>
                <w:rFonts w:hint="eastAsia" w:ascii="新宋体" w:hAnsi="新宋体" w:eastAsia="新宋体" w:cs="宋体"/>
                <w:kern w:val="0"/>
                <w:sz w:val="30"/>
                <w:szCs w:val="30"/>
                <w:lang w:val="en-US" w:eastAsia="zh-CN"/>
              </w:rPr>
              <w:t>高兵霞</w:t>
            </w:r>
          </w:p>
        </w:tc>
        <w:tc>
          <w:tcPr>
            <w:tcW w:w="246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hint="eastAsia" w:ascii="新宋体" w:hAnsi="新宋体" w:eastAsia="新宋体" w:cs="宋体"/>
                <w:kern w:val="0"/>
                <w:sz w:val="30"/>
                <w:szCs w:val="30"/>
                <w:lang w:val="en-US" w:eastAsia="zh-CN" w:bidi="ar-SA"/>
              </w:rPr>
            </w:pPr>
            <w:r>
              <w:rPr>
                <w:rFonts w:hint="eastAsia" w:ascii="新宋体" w:hAnsi="新宋体" w:eastAsia="新宋体" w:cs="宋体"/>
                <w:kern w:val="0"/>
                <w:sz w:val="30"/>
                <w:szCs w:val="30"/>
                <w:lang w:val="en-US" w:eastAsia="zh-CN"/>
              </w:rPr>
              <w:t>区计划生育协会</w:t>
            </w:r>
          </w:p>
        </w:tc>
        <w:tc>
          <w:tcPr>
            <w:tcW w:w="2078"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left"/>
              <w:rPr>
                <w:rFonts w:hint="eastAsia" w:ascii="新宋体" w:hAnsi="新宋体" w:eastAsia="新宋体" w:cs="宋体"/>
                <w:kern w:val="0"/>
                <w:sz w:val="30"/>
                <w:szCs w:val="30"/>
                <w:lang w:val="en-US" w:eastAsia="zh-CN" w:bidi="ar-SA"/>
              </w:rPr>
            </w:pPr>
            <w:r>
              <w:rPr>
                <w:rFonts w:hint="eastAsia" w:ascii="新宋体" w:hAnsi="新宋体" w:eastAsia="新宋体" w:cs="宋体"/>
                <w:kern w:val="0"/>
                <w:sz w:val="30"/>
                <w:szCs w:val="30"/>
              </w:rPr>
              <w:t>财务人员</w:t>
            </w:r>
          </w:p>
        </w:tc>
        <w:tc>
          <w:tcPr>
            <w:tcW w:w="1812" w:type="dxa"/>
            <w:tcBorders>
              <w:top w:val="single" w:color="000000" w:sz="4" w:space="0"/>
              <w:left w:val="nil"/>
              <w:bottom w:val="single" w:color="000000" w:sz="4" w:space="0"/>
              <w:right w:val="single" w:color="000000" w:sz="4" w:space="0"/>
            </w:tcBorders>
            <w:vAlign w:val="center"/>
          </w:tcPr>
          <w:p>
            <w:pPr>
              <w:widowControl/>
              <w:snapToGrid w:val="0"/>
              <w:spacing w:line="360" w:lineRule="auto"/>
              <w:jc w:val="center"/>
              <w:rPr>
                <w:rFonts w:ascii="新宋体" w:hAnsi="新宋体" w:eastAsia="新宋体" w:cs="宋体"/>
                <w:kern w:val="0"/>
                <w:sz w:val="30"/>
                <w:szCs w:val="30"/>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AE63F9F9"/>
    <w:multiLevelType w:val="singleLevel"/>
    <w:tmpl w:val="AE63F9F9"/>
    <w:lvl w:ilvl="0" w:tentative="0">
      <w:start w:val="1"/>
      <w:numFmt w:val="chineseCounting"/>
      <w:suff w:val="nothing"/>
      <w:lvlText w:val="（%1）"/>
      <w:lvlJc w:val="left"/>
      <w:rPr>
        <w:rFonts w:hint="eastAsia"/>
      </w:rPr>
    </w:lvl>
  </w:abstractNum>
  <w:abstractNum w:abstractNumId="2">
    <w:nsid w:val="CA9B3242"/>
    <w:multiLevelType w:val="singleLevel"/>
    <w:tmpl w:val="CA9B3242"/>
    <w:lvl w:ilvl="0" w:tentative="0">
      <w:start w:val="2"/>
      <w:numFmt w:val="chineseCounting"/>
      <w:suff w:val="nothing"/>
      <w:lvlText w:val="（%1）"/>
      <w:lvlJc w:val="left"/>
      <w:rPr>
        <w:rFonts w:hint="eastAsia"/>
      </w:rPr>
    </w:lvl>
  </w:abstractNum>
  <w:abstractNum w:abstractNumId="3">
    <w:nsid w:val="E7C4E668"/>
    <w:multiLevelType w:val="singleLevel"/>
    <w:tmpl w:val="E7C4E668"/>
    <w:lvl w:ilvl="0" w:tentative="0">
      <w:start w:val="1"/>
      <w:numFmt w:val="chineseCounting"/>
      <w:suff w:val="nothing"/>
      <w:lvlText w:val="（%1）"/>
      <w:lvlJc w:val="left"/>
      <w:rPr>
        <w:rFonts w:hint="eastAsia"/>
      </w:rPr>
    </w:lvl>
  </w:abstractNum>
  <w:abstractNum w:abstractNumId="4">
    <w:nsid w:val="330718AF"/>
    <w:multiLevelType w:val="singleLevel"/>
    <w:tmpl w:val="330718AF"/>
    <w:lvl w:ilvl="0" w:tentative="0">
      <w:start w:val="5"/>
      <w:numFmt w:val="chineseCounting"/>
      <w:suff w:val="nothing"/>
      <w:lvlText w:val="%1、"/>
      <w:lvlJc w:val="left"/>
      <w:rPr>
        <w:rFonts w:hint="eastAsia"/>
      </w:r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kMWUyMzEwYWQ5ZTA5OWFmMGMyZDllZGVmYzE5M2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13B61930"/>
    <w:rsid w:val="1A3B21A2"/>
    <w:rsid w:val="1BAF1154"/>
    <w:rsid w:val="1C655171"/>
    <w:rsid w:val="20276775"/>
    <w:rsid w:val="26B75F6B"/>
    <w:rsid w:val="2ED6346F"/>
    <w:rsid w:val="2F2C2A40"/>
    <w:rsid w:val="344704E1"/>
    <w:rsid w:val="37C52BDE"/>
    <w:rsid w:val="39744C0B"/>
    <w:rsid w:val="3AEF6FE7"/>
    <w:rsid w:val="441F3676"/>
    <w:rsid w:val="493B718D"/>
    <w:rsid w:val="53A42ADD"/>
    <w:rsid w:val="563B01B4"/>
    <w:rsid w:val="56604927"/>
    <w:rsid w:val="590F0BE0"/>
    <w:rsid w:val="5C4A315B"/>
    <w:rsid w:val="661D3074"/>
    <w:rsid w:val="670E7135"/>
    <w:rsid w:val="6B1C1E0E"/>
    <w:rsid w:val="6BDE7164"/>
    <w:rsid w:val="757428E6"/>
    <w:rsid w:val="79DC10E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p15"/>
    <w:basedOn w:val="1"/>
    <w:qFormat/>
    <w:uiPriority w:val="0"/>
    <w:pPr>
      <w:widowControl/>
    </w:pPr>
    <w:rPr>
      <w:rFonts w:hint="eastAsi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606</Words>
  <Characters>625</Characters>
  <Lines>3</Lines>
  <Paragraphs>1</Paragraphs>
  <TotalTime>2</TotalTime>
  <ScaleCrop>false</ScaleCrop>
  <LinksUpToDate>false</LinksUpToDate>
  <CharactersWithSpaces>625</CharactersWithSpaces>
  <Application>WPS Office_12.1.0.16910_F1E327BC-269C-435d-A152-05C5408002CA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高</cp:lastModifiedBy>
  <cp:lastPrinted>2021-02-24T05:43:00Z</cp:lastPrinted>
  <dcterms:modified xsi:type="dcterms:W3CDTF">2024-05-09T02:11:02Z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2052-12.1.0.16910</vt:lpwstr>
  </property>
  <property fmtid="{D5CDD505-2E9C-101B-9397-08002B2CF9AE}" pid="3" name="ICV">
    <vt:lpwstr>28C64EFCB758481798A31117B3E7B5E3</vt:lpwstr>
  </property>
</Properties>
</file>