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A736146">
      <w:pPr>
        <w:keepNext w:val="0"/>
        <w:keepLines w:val="0"/>
        <w:pageBreakBefore w:val="0"/>
        <w:widowControl w:val="0"/>
        <w:kinsoku/>
        <w:wordWrap/>
        <w:overflowPunct/>
        <w:topLinePunct w:val="0"/>
        <w:autoSpaceDE/>
        <w:autoSpaceDN/>
        <w:bidi w:val="0"/>
        <w:adjustRightInd w:val="0"/>
        <w:snapToGrid w:val="0"/>
        <w:spacing w:line="560" w:lineRule="exact"/>
        <w:textAlignment w:val="auto"/>
        <w:rPr>
          <w:rFonts w:hint="eastAsia" w:ascii="黑体" w:hAnsi="黑体" w:eastAsia="黑体" w:cs="黑体"/>
          <w:sz w:val="32"/>
          <w:szCs w:val="32"/>
          <w:lang w:val="en-US" w:eastAsia="zh-CN"/>
        </w:rPr>
      </w:pPr>
    </w:p>
    <w:p w14:paraId="20860DFB">
      <w:pPr>
        <w:keepNext w:val="0"/>
        <w:keepLines w:val="0"/>
        <w:pageBreakBefore w:val="0"/>
        <w:widowControl w:val="0"/>
        <w:kinsoku/>
        <w:wordWrap/>
        <w:overflowPunct/>
        <w:topLinePunct w:val="0"/>
        <w:autoSpaceDE/>
        <w:autoSpaceDN/>
        <w:bidi w:val="0"/>
        <w:adjustRightInd/>
        <w:snapToGrid w:val="0"/>
        <w:spacing w:line="560" w:lineRule="exact"/>
        <w:ind w:left="0" w:right="0"/>
        <w:jc w:val="center"/>
        <w:textAlignment w:val="auto"/>
        <w:outlineLvl w:val="9"/>
        <w:rPr>
          <w:rFonts w:hint="eastAsia" w:ascii="微软雅黑" w:hAnsi="微软雅黑" w:eastAsia="微软雅黑" w:cs="微软雅黑"/>
          <w:b w:val="0"/>
          <w:bCs w:val="0"/>
          <w:sz w:val="44"/>
          <w:szCs w:val="44"/>
          <w:lang w:val="en-US"/>
        </w:rPr>
      </w:pPr>
      <w:r>
        <w:rPr>
          <w:rFonts w:hint="eastAsia" w:ascii="微软雅黑" w:hAnsi="微软雅黑" w:eastAsia="微软雅黑" w:cs="微软雅黑"/>
          <w:b w:val="0"/>
          <w:bCs w:val="0"/>
          <w:sz w:val="44"/>
          <w:szCs w:val="44"/>
          <w:lang w:val="en-US" w:eastAsia="zh-CN"/>
        </w:rPr>
        <w:t>巡察部门</w:t>
      </w:r>
    </w:p>
    <w:p w14:paraId="41D5C79C">
      <w:pPr>
        <w:keepNext w:val="0"/>
        <w:keepLines w:val="0"/>
        <w:pageBreakBefore w:val="0"/>
        <w:widowControl w:val="0"/>
        <w:kinsoku/>
        <w:wordWrap/>
        <w:overflowPunct/>
        <w:topLinePunct w:val="0"/>
        <w:autoSpaceDE/>
        <w:autoSpaceDN/>
        <w:bidi w:val="0"/>
        <w:adjustRightInd/>
        <w:snapToGrid w:val="0"/>
        <w:spacing w:line="560" w:lineRule="exact"/>
        <w:ind w:left="0" w:right="0"/>
        <w:jc w:val="center"/>
        <w:textAlignment w:val="auto"/>
        <w:outlineLvl w:val="9"/>
        <w:rPr>
          <w:rFonts w:hint="eastAsia" w:ascii="方正小标宋_GBK" w:hAnsi="方正小标宋_GBK" w:eastAsia="方正小标宋_GBK" w:cs="方正小标宋_GBK"/>
          <w:b/>
          <w:bCs/>
          <w:sz w:val="44"/>
          <w:szCs w:val="44"/>
        </w:rPr>
      </w:pPr>
      <w:r>
        <w:rPr>
          <w:rFonts w:hint="eastAsia" w:ascii="微软雅黑" w:hAnsi="微软雅黑" w:eastAsia="微软雅黑" w:cs="微软雅黑"/>
          <w:b w:val="0"/>
          <w:bCs w:val="0"/>
          <w:sz w:val="44"/>
          <w:szCs w:val="44"/>
        </w:rPr>
        <w:t>2024年度整体支出绩效自评报告</w:t>
      </w:r>
    </w:p>
    <w:p w14:paraId="5DBEE324">
      <w:pPr>
        <w:keepNext w:val="0"/>
        <w:keepLines w:val="0"/>
        <w:pageBreakBefore w:val="0"/>
        <w:widowControl w:val="0"/>
        <w:kinsoku/>
        <w:wordWrap/>
        <w:overflowPunct/>
        <w:topLinePunct w:val="0"/>
        <w:autoSpaceDE/>
        <w:autoSpaceDN/>
        <w:bidi w:val="0"/>
        <w:adjustRightInd/>
        <w:snapToGrid w:val="0"/>
        <w:spacing w:line="560" w:lineRule="exact"/>
        <w:ind w:left="0" w:right="0"/>
        <w:jc w:val="center"/>
        <w:textAlignment w:val="auto"/>
        <w:outlineLvl w:val="9"/>
        <w:rPr>
          <w:rFonts w:hint="eastAsia" w:ascii="仿宋_GB2312" w:hAnsi="仿宋_GB2312" w:eastAsia="仿宋_GB2312" w:cs="仿宋_GB2312"/>
          <w:sz w:val="32"/>
          <w:szCs w:val="32"/>
        </w:rPr>
      </w:pPr>
    </w:p>
    <w:p w14:paraId="5B69A4A2">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lang w:eastAsia="zh-CN"/>
        </w:rPr>
        <w:t>贯彻落实</w:t>
      </w:r>
      <w:r>
        <w:rPr>
          <w:rFonts w:hint="eastAsia" w:ascii="仿宋_GB2312" w:hAnsi="仿宋_GB2312" w:eastAsia="仿宋_GB2312" w:cs="仿宋_GB2312"/>
          <w:sz w:val="32"/>
          <w:szCs w:val="32"/>
          <w:highlight w:val="none"/>
          <w:lang w:eastAsia="zh-CN"/>
        </w:rPr>
        <w:t>区委区政府</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eastAsia="zh-CN"/>
        </w:rPr>
        <w:t>关于全面落实预算绩效管理的实施意见</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eastAsia="zh-CN"/>
        </w:rPr>
        <w:t>藁发</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eastAsia="zh-CN"/>
        </w:rPr>
        <w:t>2019</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val="en-US" w:eastAsia="zh-CN"/>
        </w:rPr>
        <w:t>9</w:t>
      </w:r>
      <w:r>
        <w:rPr>
          <w:rFonts w:hint="eastAsia" w:ascii="仿宋_GB2312" w:hAnsi="仿宋_GB2312" w:eastAsia="仿宋_GB2312" w:cs="仿宋_GB2312"/>
          <w:sz w:val="32"/>
          <w:szCs w:val="32"/>
          <w:highlight w:val="none"/>
        </w:rPr>
        <w:t>号）</w:t>
      </w:r>
      <w:r>
        <w:rPr>
          <w:rFonts w:hint="eastAsia" w:ascii="仿宋_GB2312" w:hAnsi="仿宋_GB2312" w:eastAsia="仿宋_GB2312" w:cs="仿宋_GB2312"/>
          <w:sz w:val="32"/>
          <w:szCs w:val="32"/>
          <w:highlight w:val="none"/>
          <w:lang w:eastAsia="zh-CN"/>
        </w:rPr>
        <w:t>文件精神</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rPr>
        <w:t>遵循“科学性、规范性、客观性和公正性”的原</w:t>
      </w:r>
      <w:r>
        <w:rPr>
          <w:rFonts w:hint="eastAsia" w:ascii="仿宋_GB2312" w:hAnsi="仿宋_GB2312" w:eastAsia="仿宋_GB2312" w:cs="仿宋_GB2312"/>
          <w:sz w:val="32"/>
          <w:szCs w:val="32"/>
          <w:highlight w:val="none"/>
          <w:lang w:eastAsia="zh-CN"/>
        </w:rPr>
        <w:t>则，对</w:t>
      </w:r>
      <w:r>
        <w:rPr>
          <w:rFonts w:hint="eastAsia" w:ascii="仿宋_GB2312" w:hAnsi="仿宋_GB2312" w:eastAsia="仿宋_GB2312" w:cs="仿宋_GB2312"/>
          <w:sz w:val="32"/>
          <w:szCs w:val="32"/>
          <w:highlight w:val="none"/>
          <w:lang w:val="en-US" w:eastAsia="zh-CN"/>
        </w:rPr>
        <w:t>巡察</w:t>
      </w:r>
      <w:r>
        <w:rPr>
          <w:rFonts w:hint="eastAsia" w:ascii="仿宋_GB2312" w:hAnsi="仿宋_GB2312" w:eastAsia="仿宋_GB2312" w:cs="仿宋_GB2312"/>
          <w:sz w:val="32"/>
          <w:szCs w:val="32"/>
          <w:highlight w:val="none"/>
          <w:lang w:eastAsia="zh-CN"/>
        </w:rPr>
        <w:t>部门202</w:t>
      </w:r>
      <w:r>
        <w:rPr>
          <w:rFonts w:ascii="仿宋_GB2312" w:hAnsi="仿宋_GB2312" w:eastAsia="仿宋_GB2312" w:cs="仿宋_GB2312"/>
          <w:sz w:val="32"/>
          <w:szCs w:val="32"/>
          <w:highlight w:val="none"/>
          <w:lang w:val="en-US" w:eastAsia="zh-CN"/>
        </w:rPr>
        <w:t>4</w:t>
      </w:r>
      <w:r>
        <w:rPr>
          <w:rFonts w:hint="eastAsia" w:ascii="仿宋_GB2312" w:hAnsi="仿宋_GB2312" w:eastAsia="仿宋_GB2312" w:cs="仿宋_GB2312"/>
          <w:sz w:val="32"/>
          <w:szCs w:val="32"/>
          <w:highlight w:val="none"/>
          <w:lang w:eastAsia="zh-CN"/>
        </w:rPr>
        <w:t>年度整体支出情况实施了财政支出绩效自评价，形成本评价报告。</w:t>
      </w:r>
    </w:p>
    <w:p w14:paraId="0A8B40AA">
      <w:pPr>
        <w:keepNext w:val="0"/>
        <w:keepLines w:val="0"/>
        <w:pageBreakBefore w:val="0"/>
        <w:widowControl w:val="0"/>
        <w:kinsoku/>
        <w:wordWrap/>
        <w:overflowPunct/>
        <w:topLinePunct w:val="0"/>
        <w:autoSpaceDE/>
        <w:autoSpaceDN/>
        <w:bidi w:val="0"/>
        <w:adjustRightInd/>
        <w:snapToGrid w:val="0"/>
        <w:spacing w:line="560" w:lineRule="exact"/>
        <w:ind w:right="0" w:firstLine="640" w:firstLineChars="200"/>
        <w:textAlignment w:val="auto"/>
        <w:outlineLvl w:val="9"/>
        <w:rPr>
          <w:rFonts w:hint="eastAsia" w:ascii="黑体" w:hAnsi="黑体" w:eastAsia="黑体" w:cs="黑体"/>
          <w:sz w:val="32"/>
          <w:szCs w:val="32"/>
          <w:lang w:eastAsia="zh-CN"/>
        </w:rPr>
      </w:pPr>
      <w:r>
        <w:rPr>
          <w:rFonts w:hint="eastAsia" w:ascii="黑体" w:hAnsi="黑体" w:eastAsia="黑体" w:cs="黑体"/>
          <w:sz w:val="32"/>
          <w:szCs w:val="32"/>
        </w:rPr>
        <w:t>一、</w:t>
      </w:r>
      <w:r>
        <w:rPr>
          <w:rFonts w:hint="eastAsia" w:ascii="黑体" w:hAnsi="黑体" w:eastAsia="黑体" w:cs="黑体"/>
          <w:sz w:val="32"/>
          <w:szCs w:val="32"/>
          <w:lang w:eastAsia="zh-CN"/>
        </w:rPr>
        <w:t>部门基本情况</w:t>
      </w:r>
    </w:p>
    <w:p w14:paraId="0BF24C3A">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rPr>
        <w:t>（一）部门概况</w:t>
      </w:r>
    </w:p>
    <w:p w14:paraId="615B559B">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eastAsia="zh-CN"/>
        </w:rPr>
        <w:t>中共石家庄市藁城区委巡察工作领导小组办公室单位性质为行政单位，经费形式为财政拨款，主要</w:t>
      </w:r>
      <w:r>
        <w:rPr>
          <w:rFonts w:hint="eastAsia" w:ascii="仿宋_GB2312" w:hAnsi="仿宋_GB2312" w:eastAsia="仿宋_GB2312" w:cs="仿宋_GB2312"/>
          <w:sz w:val="32"/>
          <w:szCs w:val="32"/>
          <w:lang w:val="en-US" w:eastAsia="zh-CN"/>
        </w:rPr>
        <w:t>职责为：贯彻落实党中央和省委、市委及区委、区委巡察工作领导小组的决策部署，向省委、市委巡视工作领导小组办公室和区委巡察工作领导小组报告工作情况；统筹、协调、指导开展巡察工作；承担政策研究、制度建设等工作；对区委、区委巡察工作领导小组决定的事项进行督办，会同区委巡察组对巡察整改工作进行专项检查；配合有关部门对巡察工作人员进行培训、考核监督和管理；完成省委、市委巡视工作领导小组办公室和区委巡察工作领导小组交办的其他任务。</w:t>
      </w:r>
    </w:p>
    <w:p w14:paraId="7EE05842">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rPr>
        <w:t>（二）部门收支预决算情况</w:t>
      </w:r>
    </w:p>
    <w:p w14:paraId="4733CF26">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202</w:t>
      </w:r>
      <w:r>
        <w:rPr>
          <w:rFonts w:hint="eastAsia" w:ascii="仿宋_GB2312" w:hAnsi="仿宋_GB2312" w:eastAsia="仿宋_GB2312" w:cs="仿宋_GB2312"/>
          <w:sz w:val="32"/>
          <w:szCs w:val="32"/>
          <w:lang w:val="en-US" w:eastAsia="zh-CN"/>
        </w:rPr>
        <w:t>4</w:t>
      </w:r>
      <w:r>
        <w:rPr>
          <w:rFonts w:hint="eastAsia" w:ascii="仿宋_GB2312" w:hAnsi="仿宋_GB2312" w:eastAsia="仿宋_GB2312" w:cs="仿宋_GB2312"/>
          <w:sz w:val="32"/>
          <w:szCs w:val="32"/>
          <w:lang w:eastAsia="zh-CN"/>
        </w:rPr>
        <w:t>年共有巡视巡察专项工作经费</w:t>
      </w:r>
      <w:r>
        <w:rPr>
          <w:rFonts w:hint="eastAsia" w:ascii="仿宋_GB2312" w:hAnsi="仿宋_GB2312" w:eastAsia="仿宋_GB2312" w:cs="仿宋_GB2312"/>
          <w:sz w:val="32"/>
          <w:szCs w:val="32"/>
          <w:lang w:val="en-US" w:eastAsia="zh-CN"/>
        </w:rPr>
        <w:t>1</w:t>
      </w:r>
      <w:r>
        <w:rPr>
          <w:rFonts w:hint="eastAsia" w:ascii="仿宋_GB2312" w:hAnsi="仿宋_GB2312" w:eastAsia="仿宋_GB2312" w:cs="仿宋_GB2312"/>
          <w:sz w:val="32"/>
          <w:szCs w:val="32"/>
          <w:lang w:eastAsia="zh-CN"/>
        </w:rPr>
        <w:t>个项预算资金共计</w:t>
      </w:r>
      <w:r>
        <w:rPr>
          <w:rFonts w:hint="eastAsia" w:ascii="仿宋_GB2312" w:hAnsi="仿宋_GB2312" w:eastAsia="仿宋_GB2312" w:cs="仿宋_GB2312"/>
          <w:sz w:val="32"/>
          <w:szCs w:val="32"/>
          <w:lang w:val="en-US" w:eastAsia="zh-CN"/>
        </w:rPr>
        <w:t>58.99</w:t>
      </w:r>
      <w:r>
        <w:rPr>
          <w:rFonts w:hint="eastAsia" w:ascii="仿宋_GB2312" w:hAnsi="仿宋_GB2312" w:eastAsia="仿宋_GB2312" w:cs="仿宋_GB2312"/>
          <w:sz w:val="32"/>
          <w:szCs w:val="32"/>
          <w:lang w:eastAsia="zh-CN"/>
        </w:rPr>
        <w:t>万元，实际到位资金</w:t>
      </w:r>
      <w:r>
        <w:rPr>
          <w:rFonts w:hint="eastAsia" w:ascii="仿宋_GB2312" w:hAnsi="仿宋_GB2312" w:eastAsia="仿宋_GB2312" w:cs="仿宋_GB2312"/>
          <w:sz w:val="32"/>
          <w:szCs w:val="32"/>
          <w:lang w:val="en-US" w:eastAsia="zh-CN"/>
        </w:rPr>
        <w:t>58.99</w:t>
      </w:r>
      <w:r>
        <w:rPr>
          <w:rFonts w:hint="eastAsia" w:ascii="仿宋_GB2312" w:hAnsi="仿宋_GB2312" w:eastAsia="仿宋_GB2312" w:cs="仿宋_GB2312"/>
          <w:sz w:val="32"/>
          <w:szCs w:val="32"/>
          <w:lang w:eastAsia="zh-CN"/>
        </w:rPr>
        <w:t>万元，资金到位率100%；应到位资金</w:t>
      </w:r>
      <w:r>
        <w:rPr>
          <w:rFonts w:hint="eastAsia" w:ascii="仿宋_GB2312" w:hAnsi="仿宋_GB2312" w:eastAsia="仿宋_GB2312" w:cs="仿宋_GB2312"/>
          <w:sz w:val="32"/>
          <w:szCs w:val="32"/>
          <w:lang w:val="en-US" w:eastAsia="zh-CN"/>
        </w:rPr>
        <w:t>58.99</w:t>
      </w:r>
      <w:r>
        <w:rPr>
          <w:rFonts w:hint="eastAsia" w:ascii="仿宋_GB2312" w:hAnsi="仿宋_GB2312" w:eastAsia="仿宋_GB2312" w:cs="仿宋_GB2312"/>
          <w:sz w:val="32"/>
          <w:szCs w:val="32"/>
          <w:lang w:eastAsia="zh-CN"/>
        </w:rPr>
        <w:t>万元，及时到位资金</w:t>
      </w:r>
      <w:r>
        <w:rPr>
          <w:rFonts w:hint="eastAsia" w:ascii="仿宋_GB2312" w:hAnsi="仿宋_GB2312" w:eastAsia="仿宋_GB2312" w:cs="仿宋_GB2312"/>
          <w:sz w:val="32"/>
          <w:szCs w:val="32"/>
          <w:lang w:val="en-US" w:eastAsia="zh-CN"/>
        </w:rPr>
        <w:t>58.99</w:t>
      </w:r>
      <w:r>
        <w:rPr>
          <w:rFonts w:hint="eastAsia" w:ascii="仿宋_GB2312" w:hAnsi="仿宋_GB2312" w:eastAsia="仿宋_GB2312" w:cs="仿宋_GB2312"/>
          <w:sz w:val="32"/>
          <w:szCs w:val="32"/>
          <w:lang w:eastAsia="zh-CN"/>
        </w:rPr>
        <w:t>万元，到位及时率100%；</w:t>
      </w:r>
      <w:r>
        <w:rPr>
          <w:rFonts w:hint="eastAsia" w:ascii="仿宋_GB2312" w:hAnsi="仿宋_GB2312" w:eastAsia="仿宋_GB2312" w:cs="仿宋_GB2312"/>
          <w:sz w:val="32"/>
          <w:szCs w:val="32"/>
          <w:lang w:val="en-US" w:eastAsia="zh-CN"/>
        </w:rPr>
        <w:t>实际执行资金58.96万元，结余0.03万元，结余资金上缴财政</w:t>
      </w:r>
      <w:bookmarkStart w:id="1" w:name="_GoBack"/>
      <w:bookmarkEnd w:id="1"/>
      <w:r>
        <w:rPr>
          <w:rFonts w:hint="eastAsia" w:ascii="仿宋_GB2312" w:hAnsi="仿宋_GB2312" w:eastAsia="仿宋_GB2312" w:cs="仿宋_GB2312"/>
          <w:sz w:val="32"/>
          <w:szCs w:val="32"/>
          <w:lang w:val="en-US" w:eastAsia="zh-CN"/>
        </w:rPr>
        <w:t>。</w:t>
      </w:r>
    </w:p>
    <w:p w14:paraId="3FF6F55D">
      <w:pPr>
        <w:keepNext w:val="0"/>
        <w:keepLines w:val="0"/>
        <w:pageBreakBefore w:val="0"/>
        <w:widowControl w:val="0"/>
        <w:numPr>
          <w:ilvl w:val="0"/>
          <w:numId w:val="1"/>
        </w:numPr>
        <w:kinsoku/>
        <w:wordWrap/>
        <w:overflowPunct/>
        <w:topLinePunct w:val="0"/>
        <w:autoSpaceDE/>
        <w:autoSpaceDN/>
        <w:bidi w:val="0"/>
        <w:adjustRightInd w:val="0"/>
        <w:snapToGrid w:val="0"/>
        <w:spacing w:line="560" w:lineRule="exact"/>
        <w:ind w:firstLine="640" w:firstLineChars="200"/>
        <w:textAlignment w:val="auto"/>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rPr>
        <w:t>部门整体支出绩效目标、指标</w:t>
      </w:r>
    </w:p>
    <w:p w14:paraId="1028B8A5">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根据项目执行情况和项目绩效情况，</w:t>
      </w:r>
      <w:r>
        <w:rPr>
          <w:rFonts w:hint="eastAsia" w:ascii="仿宋_GB2312" w:hAnsi="仿宋_GB2312" w:eastAsia="仿宋_GB2312" w:cs="仿宋_GB2312"/>
          <w:sz w:val="32"/>
          <w:szCs w:val="32"/>
          <w:lang w:val="en-US" w:eastAsia="zh-CN"/>
        </w:rPr>
        <w:t>1</w:t>
      </w:r>
      <w:r>
        <w:rPr>
          <w:rFonts w:hint="eastAsia" w:ascii="仿宋_GB2312" w:hAnsi="仿宋_GB2312" w:eastAsia="仿宋_GB2312" w:cs="仿宋_GB2312"/>
          <w:sz w:val="32"/>
          <w:szCs w:val="32"/>
          <w:lang w:eastAsia="zh-CN"/>
        </w:rPr>
        <w:t>个项目完成了年度绩效</w:t>
      </w:r>
      <w:r>
        <w:rPr>
          <w:rFonts w:hint="eastAsia" w:ascii="仿宋_GB2312" w:hAnsi="仿宋_GB2312" w:eastAsia="仿宋_GB2312" w:cs="仿宋_GB2312"/>
          <w:sz w:val="32"/>
          <w:szCs w:val="32"/>
          <w:lang w:val="en-US" w:eastAsia="zh-CN"/>
        </w:rPr>
        <w:t>测评</w:t>
      </w:r>
      <w:r>
        <w:rPr>
          <w:rFonts w:hint="eastAsia" w:ascii="仿宋_GB2312" w:hAnsi="仿宋_GB2312" w:eastAsia="仿宋_GB2312" w:cs="仿宋_GB2312"/>
          <w:sz w:val="32"/>
          <w:szCs w:val="32"/>
          <w:lang w:eastAsia="zh-CN"/>
        </w:rPr>
        <w:t>，综合评分为100分。项目综合绩效评价为优秀。</w:t>
      </w:r>
    </w:p>
    <w:p w14:paraId="6428DC04">
      <w:pPr>
        <w:keepNext w:val="0"/>
        <w:keepLines w:val="0"/>
        <w:pageBreakBefore w:val="0"/>
        <w:widowControl w:val="0"/>
        <w:numPr>
          <w:ilvl w:val="0"/>
          <w:numId w:val="2"/>
        </w:numPr>
        <w:kinsoku/>
        <w:wordWrap/>
        <w:overflowPunct/>
        <w:topLinePunct w:val="0"/>
        <w:autoSpaceDE/>
        <w:autoSpaceDN/>
        <w:bidi w:val="0"/>
        <w:adjustRightInd/>
        <w:snapToGrid w:val="0"/>
        <w:spacing w:line="560" w:lineRule="exact"/>
        <w:ind w:left="0" w:right="0" w:firstLine="640" w:firstLineChars="200"/>
        <w:textAlignment w:val="auto"/>
        <w:outlineLvl w:val="9"/>
        <w:rPr>
          <w:rFonts w:hint="eastAsia" w:ascii="黑体" w:hAnsi="黑体" w:eastAsia="黑体" w:cs="黑体"/>
          <w:sz w:val="32"/>
          <w:szCs w:val="32"/>
        </w:rPr>
      </w:pPr>
      <w:r>
        <w:rPr>
          <w:rFonts w:hint="eastAsia" w:ascii="黑体" w:hAnsi="黑体" w:eastAsia="黑体" w:cs="黑体"/>
          <w:sz w:val="32"/>
          <w:szCs w:val="32"/>
          <w:lang w:eastAsia="zh-CN"/>
        </w:rPr>
        <w:t>自评工作开展</w:t>
      </w:r>
      <w:r>
        <w:rPr>
          <w:rFonts w:hint="eastAsia" w:ascii="黑体" w:hAnsi="黑体" w:eastAsia="黑体" w:cs="黑体"/>
          <w:sz w:val="32"/>
          <w:szCs w:val="32"/>
        </w:rPr>
        <w:t>情况</w:t>
      </w:r>
    </w:p>
    <w:p w14:paraId="424941AB">
      <w:pPr>
        <w:keepNext w:val="0"/>
        <w:keepLines w:val="0"/>
        <w:pageBreakBefore w:val="0"/>
        <w:widowControl w:val="0"/>
        <w:kinsoku/>
        <w:wordWrap/>
        <w:overflowPunct/>
        <w:topLinePunct w:val="0"/>
        <w:autoSpaceDE/>
        <w:autoSpaceDN/>
        <w:bidi w:val="0"/>
        <w:adjustRightInd/>
        <w:snapToGrid w:val="0"/>
        <w:spacing w:line="560" w:lineRule="exact"/>
        <w:ind w:left="0" w:right="0" w:firstLine="640" w:firstLineChars="200"/>
        <w:textAlignment w:val="auto"/>
        <w:outlineLvl w:val="9"/>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rPr>
        <w:t>（一）自评的组织工作</w:t>
      </w:r>
    </w:p>
    <w:p w14:paraId="1CA4DB44">
      <w:pPr>
        <w:snapToGrid w:val="0"/>
        <w:spacing w:line="560" w:lineRule="exact"/>
        <w:ind w:firstLine="643" w:firstLineChars="200"/>
        <w:rPr>
          <w:rFonts w:hint="eastAsia" w:ascii="仿宋_GB2312" w:hAnsi="仿宋_GB2312" w:eastAsia="仿宋_GB2312" w:cs="仿宋_GB2312"/>
          <w:sz w:val="32"/>
          <w:szCs w:val="32"/>
          <w:lang w:eastAsia="zh-CN"/>
        </w:rPr>
      </w:pPr>
      <w:r>
        <w:rPr>
          <w:rFonts w:hint="eastAsia" w:ascii="仿宋" w:hAnsi="仿宋" w:eastAsia="仿宋" w:cs="仿宋"/>
          <w:b/>
          <w:bCs/>
          <w:sz w:val="32"/>
          <w:szCs w:val="32"/>
        </w:rPr>
        <w:t>自评的组织工作:</w:t>
      </w:r>
      <w:r>
        <w:rPr>
          <w:rFonts w:hint="eastAsia" w:ascii="仿宋_GB2312" w:hAnsi="仿宋_GB2312" w:eastAsia="仿宋_GB2312" w:cs="仿宋_GB2312"/>
          <w:sz w:val="32"/>
          <w:szCs w:val="32"/>
          <w:lang w:eastAsia="zh-CN"/>
        </w:rPr>
        <w:t>绩效评价工作由单位负责人牵头抓总负责推进并</w:t>
      </w:r>
      <w:r>
        <w:rPr>
          <w:rFonts w:hint="eastAsia" w:ascii="仿宋_GB2312" w:hAnsi="仿宋_GB2312" w:eastAsia="仿宋_GB2312" w:cs="仿宋_GB2312"/>
          <w:sz w:val="32"/>
          <w:szCs w:val="32"/>
          <w:lang w:val="en-US" w:eastAsia="zh-CN"/>
        </w:rPr>
        <w:t>由巡察办主任</w:t>
      </w:r>
      <w:r>
        <w:rPr>
          <w:rFonts w:hint="eastAsia" w:ascii="仿宋_GB2312" w:hAnsi="仿宋_GB2312" w:eastAsia="仿宋_GB2312" w:cs="仿宋_GB2312"/>
          <w:sz w:val="32"/>
          <w:szCs w:val="32"/>
          <w:lang w:eastAsia="zh-CN"/>
        </w:rPr>
        <w:t>、2名</w:t>
      </w:r>
      <w:r>
        <w:rPr>
          <w:rFonts w:hint="eastAsia" w:ascii="仿宋_GB2312" w:hAnsi="仿宋_GB2312" w:eastAsia="仿宋_GB2312" w:cs="仿宋_GB2312"/>
          <w:sz w:val="32"/>
          <w:szCs w:val="32"/>
          <w:lang w:val="en-US" w:eastAsia="zh-CN"/>
        </w:rPr>
        <w:t>办公室</w:t>
      </w:r>
      <w:r>
        <w:rPr>
          <w:rFonts w:hint="eastAsia" w:ascii="仿宋_GB2312" w:hAnsi="仿宋_GB2312" w:eastAsia="仿宋_GB2312" w:cs="仿宋_GB2312"/>
          <w:sz w:val="32"/>
          <w:szCs w:val="32"/>
          <w:lang w:eastAsia="zh-CN"/>
        </w:rPr>
        <w:t>工作人员组成测评工作小组。</w:t>
      </w:r>
    </w:p>
    <w:p w14:paraId="5B44336C">
      <w:pPr>
        <w:snapToGrid w:val="0"/>
        <w:spacing w:line="560" w:lineRule="exact"/>
        <w:ind w:firstLine="643" w:firstLineChars="200"/>
        <w:rPr>
          <w:rFonts w:hint="eastAsia" w:ascii="仿宋_GB2312" w:hAnsi="仿宋_GB2312" w:eastAsia="仿宋_GB2312" w:cs="仿宋_GB2312"/>
          <w:sz w:val="32"/>
          <w:szCs w:val="32"/>
          <w:lang w:eastAsia="zh-CN"/>
        </w:rPr>
      </w:pPr>
      <w:r>
        <w:rPr>
          <w:rFonts w:hint="eastAsia" w:ascii="仿宋" w:hAnsi="仿宋" w:eastAsia="仿宋" w:cs="仿宋"/>
          <w:b/>
          <w:bCs/>
          <w:sz w:val="32"/>
          <w:szCs w:val="32"/>
        </w:rPr>
        <w:t>建立绩效评价指标体系：</w:t>
      </w:r>
      <w:r>
        <w:rPr>
          <w:rFonts w:hint="eastAsia" w:ascii="仿宋_GB2312" w:hAnsi="仿宋_GB2312" w:eastAsia="仿宋_GB2312" w:cs="仿宋_GB2312"/>
          <w:sz w:val="32"/>
          <w:szCs w:val="32"/>
          <w:lang w:eastAsia="zh-CN"/>
        </w:rPr>
        <w:t>在开展预算自评工作时，针对具体绩效评价对象的特点，设计能够体现项目特点绩效评价指标体系。绩效指标权重由各部门根据评价对象实际情况确定，总分设定为100分。原则上一级指标权重统一设置为：产出指标40分（包含数量、质量、时效、成本）、预算执行率指标10分、效益指标40分（包含经济效益、社会效益、生态效益、可持续影响）、满意度指标10分。如某一类指标未设定，其分值可合理调整至其他指标。若被评价项目不门整体支出绩效目标实现情况及指标分析涉及服务对象满意度内容或因服务对象满意度获取难度较大、成本较高而未能获取，则服务对象满意度的10分调入效益考核事项。</w:t>
      </w:r>
    </w:p>
    <w:p w14:paraId="01519403">
      <w:pPr>
        <w:snapToGrid w:val="0"/>
        <w:spacing w:line="560" w:lineRule="exact"/>
        <w:ind w:firstLine="640" w:firstLineChars="200"/>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二、三级指标所占权重应当根据指标重要程度、项目实施阶段等因素综合确定，准确反映预算项目的产出和效果。同类评价对象的指标权重设置应当基本一致，便于评价结果相互比较。</w:t>
      </w:r>
    </w:p>
    <w:p w14:paraId="5E250192">
      <w:pPr>
        <w:snapToGrid w:val="0"/>
        <w:spacing w:line="560" w:lineRule="exact"/>
        <w:ind w:firstLine="640" w:firstLineChars="200"/>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lang w:eastAsia="zh-CN"/>
        </w:rPr>
        <w:t>（二）</w:t>
      </w:r>
      <w:r>
        <w:rPr>
          <w:rFonts w:hint="eastAsia" w:ascii="楷体_GB2312" w:hAnsi="楷体_GB2312" w:eastAsia="楷体_GB2312" w:cs="楷体_GB2312"/>
          <w:bCs/>
          <w:sz w:val="32"/>
          <w:szCs w:val="32"/>
        </w:rPr>
        <w:t>自评的方法和过程</w:t>
      </w:r>
    </w:p>
    <w:p w14:paraId="6C146427">
      <w:pPr>
        <w:snapToGrid w:val="0"/>
        <w:spacing w:line="560" w:lineRule="exact"/>
        <w:ind w:firstLine="640" w:firstLineChars="200"/>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绩效评价工作由单位负责人统一布置安排，共分三个阶段进行。第一阶段，筹备资料阶段;第二阶段，集中测评阶段，绩效测评小组成员按照绩效评价指标体系以及提供材料进行测评打分;第三阶段，汇总生成报告阶段，根据对测评结果进行汇总审核并撰写自评报告。</w:t>
      </w:r>
    </w:p>
    <w:p w14:paraId="0280E88D">
      <w:pPr>
        <w:keepNext w:val="0"/>
        <w:keepLines w:val="0"/>
        <w:pageBreakBefore w:val="0"/>
        <w:widowControl w:val="0"/>
        <w:kinsoku/>
        <w:wordWrap/>
        <w:overflowPunct/>
        <w:topLinePunct w:val="0"/>
        <w:autoSpaceDE/>
        <w:autoSpaceDN/>
        <w:bidi w:val="0"/>
        <w:adjustRightInd/>
        <w:snapToGrid w:val="0"/>
        <w:spacing w:line="560" w:lineRule="exact"/>
        <w:ind w:left="0" w:right="0" w:firstLine="640" w:firstLineChars="200"/>
        <w:textAlignment w:val="auto"/>
        <w:outlineLvl w:val="9"/>
        <w:rPr>
          <w:rFonts w:hint="eastAsia" w:ascii="黑体" w:hAnsi="黑体" w:eastAsia="黑体" w:cs="黑体"/>
          <w:sz w:val="32"/>
          <w:szCs w:val="32"/>
          <w:lang w:eastAsia="zh-CN"/>
        </w:rPr>
      </w:pPr>
      <w:r>
        <w:rPr>
          <w:rFonts w:hint="eastAsia" w:ascii="黑体" w:hAnsi="黑体" w:eastAsia="黑体" w:cs="黑体"/>
          <w:sz w:val="32"/>
          <w:szCs w:val="32"/>
          <w:lang w:eastAsia="zh-CN"/>
        </w:rPr>
        <w:t>三、部门整体支出绩效目标实现情况及指标分析</w:t>
      </w:r>
    </w:p>
    <w:p w14:paraId="30911F45">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lang w:eastAsia="zh-CN"/>
        </w:rPr>
        <w:t>（一）</w:t>
      </w:r>
      <w:r>
        <w:rPr>
          <w:rFonts w:hint="eastAsia" w:ascii="楷体_GB2312" w:hAnsi="楷体_GB2312" w:eastAsia="楷体_GB2312" w:cs="楷体_GB2312"/>
          <w:bCs/>
          <w:sz w:val="32"/>
          <w:szCs w:val="32"/>
        </w:rPr>
        <w:t>总体绩效目标实现情况</w:t>
      </w:r>
    </w:p>
    <w:p w14:paraId="4D6D68DA">
      <w:pPr>
        <w:snapToGrid w:val="0"/>
        <w:spacing w:line="560" w:lineRule="exact"/>
        <w:ind w:firstLine="640" w:firstLineChars="200"/>
        <w:rPr>
          <w:rFonts w:hint="eastAsia" w:ascii="仿宋_GB2312" w:hAnsi="仿宋_GB2312" w:eastAsia="仿宋_GB2312" w:cs="仿宋_GB2312"/>
          <w:sz w:val="32"/>
          <w:szCs w:val="32"/>
          <w:lang w:eastAsia="zh-CN"/>
        </w:rPr>
      </w:pPr>
      <w:bookmarkStart w:id="0" w:name="_Hlk167200279"/>
      <w:r>
        <w:rPr>
          <w:rFonts w:hint="eastAsia" w:ascii="仿宋_GB2312" w:hAnsi="仿宋_GB2312" w:eastAsia="仿宋_GB2312" w:cs="仿宋_GB2312"/>
          <w:sz w:val="32"/>
          <w:szCs w:val="32"/>
          <w:lang w:eastAsia="zh-CN"/>
        </w:rPr>
        <w:t>根据项目执行情况和项目绩效情况，</w:t>
      </w:r>
      <w:r>
        <w:rPr>
          <w:rFonts w:hint="eastAsia" w:ascii="仿宋_GB2312" w:hAnsi="仿宋_GB2312" w:eastAsia="仿宋_GB2312" w:cs="仿宋_GB2312"/>
          <w:sz w:val="32"/>
          <w:szCs w:val="32"/>
          <w:lang w:val="en-US" w:eastAsia="zh-CN"/>
        </w:rPr>
        <w:t>1</w:t>
      </w:r>
      <w:r>
        <w:rPr>
          <w:rFonts w:hint="eastAsia" w:ascii="仿宋_GB2312" w:hAnsi="仿宋_GB2312" w:eastAsia="仿宋_GB2312" w:cs="仿宋_GB2312"/>
          <w:sz w:val="32"/>
          <w:szCs w:val="32"/>
          <w:lang w:eastAsia="zh-CN"/>
        </w:rPr>
        <w:t>个项目完成了年度绩效项目，综合评分为100分。项目综合绩效评价为优秀。</w:t>
      </w:r>
    </w:p>
    <w:bookmarkEnd w:id="0"/>
    <w:p w14:paraId="2F66632C">
      <w:pPr>
        <w:keepNext w:val="0"/>
        <w:keepLines w:val="0"/>
        <w:pageBreakBefore w:val="0"/>
        <w:widowControl w:val="0"/>
        <w:kinsoku/>
        <w:wordWrap/>
        <w:overflowPunct/>
        <w:topLinePunct w:val="0"/>
        <w:autoSpaceDE/>
        <w:autoSpaceDN/>
        <w:bidi w:val="0"/>
        <w:spacing w:line="560" w:lineRule="exact"/>
        <w:ind w:firstLine="640" w:firstLineChars="200"/>
        <w:textAlignment w:val="auto"/>
        <w:rPr>
          <w:rFonts w:ascii="楷体" w:hAnsi="楷体" w:eastAsia="楷体"/>
          <w:bCs/>
          <w:sz w:val="32"/>
          <w:szCs w:val="32"/>
        </w:rPr>
      </w:pPr>
      <w:r>
        <w:rPr>
          <w:rFonts w:hint="eastAsia" w:ascii="楷体_GB2312" w:hAnsi="楷体_GB2312" w:eastAsia="楷体_GB2312" w:cs="楷体_GB2312"/>
          <w:bCs/>
          <w:sz w:val="32"/>
          <w:szCs w:val="32"/>
        </w:rPr>
        <w:t>（二）分项绩效目标实现情况及指标分析</w:t>
      </w:r>
    </w:p>
    <w:p w14:paraId="1354F37C">
      <w:pPr>
        <w:pStyle w:val="14"/>
        <w:rPr>
          <w:rFonts w:hint="eastAsia" w:ascii="仿宋_GB2312" w:hAnsi="仿宋_GB2312" w:eastAsia="仿宋_GB2312" w:cs="仿宋_GB2312"/>
          <w:b w:val="0"/>
          <w:bCs w:val="0"/>
          <w:sz w:val="32"/>
          <w:szCs w:val="32"/>
          <w:highlight w:val="none"/>
          <w:lang w:val="en-US" w:eastAsia="zh-CN"/>
        </w:rPr>
      </w:pPr>
      <w:r>
        <w:rPr>
          <w:rFonts w:hint="eastAsia" w:ascii="仿宋_GB2312" w:hAnsi="仿宋_GB2312" w:eastAsia="仿宋_GB2312" w:cs="仿宋_GB2312"/>
          <w:b w:val="0"/>
          <w:bCs w:val="0"/>
          <w:sz w:val="32"/>
          <w:szCs w:val="32"/>
          <w:highlight w:val="none"/>
          <w:lang w:val="en-US" w:eastAsia="zh-CN"/>
        </w:rPr>
        <w:t>1.深化上下联动工作格局</w:t>
      </w:r>
    </w:p>
    <w:p w14:paraId="59DAF38D">
      <w:pPr>
        <w:snapToGrid w:val="0"/>
        <w:spacing w:line="560" w:lineRule="exact"/>
        <w:ind w:firstLine="640" w:firstLineChars="20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eastAsia="zh-CN"/>
        </w:rPr>
        <w:t>绩效目标：</w:t>
      </w:r>
      <w:r>
        <w:rPr>
          <w:rFonts w:hint="eastAsia" w:ascii="仿宋_GB2312" w:hAnsi="仿宋_GB2312" w:eastAsia="仿宋_GB2312" w:cs="仿宋_GB2312"/>
          <w:sz w:val="32"/>
          <w:szCs w:val="32"/>
          <w:lang w:val="en-US" w:eastAsia="zh-CN"/>
        </w:rPr>
        <w:t>全面落实党中央和省委、市委关于巡视巡察上下联动决策部署要求，加强组织领导，完善工作机制，强化监督指导，提高规范化水平</w:t>
      </w:r>
    </w:p>
    <w:p w14:paraId="3C6E1B33">
      <w:pPr>
        <w:snapToGrid w:val="0"/>
        <w:spacing w:line="560" w:lineRule="exact"/>
        <w:ind w:firstLine="640" w:firstLineChars="200"/>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绩效指标：监督检查党内法规政策、国家法律法规、党风廉政建设“两个责任”等落实执行情况；贯彻落实上级纪委和区委有关部署，开展常态化全覆盖巡察；做好市委</w:t>
      </w:r>
      <w:r>
        <w:rPr>
          <w:rFonts w:hint="eastAsia" w:ascii="仿宋_GB2312" w:hAnsi="仿宋_GB2312" w:eastAsia="仿宋_GB2312" w:cs="仿宋_GB2312"/>
          <w:sz w:val="32"/>
          <w:szCs w:val="32"/>
          <w:lang w:val="en-US" w:eastAsia="zh-CN"/>
        </w:rPr>
        <w:t>提级</w:t>
      </w:r>
      <w:r>
        <w:rPr>
          <w:rFonts w:hint="eastAsia" w:ascii="仿宋_GB2312" w:hAnsi="仿宋_GB2312" w:eastAsia="仿宋_GB2312" w:cs="仿宋_GB2312"/>
          <w:sz w:val="32"/>
          <w:szCs w:val="32"/>
          <w:lang w:eastAsia="zh-CN"/>
        </w:rPr>
        <w:t>巡</w:t>
      </w:r>
      <w:r>
        <w:rPr>
          <w:rFonts w:hint="eastAsia" w:ascii="仿宋_GB2312" w:hAnsi="仿宋_GB2312" w:eastAsia="仿宋_GB2312" w:cs="仿宋_GB2312"/>
          <w:sz w:val="32"/>
          <w:szCs w:val="32"/>
          <w:lang w:val="en-US" w:eastAsia="zh-CN"/>
        </w:rPr>
        <w:t>察</w:t>
      </w:r>
      <w:r>
        <w:rPr>
          <w:rFonts w:hint="eastAsia" w:ascii="仿宋_GB2312" w:hAnsi="仿宋_GB2312" w:eastAsia="仿宋_GB2312" w:cs="仿宋_GB2312"/>
          <w:sz w:val="32"/>
          <w:szCs w:val="32"/>
          <w:lang w:eastAsia="zh-CN"/>
        </w:rPr>
        <w:t>服务保障工作。</w:t>
      </w:r>
    </w:p>
    <w:p w14:paraId="62386AB8">
      <w:pPr>
        <w:pStyle w:val="14"/>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val="0"/>
          <w:bCs w:val="0"/>
          <w:sz w:val="32"/>
          <w:szCs w:val="32"/>
          <w:lang w:val="en-US" w:eastAsia="zh-CN"/>
        </w:rPr>
        <w:t>2.细化巡察工作提升巡察质量</w:t>
      </w:r>
    </w:p>
    <w:p w14:paraId="6732DB5D">
      <w:pPr>
        <w:snapToGrid w:val="0"/>
        <w:spacing w:line="560" w:lineRule="exact"/>
        <w:ind w:firstLine="640" w:firstLineChars="20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eastAsia="zh-CN"/>
        </w:rPr>
        <w:t>绩效目标：</w:t>
      </w:r>
      <w:r>
        <w:rPr>
          <w:rFonts w:hint="eastAsia" w:ascii="仿宋_GB2312" w:hAnsi="仿宋_GB2312" w:eastAsia="仿宋_GB2312" w:cs="仿宋_GB2312"/>
          <w:sz w:val="32"/>
          <w:szCs w:val="32"/>
          <w:lang w:val="en-US" w:eastAsia="zh-CN"/>
        </w:rPr>
        <w:t>把握基层实际，细化监督内容，因地制宜、分类施策，完成对58个区直单位（部门），12个乡镇，1个国企以及219个村（社区）巡察全覆盖。</w:t>
      </w:r>
    </w:p>
    <w:p w14:paraId="3E9EED9F">
      <w:pPr>
        <w:snapToGrid w:val="0"/>
        <w:spacing w:line="560" w:lineRule="exact"/>
        <w:ind w:firstLine="640" w:firstLineChars="20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eastAsia="zh-CN"/>
        </w:rPr>
        <w:t>绩效指标:</w:t>
      </w:r>
      <w:r>
        <w:rPr>
          <w:rFonts w:hint="eastAsia" w:ascii="仿宋_GB2312" w:hAnsi="仿宋_GB2312" w:eastAsia="仿宋_GB2312" w:cs="仿宋_GB2312"/>
          <w:sz w:val="32"/>
          <w:szCs w:val="32"/>
          <w:lang w:val="en-US" w:eastAsia="zh-CN"/>
        </w:rPr>
        <w:t>坚持稳中求进，把握工作节奏，对标中央、省委巡视和市委巡察任务安排，实行板块轮动、分类推进，高质量完成三届区委巡察全覆盖任务。</w:t>
      </w:r>
    </w:p>
    <w:p w14:paraId="3A850462">
      <w:pPr>
        <w:keepNext w:val="0"/>
        <w:keepLines w:val="0"/>
        <w:pageBreakBefore w:val="0"/>
        <w:widowControl w:val="0"/>
        <w:kinsoku/>
        <w:wordWrap/>
        <w:overflowPunct/>
        <w:topLinePunct w:val="0"/>
        <w:autoSpaceDE/>
        <w:autoSpaceDN/>
        <w:bidi w:val="0"/>
        <w:adjustRightInd/>
        <w:snapToGrid w:val="0"/>
        <w:spacing w:line="560" w:lineRule="exact"/>
        <w:ind w:left="0" w:right="0" w:firstLine="640" w:firstLineChars="200"/>
        <w:textAlignment w:val="auto"/>
        <w:outlineLvl w:val="9"/>
        <w:rPr>
          <w:rFonts w:hint="eastAsia" w:ascii="黑体" w:hAnsi="黑体" w:eastAsia="黑体" w:cs="黑体"/>
          <w:sz w:val="32"/>
          <w:szCs w:val="32"/>
          <w:lang w:eastAsia="zh-CN"/>
        </w:rPr>
      </w:pPr>
      <w:r>
        <w:rPr>
          <w:rFonts w:hint="eastAsia" w:ascii="黑体" w:hAnsi="黑体" w:eastAsia="黑体" w:cs="黑体"/>
          <w:sz w:val="32"/>
          <w:szCs w:val="32"/>
          <w:lang w:eastAsia="zh-CN"/>
        </w:rPr>
        <w:t>四、评价结论和评价等级</w:t>
      </w:r>
    </w:p>
    <w:p w14:paraId="7750430E">
      <w:pPr>
        <w:snapToGrid w:val="0"/>
        <w:spacing w:line="560" w:lineRule="exact"/>
        <w:ind w:firstLine="640" w:firstLineChars="200"/>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根据项目执行情况和项目绩效情况，运用绩效目标表的评价指标体系和评分标准，项目综合整体评分为100分，综合绩效评价等级为优秀。</w:t>
      </w:r>
    </w:p>
    <w:p w14:paraId="37744A88">
      <w:pPr>
        <w:keepNext w:val="0"/>
        <w:keepLines w:val="0"/>
        <w:pageBreakBefore w:val="0"/>
        <w:widowControl w:val="0"/>
        <w:numPr>
          <w:ilvl w:val="0"/>
          <w:numId w:val="3"/>
        </w:numPr>
        <w:kinsoku/>
        <w:wordWrap/>
        <w:overflowPunct/>
        <w:topLinePunct w:val="0"/>
        <w:autoSpaceDE/>
        <w:autoSpaceDN/>
        <w:bidi w:val="0"/>
        <w:adjustRightInd/>
        <w:snapToGrid w:val="0"/>
        <w:spacing w:line="560" w:lineRule="exact"/>
        <w:ind w:left="0" w:right="0" w:firstLine="640" w:firstLineChars="200"/>
        <w:textAlignment w:val="auto"/>
        <w:outlineLvl w:val="9"/>
        <w:rPr>
          <w:rFonts w:hint="eastAsia" w:ascii="黑体" w:hAnsi="黑体" w:eastAsia="黑体"/>
          <w:sz w:val="32"/>
          <w:szCs w:val="32"/>
        </w:rPr>
      </w:pPr>
      <w:r>
        <w:rPr>
          <w:rFonts w:hint="eastAsia" w:ascii="黑体" w:hAnsi="黑体" w:eastAsia="黑体"/>
          <w:sz w:val="32"/>
          <w:szCs w:val="32"/>
        </w:rPr>
        <w:t>存在的问题及改进措施</w:t>
      </w:r>
    </w:p>
    <w:p w14:paraId="4CE669E1">
      <w:pPr>
        <w:keepNext w:val="0"/>
        <w:keepLines w:val="0"/>
        <w:pageBreakBefore w:val="0"/>
        <w:widowControl w:val="0"/>
        <w:numPr>
          <w:ilvl w:val="0"/>
          <w:numId w:val="4"/>
        </w:numPr>
        <w:kinsoku/>
        <w:wordWrap/>
        <w:overflowPunct/>
        <w:topLinePunct w:val="0"/>
        <w:autoSpaceDE/>
        <w:autoSpaceDN/>
        <w:bidi w:val="0"/>
        <w:spacing w:line="560" w:lineRule="exact"/>
        <w:ind w:firstLine="640" w:firstLineChars="200"/>
        <w:textAlignment w:val="auto"/>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rPr>
        <w:t>存在的主要问题</w:t>
      </w:r>
    </w:p>
    <w:p w14:paraId="1395E0E8">
      <w:pPr>
        <w:snapToGrid w:val="0"/>
        <w:spacing w:line="560" w:lineRule="exact"/>
        <w:ind w:firstLine="640" w:firstLineChars="20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1.预算执行率待进一步提高</w:t>
      </w:r>
    </w:p>
    <w:p w14:paraId="08AE560A">
      <w:pPr>
        <w:snapToGrid w:val="0"/>
        <w:spacing w:line="560" w:lineRule="exact"/>
        <w:ind w:firstLine="640" w:firstLineChars="200"/>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2.管理制度不完善</w:t>
      </w:r>
    </w:p>
    <w:p w14:paraId="71365122">
      <w:pPr>
        <w:snapToGrid w:val="0"/>
        <w:spacing w:line="560" w:lineRule="exact"/>
        <w:ind w:firstLine="640" w:firstLineChars="20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未制定专项资金管理办法</w:t>
      </w:r>
    </w:p>
    <w:p w14:paraId="0FE1F4EB">
      <w:pPr>
        <w:snapToGrid w:val="0"/>
        <w:spacing w:line="560" w:lineRule="exact"/>
        <w:ind w:firstLine="640" w:firstLineChars="200"/>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未制定合同管理办法</w:t>
      </w:r>
    </w:p>
    <w:p w14:paraId="6D7E7650">
      <w:pPr>
        <w:snapToGrid w:val="0"/>
        <w:spacing w:line="560" w:lineRule="exact"/>
        <w:ind w:firstLine="640" w:firstLineChars="200"/>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val="en-US" w:eastAsia="zh-CN"/>
        </w:rPr>
        <w:t>3.项目实施过程规范性不高</w:t>
      </w:r>
    </w:p>
    <w:p w14:paraId="6E19DF33">
      <w:pPr>
        <w:keepNext w:val="0"/>
        <w:keepLines w:val="0"/>
        <w:pageBreakBefore w:val="0"/>
        <w:widowControl w:val="0"/>
        <w:numPr>
          <w:ilvl w:val="0"/>
          <w:numId w:val="4"/>
        </w:numPr>
        <w:kinsoku/>
        <w:wordWrap/>
        <w:overflowPunct/>
        <w:topLinePunct w:val="0"/>
        <w:autoSpaceDE/>
        <w:autoSpaceDN/>
        <w:bidi w:val="0"/>
        <w:spacing w:line="560" w:lineRule="exact"/>
        <w:ind w:left="0" w:leftChars="0" w:firstLine="640" w:firstLineChars="200"/>
        <w:textAlignment w:val="auto"/>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rPr>
        <w:t>针对问题提出具体的改进措施或建议</w:t>
      </w:r>
    </w:p>
    <w:p w14:paraId="25C5CE48">
      <w:pPr>
        <w:snapToGrid w:val="0"/>
        <w:spacing w:line="560" w:lineRule="exact"/>
        <w:ind w:firstLine="640" w:firstLineChars="20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1.科学进行项目评估，提高预算精准度和执行率。</w:t>
      </w:r>
    </w:p>
    <w:p w14:paraId="5067E4E2">
      <w:pPr>
        <w:snapToGrid w:val="0"/>
        <w:spacing w:line="560" w:lineRule="exact"/>
        <w:ind w:firstLine="640" w:firstLineChars="200"/>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2.完善制度建设，防范项目风险。制定《专项资金管理办法》和《合同管理办法》，完善制度建设，增强风险意识，加强项目管理，进行事中监控，确保绩效目标顺利实现。</w:t>
      </w:r>
    </w:p>
    <w:p w14:paraId="60D862A7">
      <w:pPr>
        <w:keepNext w:val="0"/>
        <w:keepLines w:val="0"/>
        <w:pageBreakBefore w:val="0"/>
        <w:widowControl w:val="0"/>
        <w:kinsoku/>
        <w:wordWrap/>
        <w:overflowPunct/>
        <w:topLinePunct w:val="0"/>
        <w:autoSpaceDE/>
        <w:autoSpaceDN/>
        <w:bidi w:val="0"/>
        <w:adjustRightInd/>
        <w:snapToGrid w:val="0"/>
        <w:spacing w:line="560" w:lineRule="exact"/>
        <w:ind w:left="0" w:right="0" w:firstLine="640" w:firstLineChars="200"/>
        <w:textAlignment w:val="auto"/>
        <w:outlineLvl w:val="9"/>
        <w:rPr>
          <w:rFonts w:hint="eastAsia" w:ascii="黑体" w:hAnsi="黑体" w:eastAsia="黑体"/>
          <w:sz w:val="32"/>
          <w:szCs w:val="32"/>
        </w:rPr>
      </w:pPr>
      <w:r>
        <w:rPr>
          <w:rFonts w:hint="eastAsia" w:ascii="黑体" w:hAnsi="黑体" w:eastAsia="黑体"/>
          <w:sz w:val="32"/>
          <w:szCs w:val="32"/>
        </w:rPr>
        <w:t>六、评价工作组人员名单及签字（姓名、工作单位、职务、职称）</w:t>
      </w:r>
    </w:p>
    <w:p w14:paraId="1F0E8756">
      <w:pPr>
        <w:keepNext w:val="0"/>
        <w:keepLines w:val="0"/>
        <w:pageBreakBefore w:val="0"/>
        <w:widowControl w:val="0"/>
        <w:kinsoku/>
        <w:wordWrap/>
        <w:overflowPunct/>
        <w:topLinePunct w:val="0"/>
        <w:autoSpaceDE/>
        <w:autoSpaceDN/>
        <w:adjustRightInd w:val="0"/>
        <w:snapToGrid w:val="0"/>
        <w:spacing w:line="560" w:lineRule="exact"/>
        <w:ind w:left="0" w:firstLine="640" w:firstLineChars="200"/>
        <w:rPr>
          <w:rFonts w:hint="eastAsia" w:ascii="黑体" w:hAnsi="黑体" w:eastAsia="黑体" w:cs="黑体"/>
          <w:sz w:val="32"/>
          <w:szCs w:val="32"/>
        </w:rPr>
      </w:pPr>
    </w:p>
    <w:tbl>
      <w:tblPr>
        <w:tblStyle w:val="8"/>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3589"/>
        <w:gridCol w:w="2265"/>
        <w:gridCol w:w="2867"/>
      </w:tblGrid>
      <w:tr w14:paraId="6EB7EE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589" w:type="dxa"/>
          </w:tcPr>
          <w:p w14:paraId="633AC170">
            <w:pPr>
              <w:pBdr>
                <w:top w:val="none" w:color="auto" w:sz="0" w:space="0"/>
                <w:left w:val="none" w:color="auto" w:sz="0" w:space="0"/>
                <w:bottom w:val="none" w:color="auto" w:sz="0" w:space="0"/>
                <w:right w:val="none" w:color="auto" w:sz="0" w:space="0"/>
              </w:pBdr>
              <w:wordWrap/>
              <w:spacing w:line="560" w:lineRule="exact"/>
              <w:ind w:left="0"/>
              <w:jc w:val="center"/>
              <w:rPr>
                <w:rFonts w:hint="eastAsia" w:ascii="仿宋_GB2312" w:hAnsi="仿宋" w:eastAsia="仿宋_GB2312" w:cs="仿宋_GB2312"/>
                <w:sz w:val="32"/>
                <w:szCs w:val="32"/>
              </w:rPr>
            </w:pPr>
            <w:r>
              <w:rPr>
                <w:rFonts w:hint="eastAsia" w:ascii="仿宋_GB2312" w:hAnsi="仿宋" w:eastAsia="仿宋_GB2312" w:cs="仿宋_GB2312"/>
                <w:sz w:val="32"/>
                <w:szCs w:val="32"/>
              </w:rPr>
              <w:t>工作单位</w:t>
            </w:r>
          </w:p>
        </w:tc>
        <w:tc>
          <w:tcPr>
            <w:tcW w:w="2265" w:type="dxa"/>
          </w:tcPr>
          <w:p w14:paraId="68A7055D">
            <w:pPr>
              <w:pBdr>
                <w:top w:val="none" w:color="auto" w:sz="0" w:space="0"/>
                <w:left w:val="none" w:color="auto" w:sz="0" w:space="0"/>
                <w:bottom w:val="none" w:color="auto" w:sz="0" w:space="0"/>
                <w:right w:val="none" w:color="auto" w:sz="0" w:space="0"/>
              </w:pBdr>
              <w:wordWrap/>
              <w:spacing w:line="560" w:lineRule="exact"/>
              <w:ind w:left="0"/>
              <w:jc w:val="center"/>
              <w:rPr>
                <w:rFonts w:hint="eastAsia" w:ascii="仿宋_GB2312" w:hAnsi="仿宋" w:eastAsia="仿宋_GB2312" w:cs="仿宋_GB2312"/>
                <w:sz w:val="32"/>
                <w:szCs w:val="32"/>
                <w:lang w:val="en-US" w:eastAsia="zh-CN"/>
              </w:rPr>
            </w:pPr>
            <w:r>
              <w:rPr>
                <w:rFonts w:hint="eastAsia" w:ascii="仿宋_GB2312" w:hAnsi="仿宋" w:eastAsia="仿宋_GB2312" w:cs="仿宋_GB2312"/>
                <w:sz w:val="32"/>
                <w:szCs w:val="32"/>
              </w:rPr>
              <w:t>职务</w:t>
            </w:r>
            <w:r>
              <w:rPr>
                <w:rFonts w:hint="eastAsia" w:ascii="仿宋_GB2312" w:hAnsi="仿宋" w:eastAsia="仿宋_GB2312" w:cs="仿宋_GB2312"/>
                <w:sz w:val="32"/>
                <w:szCs w:val="32"/>
                <w:lang w:val="en-US" w:eastAsia="zh-CN"/>
              </w:rPr>
              <w:t>/职称</w:t>
            </w:r>
          </w:p>
        </w:tc>
        <w:tc>
          <w:tcPr>
            <w:tcW w:w="2867" w:type="dxa"/>
          </w:tcPr>
          <w:p w14:paraId="346C86FE">
            <w:pPr>
              <w:pBdr>
                <w:top w:val="none" w:color="auto" w:sz="0" w:space="0"/>
                <w:left w:val="none" w:color="auto" w:sz="0" w:space="0"/>
                <w:bottom w:val="none" w:color="auto" w:sz="0" w:space="0"/>
                <w:right w:val="none" w:color="auto" w:sz="0" w:space="0"/>
              </w:pBdr>
              <w:wordWrap/>
              <w:spacing w:line="560" w:lineRule="exact"/>
              <w:ind w:left="0"/>
              <w:jc w:val="center"/>
              <w:rPr>
                <w:rFonts w:hint="eastAsia" w:ascii="仿宋_GB2312" w:hAnsi="仿宋" w:eastAsia="仿宋_GB2312" w:cs="仿宋_GB2312"/>
                <w:sz w:val="32"/>
                <w:szCs w:val="32"/>
              </w:rPr>
            </w:pPr>
            <w:r>
              <w:rPr>
                <w:rFonts w:hint="eastAsia" w:ascii="仿宋_GB2312" w:hAnsi="仿宋" w:eastAsia="仿宋_GB2312" w:cs="仿宋_GB2312"/>
                <w:sz w:val="32"/>
                <w:szCs w:val="32"/>
              </w:rPr>
              <w:t>姓名</w:t>
            </w:r>
          </w:p>
        </w:tc>
      </w:tr>
      <w:tr w14:paraId="5023CC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589" w:type="dxa"/>
            <w:vMerge w:val="restart"/>
          </w:tcPr>
          <w:p w14:paraId="70F07F59">
            <w:pPr>
              <w:pBdr>
                <w:top w:val="none" w:color="auto" w:sz="0" w:space="0"/>
                <w:left w:val="none" w:color="auto" w:sz="0" w:space="0"/>
                <w:bottom w:val="none" w:color="auto" w:sz="0" w:space="0"/>
                <w:right w:val="none" w:color="auto" w:sz="0" w:space="0"/>
              </w:pBdr>
              <w:wordWrap/>
              <w:spacing w:line="560" w:lineRule="exact"/>
              <w:ind w:left="0"/>
              <w:jc w:val="center"/>
              <w:rPr>
                <w:rFonts w:ascii="仿宋_GB2312" w:hAnsi="仿宋" w:eastAsia="仿宋_GB2312" w:cs="仿宋_GB2312"/>
                <w:sz w:val="32"/>
                <w:szCs w:val="32"/>
              </w:rPr>
            </w:pPr>
          </w:p>
          <w:p w14:paraId="67292E22">
            <w:pPr>
              <w:pBdr>
                <w:top w:val="none" w:color="auto" w:sz="0" w:space="0"/>
                <w:left w:val="none" w:color="auto" w:sz="0" w:space="0"/>
                <w:bottom w:val="none" w:color="auto" w:sz="0" w:space="0"/>
                <w:right w:val="none" w:color="auto" w:sz="0" w:space="0"/>
              </w:pBdr>
              <w:wordWrap/>
              <w:spacing w:line="560" w:lineRule="exact"/>
              <w:ind w:left="0"/>
              <w:jc w:val="center"/>
              <w:rPr>
                <w:rFonts w:hint="default" w:ascii="仿宋_GB2312" w:hAnsi="仿宋" w:eastAsia="仿宋_GB2312" w:cs="仿宋_GB2312"/>
                <w:sz w:val="32"/>
                <w:szCs w:val="32"/>
                <w:lang w:val="en-US" w:eastAsia="zh-CN"/>
              </w:rPr>
            </w:pPr>
            <w:r>
              <w:rPr>
                <w:rFonts w:hint="eastAsia" w:ascii="仿宋_GB2312" w:hAnsi="仿宋" w:eastAsia="仿宋_GB2312" w:cs="仿宋_GB2312"/>
                <w:sz w:val="32"/>
                <w:szCs w:val="32"/>
                <w:lang w:val="en-US" w:eastAsia="zh-CN"/>
              </w:rPr>
              <w:t>藁城区委巡察办</w:t>
            </w:r>
          </w:p>
        </w:tc>
        <w:tc>
          <w:tcPr>
            <w:tcW w:w="2265" w:type="dxa"/>
            <w:tcBorders>
              <w:left w:val="single" w:color="auto" w:sz="4" w:space="0"/>
            </w:tcBorders>
          </w:tcPr>
          <w:p w14:paraId="46E1533C">
            <w:pPr>
              <w:pBdr>
                <w:top w:val="none" w:color="auto" w:sz="0" w:space="0"/>
                <w:left w:val="none" w:color="auto" w:sz="0" w:space="0"/>
                <w:bottom w:val="none" w:color="auto" w:sz="0" w:space="0"/>
                <w:right w:val="none" w:color="auto" w:sz="0" w:space="0"/>
              </w:pBdr>
              <w:wordWrap/>
              <w:spacing w:line="560" w:lineRule="exact"/>
              <w:ind w:left="0"/>
              <w:jc w:val="center"/>
              <w:rPr>
                <w:rFonts w:hint="default" w:ascii="仿宋_GB2312" w:hAnsi="仿宋" w:eastAsia="仿宋_GB2312" w:cs="仿宋_GB2312"/>
                <w:sz w:val="32"/>
                <w:szCs w:val="32"/>
                <w:lang w:val="en-US" w:eastAsia="zh-CN"/>
              </w:rPr>
            </w:pPr>
            <w:r>
              <w:rPr>
                <w:rFonts w:hint="eastAsia" w:ascii="仿宋_GB2312" w:hAnsi="仿宋" w:eastAsia="仿宋_GB2312" w:cs="仿宋_GB2312"/>
                <w:sz w:val="32"/>
                <w:szCs w:val="32"/>
                <w:lang w:val="en-US" w:eastAsia="zh-CN"/>
              </w:rPr>
              <w:t>巡察办主任</w:t>
            </w:r>
          </w:p>
        </w:tc>
        <w:tc>
          <w:tcPr>
            <w:tcW w:w="2867" w:type="dxa"/>
            <w:tcBorders>
              <w:left w:val="single" w:color="auto" w:sz="4" w:space="0"/>
            </w:tcBorders>
          </w:tcPr>
          <w:p w14:paraId="4620EE22">
            <w:pPr>
              <w:pBdr>
                <w:top w:val="none" w:color="auto" w:sz="0" w:space="0"/>
                <w:left w:val="none" w:color="auto" w:sz="0" w:space="0"/>
                <w:bottom w:val="none" w:color="auto" w:sz="0" w:space="0"/>
                <w:right w:val="none" w:color="auto" w:sz="0" w:space="0"/>
              </w:pBdr>
              <w:wordWrap/>
              <w:spacing w:line="560" w:lineRule="exact"/>
              <w:ind w:left="0"/>
              <w:jc w:val="center"/>
              <w:rPr>
                <w:rFonts w:hint="eastAsia" w:ascii="仿宋_GB2312" w:hAnsi="仿宋" w:eastAsia="仿宋_GB2312" w:cs="仿宋_GB2312"/>
                <w:sz w:val="32"/>
                <w:szCs w:val="32"/>
                <w:lang w:val="en-US" w:eastAsia="zh-CN"/>
              </w:rPr>
            </w:pPr>
            <w:r>
              <w:rPr>
                <w:rFonts w:hint="eastAsia" w:ascii="仿宋_GB2312" w:hAnsi="仿宋" w:eastAsia="仿宋_GB2312" w:cs="仿宋_GB2312"/>
                <w:sz w:val="32"/>
                <w:szCs w:val="32"/>
                <w:lang w:val="en-US" w:eastAsia="zh-CN"/>
              </w:rPr>
              <w:t>温建辉</w:t>
            </w:r>
          </w:p>
        </w:tc>
      </w:tr>
      <w:tr w14:paraId="7DA6B8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589" w:type="dxa"/>
            <w:vMerge w:val="continue"/>
          </w:tcPr>
          <w:p w14:paraId="2508684D"/>
        </w:tc>
        <w:tc>
          <w:tcPr>
            <w:tcW w:w="2265" w:type="dxa"/>
            <w:tcBorders>
              <w:left w:val="single" w:color="auto" w:sz="4" w:space="0"/>
            </w:tcBorders>
          </w:tcPr>
          <w:p w14:paraId="1329A5A1">
            <w:pPr>
              <w:pBdr>
                <w:top w:val="none" w:color="auto" w:sz="0" w:space="0"/>
                <w:left w:val="none" w:color="auto" w:sz="0" w:space="0"/>
                <w:bottom w:val="none" w:color="auto" w:sz="0" w:space="0"/>
                <w:right w:val="none" w:color="auto" w:sz="0" w:space="0"/>
              </w:pBdr>
              <w:wordWrap/>
              <w:spacing w:line="560" w:lineRule="exact"/>
              <w:ind w:left="0"/>
              <w:jc w:val="center"/>
              <w:rPr>
                <w:rFonts w:hint="default" w:ascii="仿宋_GB2312" w:hAnsi="仿宋" w:eastAsia="仿宋_GB2312" w:cs="仿宋_GB2312"/>
                <w:sz w:val="32"/>
                <w:szCs w:val="32"/>
                <w:lang w:val="en-US" w:eastAsia="zh-CN"/>
              </w:rPr>
            </w:pPr>
            <w:r>
              <w:rPr>
                <w:rFonts w:hint="eastAsia" w:ascii="仿宋_GB2312" w:hAnsi="仿宋" w:eastAsia="仿宋_GB2312" w:cs="仿宋_GB2312"/>
                <w:sz w:val="32"/>
                <w:szCs w:val="32"/>
                <w:lang w:val="en-US" w:eastAsia="zh-CN"/>
              </w:rPr>
              <w:t>巡察办副主任</w:t>
            </w:r>
          </w:p>
        </w:tc>
        <w:tc>
          <w:tcPr>
            <w:tcW w:w="2867" w:type="dxa"/>
            <w:tcBorders>
              <w:left w:val="single" w:color="auto" w:sz="4" w:space="0"/>
            </w:tcBorders>
          </w:tcPr>
          <w:p w14:paraId="70BBC39E">
            <w:pPr>
              <w:pBdr>
                <w:top w:val="none" w:color="auto" w:sz="0" w:space="0"/>
                <w:left w:val="none" w:color="auto" w:sz="0" w:space="0"/>
                <w:bottom w:val="none" w:color="auto" w:sz="0" w:space="0"/>
                <w:right w:val="none" w:color="auto" w:sz="0" w:space="0"/>
              </w:pBdr>
              <w:wordWrap/>
              <w:spacing w:line="560" w:lineRule="exact"/>
              <w:ind w:left="0"/>
              <w:jc w:val="center"/>
              <w:rPr>
                <w:rFonts w:hint="eastAsia" w:ascii="仿宋_GB2312" w:hAnsi="仿宋" w:eastAsia="仿宋_GB2312" w:cs="仿宋_GB2312"/>
                <w:sz w:val="32"/>
                <w:szCs w:val="32"/>
                <w:lang w:val="en-US" w:eastAsia="zh-CN"/>
              </w:rPr>
            </w:pPr>
            <w:r>
              <w:rPr>
                <w:rFonts w:hint="eastAsia" w:ascii="仿宋_GB2312" w:hAnsi="仿宋" w:eastAsia="仿宋_GB2312" w:cs="仿宋_GB2312"/>
                <w:sz w:val="32"/>
                <w:szCs w:val="32"/>
                <w:lang w:val="en-US" w:eastAsia="zh-CN"/>
              </w:rPr>
              <w:t>苏丹</w:t>
            </w:r>
          </w:p>
        </w:tc>
      </w:tr>
      <w:tr w14:paraId="4AAD49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589" w:type="dxa"/>
            <w:vMerge w:val="continue"/>
          </w:tcPr>
          <w:p w14:paraId="113D24BD"/>
        </w:tc>
        <w:tc>
          <w:tcPr>
            <w:tcW w:w="2265" w:type="dxa"/>
            <w:tcBorders>
              <w:left w:val="single" w:color="auto" w:sz="4" w:space="0"/>
            </w:tcBorders>
          </w:tcPr>
          <w:p w14:paraId="72E76826">
            <w:pPr>
              <w:pBdr>
                <w:top w:val="none" w:color="auto" w:sz="0" w:space="0"/>
                <w:left w:val="none" w:color="auto" w:sz="0" w:space="0"/>
                <w:bottom w:val="none" w:color="auto" w:sz="0" w:space="0"/>
                <w:right w:val="none" w:color="auto" w:sz="0" w:space="0"/>
              </w:pBdr>
              <w:wordWrap/>
              <w:spacing w:line="560" w:lineRule="exact"/>
              <w:ind w:left="0"/>
              <w:jc w:val="center"/>
              <w:rPr>
                <w:rFonts w:hint="eastAsia" w:ascii="仿宋_GB2312" w:hAnsi="仿宋" w:eastAsia="仿宋_GB2312" w:cs="仿宋_GB2312"/>
                <w:sz w:val="32"/>
                <w:szCs w:val="32"/>
                <w:lang w:val="en-US" w:eastAsia="zh-CN"/>
              </w:rPr>
            </w:pPr>
            <w:r>
              <w:rPr>
                <w:rFonts w:hint="eastAsia" w:ascii="仿宋_GB2312" w:hAnsi="仿宋" w:eastAsia="仿宋_GB2312" w:cs="仿宋_GB2312"/>
                <w:sz w:val="32"/>
                <w:szCs w:val="32"/>
                <w:lang w:val="en-US" w:eastAsia="zh-CN"/>
              </w:rPr>
              <w:t>一级科员</w:t>
            </w:r>
          </w:p>
        </w:tc>
        <w:tc>
          <w:tcPr>
            <w:tcW w:w="2867" w:type="dxa"/>
            <w:tcBorders>
              <w:left w:val="single" w:color="auto" w:sz="4" w:space="0"/>
            </w:tcBorders>
          </w:tcPr>
          <w:p w14:paraId="12D67A58">
            <w:pPr>
              <w:pBdr>
                <w:top w:val="none" w:color="auto" w:sz="0" w:space="0"/>
                <w:left w:val="none" w:color="auto" w:sz="0" w:space="0"/>
                <w:bottom w:val="none" w:color="auto" w:sz="0" w:space="0"/>
                <w:right w:val="none" w:color="auto" w:sz="0" w:space="0"/>
              </w:pBdr>
              <w:wordWrap/>
              <w:spacing w:line="560" w:lineRule="exact"/>
              <w:ind w:left="0"/>
              <w:jc w:val="center"/>
              <w:rPr>
                <w:rFonts w:hint="eastAsia" w:ascii="仿宋_GB2312" w:hAnsi="仿宋" w:eastAsia="仿宋_GB2312" w:cs="仿宋_GB2312"/>
                <w:sz w:val="32"/>
                <w:szCs w:val="32"/>
                <w:lang w:val="en-US" w:eastAsia="zh-CN"/>
              </w:rPr>
            </w:pPr>
            <w:r>
              <w:rPr>
                <w:rFonts w:hint="eastAsia" w:ascii="仿宋_GB2312" w:hAnsi="仿宋" w:eastAsia="仿宋_GB2312" w:cs="仿宋_GB2312"/>
                <w:sz w:val="32"/>
                <w:szCs w:val="32"/>
                <w:lang w:val="en-US" w:eastAsia="zh-CN"/>
              </w:rPr>
              <w:t>史嘉慧</w:t>
            </w:r>
          </w:p>
        </w:tc>
      </w:tr>
    </w:tbl>
    <w:p w14:paraId="38526132">
      <w:pPr>
        <w:keepNext w:val="0"/>
        <w:keepLines w:val="0"/>
        <w:pageBreakBefore w:val="0"/>
        <w:widowControl w:val="0"/>
        <w:kinsoku/>
        <w:wordWrap/>
        <w:overflowPunct/>
        <w:topLinePunct w:val="0"/>
        <w:autoSpaceDE/>
        <w:autoSpaceDN/>
        <w:bidi w:val="0"/>
        <w:adjustRightInd/>
        <w:snapToGrid w:val="0"/>
        <w:spacing w:line="560" w:lineRule="exact"/>
        <w:ind w:right="0"/>
        <w:textAlignment w:val="auto"/>
        <w:outlineLvl w:val="9"/>
        <w:rPr>
          <w:rFonts w:hint="eastAsia" w:ascii="仿宋_GB2312" w:hAnsi="仿宋_GB2312" w:eastAsia="仿宋_GB2312" w:cs="仿宋_GB2312"/>
          <w:sz w:val="32"/>
          <w:szCs w:val="32"/>
          <w:lang w:eastAsia="zh-CN"/>
        </w:rPr>
      </w:pPr>
    </w:p>
    <w:sectPr>
      <w:headerReference r:id="rId3" w:type="default"/>
      <w:footerReference r:id="rId4" w:type="default"/>
      <w:pgSz w:w="11906" w:h="16838"/>
      <w:pgMar w:top="2098" w:right="1474" w:bottom="1984" w:left="1587" w:header="851" w:footer="992" w:gutter="0"/>
      <w:pgNumType w:fmt="numberInDash"/>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840E79D7-2448-4FF7-AC9F-86819E3BF635}"/>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仿宋_GBK">
    <w:altName w:val="微软雅黑"/>
    <w:panose1 w:val="02000000000000000000"/>
    <w:charset w:val="86"/>
    <w:family w:val="script"/>
    <w:pitch w:val="default"/>
    <w:sig w:usb0="00000000" w:usb1="00000000" w:usb2="00082016" w:usb3="00000000" w:csb0="00040001" w:csb1="00000000"/>
  </w:font>
  <w:font w:name="微软雅黑">
    <w:panose1 w:val="020B0503020204020204"/>
    <w:charset w:val="86"/>
    <w:family w:val="auto"/>
    <w:pitch w:val="default"/>
    <w:sig w:usb0="80000287" w:usb1="2ACF3C50" w:usb2="00000016" w:usb3="00000000" w:csb0="0004001F" w:csb1="00000000"/>
    <w:embedRegular r:id="rId2" w:fontKey="{7BA5700B-F221-40DC-83BF-37C805D7577E}"/>
  </w:font>
  <w:font w:name="方正小标宋_GBK">
    <w:panose1 w:val="03000509000000000000"/>
    <w:charset w:val="86"/>
    <w:family w:val="auto"/>
    <w:pitch w:val="default"/>
    <w:sig w:usb0="00000001" w:usb1="080E0000" w:usb2="00000000" w:usb3="00000000" w:csb0="00040000" w:csb1="00000000"/>
    <w:embedRegular r:id="rId3" w:fontKey="{4E11C1B6-FB77-45CB-A39C-6F856183221B}"/>
  </w:font>
  <w:font w:name="仿宋_GB2312">
    <w:panose1 w:val="02010609030101010101"/>
    <w:charset w:val="86"/>
    <w:family w:val="auto"/>
    <w:pitch w:val="default"/>
    <w:sig w:usb0="00000001" w:usb1="080E0000" w:usb2="00000000" w:usb3="00000000" w:csb0="00040000" w:csb1="00000000"/>
    <w:embedRegular r:id="rId4" w:fontKey="{A8475B6D-CE16-47C2-A30E-6F1A7737FC8E}"/>
  </w:font>
  <w:font w:name="楷体_GB2312">
    <w:panose1 w:val="02010609030101010101"/>
    <w:charset w:val="86"/>
    <w:family w:val="auto"/>
    <w:pitch w:val="default"/>
    <w:sig w:usb0="00000001" w:usb1="080E0000" w:usb2="00000000" w:usb3="00000000" w:csb0="00040000" w:csb1="00000000"/>
    <w:embedRegular r:id="rId5" w:fontKey="{24BF5D40-C632-46D2-A453-BAAAA9E5BF40}"/>
  </w:font>
  <w:font w:name="仿宋">
    <w:panose1 w:val="02010609060101010101"/>
    <w:charset w:val="86"/>
    <w:family w:val="auto"/>
    <w:pitch w:val="default"/>
    <w:sig w:usb0="800002BF" w:usb1="38CF7CFA" w:usb2="00000016" w:usb3="00000000" w:csb0="00040001" w:csb1="00000000"/>
    <w:embedRegular r:id="rId6" w:fontKey="{C04D9C88-D33A-4FFA-BBEC-579C88D1505E}"/>
  </w:font>
  <w:font w:name="楷体">
    <w:panose1 w:val="02010609060101010101"/>
    <w:charset w:val="86"/>
    <w:family w:val="auto"/>
    <w:pitch w:val="default"/>
    <w:sig w:usb0="800002BF" w:usb1="38CF7CFA" w:usb2="00000016" w:usb3="00000000" w:csb0="00040001" w:csb1="00000000"/>
    <w:embedRegular r:id="rId7" w:fontKey="{3676943B-DD37-4401-B0AD-3BEE5B20C5F2}"/>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1940F4C">
    <w:r>
      <w:rPr>
        <w:rFonts w:ascii="Times New Roman" w:hAnsi="Times New Roman" w:eastAsia="宋体" w:cs="Times New Roman"/>
        <w:kern w:val="2"/>
        <w:sz w:val="21"/>
        <w:szCs w:val="24"/>
        <w:lang w:val="en-US" w:eastAsia="zh-CN" w:bidi="ar-SA"/>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222250" cy="153035"/>
              <wp:effectExtent l="0" t="0" r="0" b="0"/>
              <wp:wrapNone/>
              <wp:docPr id="1" name="Quad Arrow 3073"/>
              <wp:cNvGraphicFramePr/>
              <a:graphic xmlns:a="http://schemas.openxmlformats.org/drawingml/2006/main">
                <a:graphicData uri="http://schemas.microsoft.com/office/word/2010/wordprocessingShape">
                  <wps:wsp>
                    <wps:cNvSpPr/>
                    <wps:spPr>
                      <a:xfrm>
                        <a:off x="0" y="0"/>
                        <a:ext cx="222163" cy="153339"/>
                      </a:xfrm>
                      <a:prstGeom prst="rect">
                        <a:avLst/>
                      </a:prstGeom>
                      <a:noFill/>
                      <a:ln cap="flat" cmpd="sng">
                        <a:noFill/>
                        <a:prstDash val="solid"/>
                        <a:round/>
                      </a:ln>
                    </wps:spPr>
                    <wps:txbx>
                      <w:txbxContent>
                        <w:p w14:paraId="538B406F">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wps:txbx>
                    <wps:bodyPr vert="horz" wrap="none" lIns="0" tIns="0" rIns="0" bIns="0" anchor="t" anchorCtr="0" upright="1">
                      <a:spAutoFit/>
                    </wps:bodyPr>
                  </wps:wsp>
                </a:graphicData>
              </a:graphic>
            </wp:anchor>
          </w:drawing>
        </mc:Choice>
        <mc:Fallback>
          <w:pict>
            <v:rect id="Quad Arrow 3073" o:spid="_x0000_s1026" o:spt="1" style="position:absolute;left:0pt;margin-top:0pt;height:12.05pt;width:17.5pt;mso-position-horizontal:center;mso-position-horizontal-relative:margin;mso-wrap-style:none;z-index:251659264;mso-width-relative:page;mso-height-relative:page;" filled="f" stroked="f" coordsize="21600,21600" o:gfxdata="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">
              <v:fill on="f" focussize="0,0"/>
              <v:stroke on="f" joinstyle="round"/>
              <v:imagedata o:title=""/>
              <o:lock v:ext="edit" aspectratio="f"/>
              <v:textbox inset="0mm,0mm,0mm,0mm" style="mso-fit-shape-to-text:t;">
                <w:txbxContent>
                  <w:p w14:paraId="538B406F">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v:textbox>
            </v:rect>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1797871">
    <w:pPr>
      <w:pStyle w:val="6"/>
      <w:pBdr>
        <w:bottom w:val="none" w:color="auto" w:sz="0" w:space="1"/>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8E0822F"/>
    <w:multiLevelType w:val="singleLevel"/>
    <w:tmpl w:val="98E0822F"/>
    <w:lvl w:ilvl="0" w:tentative="0">
      <w:start w:val="2"/>
      <w:numFmt w:val="chineseCounting"/>
      <w:suff w:val="nothing"/>
      <w:lvlText w:val="%1、"/>
      <w:lvlJc w:val="left"/>
      <w:rPr>
        <w:rFonts w:hint="eastAsia"/>
      </w:rPr>
    </w:lvl>
  </w:abstractNum>
  <w:abstractNum w:abstractNumId="1">
    <w:nsid w:val="9F7726C1"/>
    <w:multiLevelType w:val="singleLevel"/>
    <w:tmpl w:val="9F7726C1"/>
    <w:lvl w:ilvl="0" w:tentative="0">
      <w:start w:val="1"/>
      <w:numFmt w:val="chineseCounting"/>
      <w:suff w:val="nothing"/>
      <w:lvlText w:val="（%1）"/>
      <w:lvlJc w:val="left"/>
      <w:rPr>
        <w:rFonts w:hint="eastAsia"/>
      </w:rPr>
    </w:lvl>
  </w:abstractNum>
  <w:abstractNum w:abstractNumId="2">
    <w:nsid w:val="D068E24F"/>
    <w:multiLevelType w:val="singleLevel"/>
    <w:tmpl w:val="D068E24F"/>
    <w:lvl w:ilvl="0" w:tentative="0">
      <w:start w:val="3"/>
      <w:numFmt w:val="chineseCounting"/>
      <w:suff w:val="nothing"/>
      <w:lvlText w:val="（%1）"/>
      <w:lvlJc w:val="left"/>
      <w:rPr>
        <w:rFonts w:hint="eastAsia"/>
      </w:rPr>
    </w:lvl>
  </w:abstractNum>
  <w:abstractNum w:abstractNumId="3">
    <w:nsid w:val="330718AF"/>
    <w:multiLevelType w:val="singleLevel"/>
    <w:tmpl w:val="330718AF"/>
    <w:lvl w:ilvl="0" w:tentative="0">
      <w:start w:val="5"/>
      <w:numFmt w:val="chineseCounting"/>
      <w:suff w:val="nothing"/>
      <w:lvlText w:val="%1、"/>
      <w:lvlJc w:val="left"/>
      <w:rPr>
        <w:rFonts w:hint="eastAsia"/>
      </w:rPr>
    </w:lvl>
  </w:abstractNum>
  <w:num w:numId="1">
    <w:abstractNumId w:val="2"/>
  </w:num>
  <w:num w:numId="2">
    <w:abstractNumId w:val="0"/>
  </w:num>
  <w:num w:numId="3">
    <w:abstractNumId w:val="3"/>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TrueTypeFonts/>
  <w:saveSubsetFonts/>
  <w:bordersDoNotSurroundHeader w:val="0"/>
  <w:bordersDoNotSurroundFooter w:val="0"/>
  <w:documentProtection w:enforcement="0"/>
  <w:defaultTabStop w:val="420"/>
  <w:drawingGridHorizontalSpacing w:val="105"/>
  <w:drawingGridVerticalSpacing w:val="156"/>
  <w:displayHorizontalDrawingGridEvery w:val="1"/>
  <w:displayVerticalDrawingGridEvery w:val="1"/>
  <w:noPunctuationKerning w:val="1"/>
  <w:characterSpacingControl w:val="compressPunctuation"/>
  <w:compat>
    <w:spaceForUL/>
    <w:balanceSingleByteDoubleByteWidth/>
    <w:ulTrailSpace/>
    <w:doNotExpandShiftReturn/>
    <w:adjustLineHeightInTable/>
    <w:doNotWrapTextWithPunct/>
    <w:doNotUseEastAsianBreakRules/>
    <w:useFELayout/>
    <w:compatSetting w:name="compatibilityMode" w:uri="http://schemas.microsoft.com/office/word" w:val="14"/>
  </w:compat>
  <w:docVars>
    <w:docVar w:name="commondata" w:val="eyJoZGlkIjoiNGE2ZDVhYjFkNzNmZjA0ZTExM2M2ODcxZGVjNWRjNGEifQ=="/>
  </w:docVars>
  <w:rsids>
    <w:rsidRoot w:val="00000000"/>
    <w:rsid w:val="02B1196D"/>
    <w:rsid w:val="134F6B82"/>
    <w:rsid w:val="13955CCA"/>
    <w:rsid w:val="3DDE37D0"/>
    <w:rsid w:val="44AF3435"/>
    <w:rsid w:val="4CA76A12"/>
    <w:rsid w:val="532A1D63"/>
    <w:rsid w:val="58B8456C"/>
    <w:rsid w:val="61F01D56"/>
    <w:rsid w:val="68053BAC"/>
    <w:rsid w:val="6920685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2">
    <w:name w:val="heading 1"/>
    <w:basedOn w:val="1"/>
    <w:next w:val="1"/>
    <w:link w:val="10"/>
    <w:qFormat/>
    <w:uiPriority w:val="0"/>
    <w:pPr>
      <w:keepNext/>
      <w:keepLines/>
      <w:spacing w:before="340" w:after="330" w:line="578" w:lineRule="auto"/>
      <w:outlineLvl w:val="0"/>
    </w:pPr>
    <w:rPr>
      <w:b/>
      <w:bCs/>
      <w:kern w:val="44"/>
      <w:sz w:val="44"/>
      <w:szCs w:val="44"/>
    </w:rPr>
  </w:style>
  <w:style w:type="paragraph" w:styleId="3">
    <w:name w:val="heading 2"/>
    <w:basedOn w:val="1"/>
    <w:next w:val="1"/>
    <w:link w:val="11"/>
    <w:qFormat/>
    <w:uiPriority w:val="0"/>
    <w:pPr>
      <w:keepNext/>
      <w:keepLines/>
      <w:spacing w:before="260" w:after="260" w:line="415" w:lineRule="auto"/>
      <w:outlineLvl w:val="1"/>
    </w:pPr>
    <w:rPr>
      <w:rFonts w:ascii="Times New Roman" w:hAnsi="Times New Roman" w:eastAsia="黑体"/>
      <w:b/>
      <w:bCs/>
      <w:sz w:val="32"/>
      <w:szCs w:val="32"/>
    </w:rPr>
  </w:style>
  <w:style w:type="paragraph" w:styleId="4">
    <w:name w:val="heading 3"/>
    <w:basedOn w:val="1"/>
    <w:next w:val="1"/>
    <w:link w:val="12"/>
    <w:qFormat/>
    <w:uiPriority w:val="0"/>
    <w:pPr>
      <w:keepNext/>
      <w:keepLines/>
      <w:spacing w:before="260" w:after="260" w:line="415" w:lineRule="auto"/>
      <w:outlineLvl w:val="2"/>
    </w:pPr>
    <w:rPr>
      <w:b/>
      <w:bCs/>
      <w:sz w:val="32"/>
      <w:szCs w:val="32"/>
    </w:rPr>
  </w:style>
  <w:style w:type="character" w:default="1" w:styleId="9">
    <w:name w:val="Default Paragraph Font"/>
    <w:qFormat/>
    <w:uiPriority w:val="0"/>
  </w:style>
  <w:style w:type="table" w:default="1" w:styleId="8">
    <w:name w:val="Normal Table"/>
    <w:semiHidden/>
    <w:qFormat/>
    <w:uiPriority w:val="0"/>
    <w:tblPr>
      <w:tblCellMar>
        <w:top w:w="0" w:type="dxa"/>
        <w:left w:w="108" w:type="dxa"/>
        <w:bottom w:w="0" w:type="dxa"/>
        <w:right w:w="108" w:type="dxa"/>
      </w:tblCellMar>
    </w:tblPr>
  </w:style>
  <w:style w:type="paragraph" w:styleId="5">
    <w:name w:val="footer"/>
    <w:basedOn w:val="1"/>
    <w:qFormat/>
    <w:uiPriority w:val="0"/>
    <w:pPr>
      <w:tabs>
        <w:tab w:val="center" w:pos="4153"/>
        <w:tab w:val="right" w:pos="8306"/>
      </w:tabs>
      <w:snapToGrid w:val="0"/>
      <w:jc w:val="left"/>
    </w:pPr>
    <w:rPr>
      <w:sz w:val="18"/>
      <w:szCs w:val="18"/>
    </w:rPr>
  </w:style>
  <w:style w:type="paragraph" w:styleId="6">
    <w:name w:val="header"/>
    <w:basedOn w:val="1"/>
    <w:qFormat/>
    <w:uiPriority w:val="0"/>
    <w:pPr>
      <w:pBdr>
        <w:bottom w:val="single" w:color="auto" w:sz="6" w:space="1"/>
      </w:pBdr>
      <w:tabs>
        <w:tab w:val="center" w:pos="4153"/>
        <w:tab w:val="right" w:pos="8306"/>
      </w:tabs>
      <w:snapToGrid w:val="0"/>
      <w:jc w:val="center"/>
    </w:pPr>
    <w:rPr>
      <w:sz w:val="18"/>
      <w:szCs w:val="18"/>
    </w:rPr>
  </w:style>
  <w:style w:type="paragraph" w:styleId="7">
    <w:name w:val="Normal (Web)"/>
    <w:basedOn w:val="1"/>
    <w:qFormat/>
    <w:uiPriority w:val="0"/>
    <w:pPr>
      <w:spacing w:before="0" w:beforeAutospacing="1" w:after="0" w:afterAutospacing="1"/>
      <w:ind w:left="0" w:right="0"/>
      <w:jc w:val="left"/>
    </w:pPr>
    <w:rPr>
      <w:kern w:val="0"/>
      <w:sz w:val="24"/>
      <w:lang w:val="en-US" w:eastAsia="zh-CN" w:bidi="ar"/>
    </w:rPr>
  </w:style>
  <w:style w:type="character" w:customStyle="1" w:styleId="10">
    <w:name w:val="heading 1 Char"/>
    <w:basedOn w:val="9"/>
    <w:link w:val="2"/>
    <w:qFormat/>
    <w:uiPriority w:val="0"/>
    <w:rPr>
      <w:rFonts w:ascii="Times New Roman" w:hAnsi="Times New Roman" w:eastAsia="宋体" w:cs="Times New Roman"/>
      <w:b/>
      <w:bCs/>
      <w:kern w:val="44"/>
      <w:sz w:val="44"/>
      <w:szCs w:val="44"/>
      <w:lang w:val="en-US" w:eastAsia="zh-CN" w:bidi="ar-SA"/>
    </w:rPr>
  </w:style>
  <w:style w:type="character" w:customStyle="1" w:styleId="11">
    <w:name w:val="heading 2 Char"/>
    <w:basedOn w:val="9"/>
    <w:link w:val="3"/>
    <w:qFormat/>
    <w:uiPriority w:val="0"/>
    <w:rPr>
      <w:rFonts w:ascii="Times New Roman" w:hAnsi="Times New Roman" w:eastAsia="黑体" w:cs="Times New Roman"/>
      <w:b/>
      <w:bCs/>
      <w:kern w:val="2"/>
      <w:sz w:val="32"/>
      <w:szCs w:val="32"/>
      <w:lang w:val="en-US" w:eastAsia="zh-CN" w:bidi="ar-SA"/>
    </w:rPr>
  </w:style>
  <w:style w:type="character" w:customStyle="1" w:styleId="12">
    <w:name w:val="heading 3 Char"/>
    <w:basedOn w:val="9"/>
    <w:link w:val="4"/>
    <w:qFormat/>
    <w:uiPriority w:val="0"/>
    <w:rPr>
      <w:rFonts w:ascii="Times New Roman" w:hAnsi="Times New Roman" w:eastAsia="宋体" w:cs="Times New Roman"/>
      <w:b/>
      <w:bCs/>
      <w:kern w:val="2"/>
      <w:sz w:val="32"/>
      <w:szCs w:val="32"/>
      <w:lang w:val="en-US" w:eastAsia="zh-CN" w:bidi="ar-SA"/>
    </w:rPr>
  </w:style>
  <w:style w:type="paragraph" w:styleId="13">
    <w:name w:val="List Paragraph"/>
    <w:basedOn w:val="1"/>
    <w:unhideWhenUsed/>
    <w:qFormat/>
    <w:uiPriority w:val="99"/>
    <w:pPr>
      <w:ind w:firstLine="420" w:firstLineChars="200"/>
    </w:pPr>
  </w:style>
  <w:style w:type="paragraph" w:customStyle="1" w:styleId="1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主题​​">
  <a:themeElements>
    <a:clrScheme name="Office 主题​​">
      <a:dk1>
        <a:srgbClr val="000000"/>
      </a:dk1>
      <a:lt1>
        <a:srgbClr val="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主题​​">
      <a:majorFont>
        <a:latin typeface=""/>
        <a:ea typeface=""/>
        <a:cs typeface=""/>
      </a:majorFont>
      <a:minorFont>
        <a:latin typeface=""/>
        <a:ea typeface=""/>
        <a:cs typeface=""/>
      </a:minorFont>
    </a:fontScheme>
    <a:fmtScheme name="Office 主题​​">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1"/>
        </a:gradFill>
      </a:fillStyleLst>
      <a:lnStyleLst>
        <a:ln w="9525" cap="flat" cmpd="sng">
          <a:solidFill>
            <a:schemeClr val="phClr">
              <a:shade val="95000"/>
              <a:satMod val="105000"/>
            </a:schemeClr>
          </a:solidFill>
          <a:prstDash val="solid"/>
          <a:round/>
        </a:ln>
        <a:ln w="25400" cap="flat" cmpd="sng">
          <a:solidFill>
            <a:schemeClr val="phClr"/>
          </a:solidFill>
          <a:prstDash val="solid"/>
          <a:round/>
        </a:ln>
        <a:ln w="38100" cap="flat" cmpd="sng">
          <a:solidFill>
            <a:schemeClr val="phClr"/>
          </a:solidFill>
          <a:prstDash val="solid"/>
          <a:round/>
        </a:ln>
      </a:lnStyleLst>
      <a:effectStyleLst>
        <a:effectStyle>
          <a:effectLst>
            <a:outerShdw blurRad="40000" dist="20000" dir="5400000" rotWithShape="0">
              <a:srgbClr val="000000">
                <a:alpha val="37647"/>
              </a:srgbClr>
            </a:outerShdw>
          </a:effectLst>
        </a:effectStyle>
        <a:effectStyle>
          <a:effectLst>
            <a:outerShdw blurRad="40000" dist="23000" dir="5400000" rotWithShape="0">
              <a:srgbClr val="000000">
                <a:alpha val="34509"/>
              </a:srgbClr>
            </a:outerShdw>
          </a:effectLst>
        </a:effectStyle>
        <a:effectStyle>
          <a:effectLst>
            <a:outerShdw blurRad="40000" dist="23000" dir="5400000" rotWithShape="0">
              <a:srgbClr val="000000">
                <a:alpha val="34509"/>
              </a:srgbClr>
            </a:outerShdw>
          </a:effectLst>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50000" r="50000" b="50000"/>
          </a:path>
          <a:tileRect/>
        </a:gradFill>
        <a:gradFill rotWithShape="1">
          <a:gsLst>
            <a:gs pos="0">
              <a:schemeClr val="phClr">
                <a:tint val="80000"/>
                <a:satMod val="300000"/>
              </a:schemeClr>
            </a:gs>
            <a:gs pos="100000">
              <a:schemeClr val="phClr">
                <a:shade val="30000"/>
                <a:satMod val="200000"/>
              </a:schemeClr>
            </a:gs>
          </a:gsLst>
          <a:path path="circle">
            <a:fillToRect l="50000" t="50000" r="50000" b="50000"/>
          </a:path>
          <a:tileRect/>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Normal.eit</Template>
  <Company>Lenovo</Company>
  <Pages>5</Pages>
  <Words>1847</Words>
  <Characters>1912</Characters>
  <Lines>0</Lines>
  <Paragraphs>31</Paragraphs>
  <TotalTime>1</TotalTime>
  <ScaleCrop>false</ScaleCrop>
  <LinksUpToDate>false</LinksUpToDate>
  <CharactersWithSpaces>1912</CharactersWithSpaces>
  <Application>WPS Office_12.1.0.20784_F1E327BC-269C-435d-A152-05C5408002CA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2019-11-14T00:58:00Z</dcterms:created>
  <dc:creator>user</dc:creator>
  <cp:lastModifiedBy>13323011735</cp:lastModifiedBy>
  <cp:lastPrinted>2021-02-24T05:43:00Z</cp:lastPrinted>
  <dcterms:modified xsi:type="dcterms:W3CDTF">2025-05-07T06:34:21Z</dcterms:modified>
  <dc:title>附件2： </dc:title>
  <cp:revision>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2052-12.1.0.20784</vt:lpwstr>
  </property>
  <property fmtid="{D5CDD505-2E9C-101B-9397-08002B2CF9AE}" pid="3" name="ICV">
    <vt:lpwstr>28C64EFCB758481798A31117B3E7B5E3</vt:lpwstr>
  </property>
  <property fmtid="{D5CDD505-2E9C-101B-9397-08002B2CF9AE}" pid="4" name="KSOTemplateDocerSaveRecord">
    <vt:lpwstr>eyJoZGlkIjoiMWNkMjJhZjg2MzEyYjE2NmU0OWE2ODk0M2JlNWY4MjkiLCJ1c2VySWQiOiIxNTUwMjQwMDk2In0=</vt:lpwstr>
  </property>
</Properties>
</file>