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val="0"/>
        <w:snapToGrid w:val="0"/>
        <w:spacing w:line="560" w:lineRule="exact"/>
        <w:textAlignment w:val="auto"/>
        <w:rPr>
          <w:rFonts w:hint="eastAsia" w:ascii="黑体" w:hAnsi="黑体" w:eastAsia="黑体" w:cs="黑体"/>
          <w:sz w:val="32"/>
          <w:szCs w:val="32"/>
          <w:lang w:val="en-US" w:eastAsia="zh-CN"/>
        </w:rPr>
      </w:pPr>
      <w:r>
        <w:rPr>
          <w:rFonts w:hint="eastAsia" w:ascii="黑体" w:hAnsi="黑体" w:eastAsia="黑体" w:cs="黑体"/>
          <w:sz w:val="32"/>
          <w:szCs w:val="32"/>
        </w:rPr>
        <w:t>附件</w:t>
      </w:r>
      <w:r>
        <w:rPr>
          <w:rFonts w:hint="eastAsia" w:ascii="黑体" w:hAnsi="黑体" w:eastAsia="黑体" w:cs="黑体"/>
          <w:sz w:val="32"/>
          <w:szCs w:val="32"/>
          <w:lang w:val="en-US" w:eastAsia="zh-CN"/>
        </w:rPr>
        <w:t>4</w:t>
      </w:r>
    </w:p>
    <w:p>
      <w:pPr>
        <w:keepNext w:val="0"/>
        <w:keepLines w:val="0"/>
        <w:pageBreakBefore w:val="0"/>
        <w:widowControl w:val="0"/>
        <w:kinsoku/>
        <w:wordWrap/>
        <w:overflowPunct/>
        <w:topLinePunct w:val="0"/>
        <w:autoSpaceDE/>
        <w:autoSpaceDN/>
        <w:bidi w:val="0"/>
        <w:adjustRightInd w:val="0"/>
        <w:snapToGrid w:val="0"/>
        <w:spacing w:line="560" w:lineRule="exact"/>
        <w:textAlignment w:val="auto"/>
        <w:rPr>
          <w:rFonts w:hint="eastAsia" w:ascii="黑体" w:hAnsi="黑体" w:eastAsia="黑体" w:cs="黑体"/>
          <w:sz w:val="32"/>
          <w:szCs w:val="32"/>
          <w:lang w:val="en-US" w:eastAsia="zh-CN"/>
        </w:rPr>
      </w:pPr>
    </w:p>
    <w:p>
      <w:pPr>
        <w:keepNext w:val="0"/>
        <w:keepLines w:val="0"/>
        <w:pageBreakBefore w:val="0"/>
        <w:widowControl w:val="0"/>
        <w:kinsoku/>
        <w:wordWrap/>
        <w:overflowPunct/>
        <w:topLinePunct w:val="0"/>
        <w:autoSpaceDE/>
        <w:autoSpaceDN/>
        <w:bidi w:val="0"/>
        <w:adjustRightInd/>
        <w:snapToGrid w:val="0"/>
        <w:spacing w:line="560" w:lineRule="exact"/>
        <w:ind w:left="0" w:right="0"/>
        <w:jc w:val="center"/>
        <w:textAlignment w:val="auto"/>
        <w:outlineLvl w:val="9"/>
        <w:rPr>
          <w:rFonts w:hint="eastAsia" w:ascii="方正小标宋简体" w:hAnsi="方正小标宋简体" w:eastAsia="方正小标宋简体" w:cs="方正小标宋简体"/>
          <w:b w:val="0"/>
          <w:bCs w:val="0"/>
          <w:sz w:val="44"/>
          <w:szCs w:val="44"/>
          <w:lang w:val="en-US"/>
        </w:rPr>
      </w:pPr>
      <w:r>
        <w:rPr>
          <w:rFonts w:hint="eastAsia" w:ascii="方正小标宋简体" w:hAnsi="方正小标宋简体" w:eastAsia="方正小标宋简体" w:cs="方正小标宋简体"/>
          <w:b w:val="0"/>
          <w:bCs w:val="0"/>
          <w:sz w:val="44"/>
          <w:szCs w:val="44"/>
          <w:lang w:val="en-US" w:eastAsia="zh-CN"/>
        </w:rPr>
        <w:t>石家庄市藁城区应急管理局</w:t>
      </w:r>
    </w:p>
    <w:p>
      <w:pPr>
        <w:keepNext w:val="0"/>
        <w:keepLines w:val="0"/>
        <w:pageBreakBefore w:val="0"/>
        <w:widowControl w:val="0"/>
        <w:kinsoku/>
        <w:wordWrap/>
        <w:overflowPunct/>
        <w:topLinePunct w:val="0"/>
        <w:autoSpaceDE/>
        <w:autoSpaceDN/>
        <w:bidi w:val="0"/>
        <w:adjustRightInd/>
        <w:snapToGrid w:val="0"/>
        <w:spacing w:line="560" w:lineRule="exact"/>
        <w:ind w:left="0" w:right="0"/>
        <w:jc w:val="center"/>
        <w:textAlignment w:val="auto"/>
        <w:outlineLvl w:val="9"/>
        <w:rPr>
          <w:rFonts w:hint="eastAsia" w:ascii="仿宋_GB2312" w:hAnsi="仿宋_GB2312" w:eastAsia="仿宋_GB2312" w:cs="仿宋_GB2312"/>
          <w:sz w:val="32"/>
          <w:szCs w:val="32"/>
        </w:rPr>
      </w:pPr>
      <w:r>
        <w:rPr>
          <w:rFonts w:hint="eastAsia" w:ascii="方正小标宋简体" w:hAnsi="方正小标宋简体" w:eastAsia="方正小标宋简体" w:cs="方正小标宋简体"/>
          <w:b w:val="0"/>
          <w:bCs w:val="0"/>
          <w:sz w:val="44"/>
          <w:szCs w:val="44"/>
        </w:rPr>
        <w:t>2024年度整体支出绩效自评报告</w:t>
      </w:r>
    </w:p>
    <w:p>
      <w:pPr>
        <w:keepNext w:val="0"/>
        <w:keepLines w:val="0"/>
        <w:pageBreakBefore w:val="0"/>
        <w:widowControl w:val="0"/>
        <w:kinsoku/>
        <w:wordWrap/>
        <w:overflowPunct/>
        <w:topLinePunct w:val="0"/>
        <w:autoSpaceDE/>
        <w:autoSpaceDN/>
        <w:bidi w:val="0"/>
        <w:adjustRightInd/>
        <w:snapToGrid w:val="0"/>
        <w:spacing w:line="560" w:lineRule="exact"/>
        <w:ind w:left="0" w:right="0"/>
        <w:jc w:val="center"/>
        <w:textAlignment w:val="auto"/>
        <w:outlineLvl w:val="9"/>
        <w:rPr>
          <w:rFonts w:hint="eastAsia" w:ascii="仿宋_GB2312" w:hAnsi="仿宋_GB2312" w:eastAsia="仿宋_GB2312" w:cs="仿宋_GB2312"/>
          <w:sz w:val="32"/>
          <w:szCs w:val="32"/>
        </w:rPr>
      </w:pP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sz w:val="32"/>
          <w:szCs w:val="32"/>
          <w:highlight w:val="none"/>
          <w:lang w:eastAsia="zh-CN"/>
        </w:rPr>
      </w:pPr>
      <w:r>
        <w:rPr>
          <w:rFonts w:hint="eastAsia" w:ascii="仿宋" w:hAnsi="仿宋" w:eastAsia="仿宋" w:cs="仿宋"/>
          <w:sz w:val="32"/>
          <w:szCs w:val="32"/>
          <w:lang w:eastAsia="zh-CN"/>
        </w:rPr>
        <w:t>贯彻落实</w:t>
      </w:r>
      <w:r>
        <w:rPr>
          <w:rFonts w:hint="eastAsia" w:ascii="仿宋" w:hAnsi="仿宋" w:eastAsia="仿宋" w:cs="仿宋"/>
          <w:sz w:val="32"/>
          <w:szCs w:val="32"/>
          <w:highlight w:val="none"/>
          <w:lang w:eastAsia="zh-CN"/>
        </w:rPr>
        <w:t>区委区政府</w:t>
      </w:r>
      <w:r>
        <w:rPr>
          <w:rFonts w:hint="eastAsia" w:ascii="仿宋" w:hAnsi="仿宋" w:eastAsia="仿宋" w:cs="仿宋"/>
          <w:sz w:val="32"/>
          <w:szCs w:val="32"/>
          <w:highlight w:val="none"/>
        </w:rPr>
        <w:t>《</w:t>
      </w:r>
      <w:r>
        <w:rPr>
          <w:rFonts w:hint="eastAsia" w:ascii="仿宋" w:hAnsi="仿宋" w:eastAsia="仿宋" w:cs="仿宋"/>
          <w:sz w:val="32"/>
          <w:szCs w:val="32"/>
          <w:highlight w:val="none"/>
          <w:lang w:eastAsia="zh-CN"/>
        </w:rPr>
        <w:t>关于全面落实预算绩效管理的实施意见</w:t>
      </w:r>
      <w:r>
        <w:rPr>
          <w:rFonts w:hint="eastAsia" w:ascii="仿宋" w:hAnsi="仿宋" w:eastAsia="仿宋" w:cs="仿宋"/>
          <w:sz w:val="32"/>
          <w:szCs w:val="32"/>
          <w:highlight w:val="none"/>
        </w:rPr>
        <w:t>》（</w:t>
      </w:r>
      <w:r>
        <w:rPr>
          <w:rFonts w:hint="eastAsia" w:ascii="仿宋" w:hAnsi="仿宋" w:eastAsia="仿宋" w:cs="仿宋"/>
          <w:sz w:val="32"/>
          <w:szCs w:val="32"/>
          <w:highlight w:val="none"/>
          <w:lang w:eastAsia="zh-CN"/>
        </w:rPr>
        <w:t>藁发</w:t>
      </w:r>
      <w:r>
        <w:rPr>
          <w:rFonts w:hint="eastAsia" w:ascii="仿宋" w:hAnsi="仿宋" w:eastAsia="仿宋" w:cs="仿宋"/>
          <w:sz w:val="32"/>
          <w:szCs w:val="32"/>
          <w:highlight w:val="none"/>
        </w:rPr>
        <w:t>〔</w:t>
      </w:r>
      <w:r>
        <w:rPr>
          <w:rFonts w:hint="eastAsia" w:ascii="仿宋" w:hAnsi="仿宋" w:eastAsia="仿宋" w:cs="仿宋"/>
          <w:sz w:val="32"/>
          <w:szCs w:val="32"/>
          <w:highlight w:val="none"/>
          <w:lang w:eastAsia="zh-CN"/>
        </w:rPr>
        <w:t>2019</w:t>
      </w:r>
      <w:r>
        <w:rPr>
          <w:rFonts w:hint="eastAsia" w:ascii="仿宋" w:hAnsi="仿宋" w:eastAsia="仿宋" w:cs="仿宋"/>
          <w:sz w:val="32"/>
          <w:szCs w:val="32"/>
          <w:highlight w:val="none"/>
        </w:rPr>
        <w:t>〕</w:t>
      </w:r>
      <w:r>
        <w:rPr>
          <w:rFonts w:hint="eastAsia" w:ascii="仿宋" w:hAnsi="仿宋" w:eastAsia="仿宋" w:cs="仿宋"/>
          <w:sz w:val="32"/>
          <w:szCs w:val="32"/>
          <w:highlight w:val="none"/>
          <w:lang w:val="en-US" w:eastAsia="zh-CN"/>
        </w:rPr>
        <w:t>9</w:t>
      </w:r>
      <w:r>
        <w:rPr>
          <w:rFonts w:hint="eastAsia" w:ascii="仿宋" w:hAnsi="仿宋" w:eastAsia="仿宋" w:cs="仿宋"/>
          <w:sz w:val="32"/>
          <w:szCs w:val="32"/>
          <w:highlight w:val="none"/>
        </w:rPr>
        <w:t>号）</w:t>
      </w:r>
      <w:r>
        <w:rPr>
          <w:rFonts w:hint="eastAsia" w:ascii="仿宋" w:hAnsi="仿宋" w:eastAsia="仿宋" w:cs="仿宋"/>
          <w:sz w:val="32"/>
          <w:szCs w:val="32"/>
          <w:highlight w:val="none"/>
          <w:lang w:eastAsia="zh-CN"/>
        </w:rPr>
        <w:t>文件精神</w:t>
      </w:r>
      <w:r>
        <w:rPr>
          <w:rFonts w:hint="eastAsia" w:ascii="仿宋" w:hAnsi="仿宋" w:eastAsia="仿宋" w:cs="仿宋"/>
          <w:sz w:val="32"/>
          <w:szCs w:val="32"/>
          <w:highlight w:val="none"/>
        </w:rPr>
        <w:t>，</w:t>
      </w:r>
      <w:r>
        <w:rPr>
          <w:rFonts w:hint="eastAsia" w:ascii="仿宋" w:hAnsi="仿宋" w:eastAsia="仿宋" w:cs="仿宋"/>
          <w:sz w:val="32"/>
          <w:szCs w:val="32"/>
        </w:rPr>
        <w:t>遵循“科学性、规范性、客观性和公正性”的原</w:t>
      </w:r>
      <w:r>
        <w:rPr>
          <w:rFonts w:hint="eastAsia" w:ascii="仿宋" w:hAnsi="仿宋" w:eastAsia="仿宋" w:cs="仿宋"/>
          <w:sz w:val="32"/>
          <w:szCs w:val="32"/>
          <w:highlight w:val="none"/>
          <w:lang w:eastAsia="zh-CN"/>
        </w:rPr>
        <w:t>则，对</w:t>
      </w:r>
      <w:r>
        <w:rPr>
          <w:rFonts w:hint="eastAsia" w:ascii="仿宋" w:hAnsi="仿宋" w:eastAsia="仿宋" w:cs="仿宋"/>
          <w:sz w:val="32"/>
          <w:szCs w:val="32"/>
          <w:highlight w:val="none"/>
          <w:lang w:val="en-US" w:eastAsia="zh-CN"/>
        </w:rPr>
        <w:t>石家庄市藁城区应急管理局</w:t>
      </w:r>
      <w:r>
        <w:rPr>
          <w:rFonts w:hint="eastAsia" w:ascii="仿宋" w:hAnsi="仿宋" w:eastAsia="仿宋" w:cs="仿宋"/>
          <w:sz w:val="32"/>
          <w:szCs w:val="32"/>
          <w:highlight w:val="none"/>
          <w:lang w:eastAsia="zh-CN"/>
        </w:rPr>
        <w:t>202</w:t>
      </w:r>
      <w:r>
        <w:rPr>
          <w:rFonts w:hint="eastAsia" w:ascii="仿宋" w:hAnsi="仿宋" w:eastAsia="仿宋" w:cs="仿宋"/>
          <w:sz w:val="32"/>
          <w:szCs w:val="32"/>
          <w:highlight w:val="none"/>
          <w:lang w:val="en-US" w:eastAsia="zh-CN"/>
        </w:rPr>
        <w:t>4</w:t>
      </w:r>
      <w:r>
        <w:rPr>
          <w:rFonts w:hint="eastAsia" w:ascii="仿宋" w:hAnsi="仿宋" w:eastAsia="仿宋" w:cs="仿宋"/>
          <w:sz w:val="32"/>
          <w:szCs w:val="32"/>
          <w:highlight w:val="none"/>
          <w:lang w:eastAsia="zh-CN"/>
        </w:rPr>
        <w:t>年度整体支出情况实施了财政支出绩效自评价，形成本评价报告。</w:t>
      </w:r>
    </w:p>
    <w:p>
      <w:pPr>
        <w:keepNext w:val="0"/>
        <w:keepLines w:val="0"/>
        <w:pageBreakBefore w:val="0"/>
        <w:widowControl w:val="0"/>
        <w:kinsoku/>
        <w:wordWrap/>
        <w:overflowPunct/>
        <w:topLinePunct w:val="0"/>
        <w:autoSpaceDE/>
        <w:autoSpaceDN/>
        <w:bidi w:val="0"/>
        <w:adjustRightInd/>
        <w:snapToGrid w:val="0"/>
        <w:spacing w:line="560" w:lineRule="exact"/>
        <w:ind w:right="0" w:firstLine="640" w:firstLineChars="200"/>
        <w:textAlignment w:val="auto"/>
        <w:outlineLvl w:val="9"/>
        <w:rPr>
          <w:rFonts w:hint="eastAsia" w:ascii="黑体" w:hAnsi="黑体" w:eastAsia="黑体" w:cs="黑体"/>
          <w:sz w:val="32"/>
          <w:szCs w:val="32"/>
          <w:lang w:eastAsia="zh-CN"/>
        </w:rPr>
      </w:pPr>
      <w:r>
        <w:rPr>
          <w:rFonts w:hint="eastAsia" w:ascii="黑体" w:hAnsi="黑体" w:eastAsia="黑体" w:cs="黑体"/>
          <w:sz w:val="32"/>
          <w:szCs w:val="32"/>
        </w:rPr>
        <w:t>一、</w:t>
      </w:r>
      <w:r>
        <w:rPr>
          <w:rFonts w:hint="eastAsia" w:ascii="黑体" w:hAnsi="黑体" w:eastAsia="黑体" w:cs="黑体"/>
          <w:sz w:val="32"/>
          <w:szCs w:val="32"/>
          <w:lang w:eastAsia="zh-CN"/>
        </w:rPr>
        <w:t>部门基本情况</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rPr>
        <w:t>（一）部门概况</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 w:hAnsi="仿宋" w:eastAsia="仿宋" w:cs="仿宋"/>
          <w:sz w:val="32"/>
          <w:szCs w:val="32"/>
          <w:highlight w:val="none"/>
          <w:lang w:eastAsia="zh-CN"/>
        </w:rPr>
      </w:pPr>
      <w:r>
        <w:rPr>
          <w:rFonts w:hint="eastAsia" w:ascii="仿宋" w:hAnsi="仿宋" w:eastAsia="仿宋" w:cs="仿宋"/>
          <w:sz w:val="32"/>
          <w:szCs w:val="32"/>
          <w:highlight w:val="none"/>
          <w:lang w:eastAsia="zh-CN"/>
        </w:rPr>
        <w:t>负责应急管理工作，指导全区各级各部门应对全区安全生产类、自然灾害类等突发事件和综合防灾减灾救灾工作。负责安全生产综合监督管理和工矿商贸行业安全生产监督管理工作。督促落实经济管理、安全生产等政策规定，组织编制全区应急体系建设、安全生产和综合防灾减灾规划，督促落实应急管理、安全生产地方性法规、规章、规程和标准并监督实施。建设应急预案体系，落实完善事故灾难和自然灾害分级应对制度，组织开展预案演练，推动应急避难设施建设。建立完善全区应急管理信息系统，建立监测预警和灾情报告制度，健全自然灾害信息资源获取和共享机制。组织协调安全生产类、自然灾害类等突发事件应急救援，承担区应对灾害指挥部工作，综合研判突发事件发展态势并提出应对建议。统一协调指挥各类应急专业队伍，建立应急协调联动机制，推进指挥平台对接。统筹应急救援力量建设，综合协调应急救援队伍。组织协调消防工作，指导消防监督、火灾预防、火灾扑救等工作。组织协调自然灾害防治和综合监测预警工作，会同有关部门做好自然灾害综合风险评估工作。组织协调灾害救助工作，负责灾情核查、损失评估、救灾捐赠工作，管理、分配救灾款物并监督使用。依法行使安全生产综合监督管理职权，指导协调、监督检查有关部门和各乡镇(区）的安全生产工作，组织开展安全生产巡查、考核工作。依法监督管理工矿商贸企业安全生产工作，负责危险化学品监督管理综合工作和烟花爆竹监督管理工作。依法开展生产安全事故调查处理，监督事故查处和责任追究落实情况，组织开展自然灾害类突发事件的调查评估工作。制定应急物资储备和应急救援装备规划并组织实施。负责应急管理、安全生产宣传教育和培训、科技成果推广和信息化建设工作。组织协调、指导监督全区安全生产行政执法工作，组织开展对区属企业的执法检查和对辖区安全生产重点企业的执法抽查。</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 w:hAnsi="仿宋" w:eastAsia="仿宋" w:cs="仿宋"/>
          <w:sz w:val="32"/>
          <w:szCs w:val="32"/>
          <w:highlight w:val="none"/>
          <w:lang w:val="en-US" w:eastAsia="zh-CN"/>
        </w:rPr>
      </w:pPr>
      <w:r>
        <w:rPr>
          <w:rFonts w:hint="eastAsia" w:ascii="仿宋" w:hAnsi="仿宋" w:eastAsia="仿宋" w:cs="仿宋"/>
          <w:sz w:val="32"/>
          <w:szCs w:val="32"/>
          <w:highlight w:val="none"/>
          <w:lang w:val="en-US" w:eastAsia="zh-CN"/>
        </w:rPr>
        <w:t>区应急管理局机关内设办公室、应急管理协调股、综合减灾救援股、危险化学品安全监督管理股、工商贸行业安全监督管理股、培训和科技信息化股、政策法规宣传和事故调查统计股等7个职能股室，编制42人，2024年末实有37人。</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 w:hAnsi="仿宋" w:eastAsia="仿宋" w:cs="仿宋"/>
          <w:sz w:val="32"/>
          <w:szCs w:val="32"/>
          <w:highlight w:val="none"/>
          <w:lang w:eastAsia="zh-CN"/>
        </w:rPr>
      </w:pPr>
      <w:r>
        <w:rPr>
          <w:rFonts w:hint="eastAsia" w:ascii="仿宋" w:hAnsi="仿宋" w:eastAsia="仿宋" w:cs="仿宋"/>
          <w:sz w:val="32"/>
          <w:szCs w:val="32"/>
          <w:highlight w:val="none"/>
          <w:lang w:val="en-US" w:eastAsia="zh-CN"/>
        </w:rPr>
        <w:t>2024年末固定资产总值9909092.33元。</w:t>
      </w:r>
    </w:p>
    <w:p>
      <w:pPr>
        <w:keepNext w:val="0"/>
        <w:keepLines w:val="0"/>
        <w:pageBreakBefore w:val="0"/>
        <w:widowControl w:val="0"/>
        <w:numPr>
          <w:ilvl w:val="0"/>
          <w:numId w:val="1"/>
        </w:numPr>
        <w:kinsoku/>
        <w:wordWrap/>
        <w:overflowPunct/>
        <w:topLinePunct w:val="0"/>
        <w:autoSpaceDE/>
        <w:autoSpaceDN/>
        <w:bidi w:val="0"/>
        <w:adjustRightInd w:val="0"/>
        <w:snapToGrid w:val="0"/>
        <w:spacing w:line="560" w:lineRule="exact"/>
        <w:ind w:firstLine="640" w:firstLineChars="200"/>
        <w:textAlignment w:val="auto"/>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rPr>
        <w:t>部门收支预决算情况</w:t>
      </w:r>
    </w:p>
    <w:p>
      <w:pPr>
        <w:pStyle w:val="2"/>
        <w:numPr>
          <w:ilvl w:val="0"/>
          <w:numId w:val="0"/>
        </w:numPr>
        <w:ind w:firstLine="640" w:firstLineChars="200"/>
        <w:rPr>
          <w:rFonts w:hint="eastAsia" w:ascii="仿宋" w:hAnsi="仿宋" w:eastAsia="仿宋" w:cs="仿宋"/>
        </w:rPr>
      </w:pPr>
      <w:r>
        <w:rPr>
          <w:rFonts w:hint="eastAsia" w:ascii="仿宋" w:hAnsi="仿宋" w:eastAsia="仿宋" w:cs="仿宋"/>
          <w:sz w:val="32"/>
          <w:szCs w:val="32"/>
          <w:highlight w:val="none"/>
          <w:lang w:eastAsia="zh-CN"/>
        </w:rPr>
        <w:t>202</w:t>
      </w:r>
      <w:r>
        <w:rPr>
          <w:rFonts w:hint="eastAsia" w:ascii="仿宋" w:hAnsi="仿宋" w:eastAsia="仿宋" w:cs="仿宋"/>
          <w:sz w:val="32"/>
          <w:szCs w:val="32"/>
          <w:highlight w:val="none"/>
          <w:lang w:val="en-US" w:eastAsia="zh-CN"/>
        </w:rPr>
        <w:t>4</w:t>
      </w:r>
      <w:r>
        <w:rPr>
          <w:rFonts w:hint="eastAsia" w:ascii="仿宋" w:hAnsi="仿宋" w:eastAsia="仿宋" w:cs="仿宋"/>
          <w:sz w:val="32"/>
          <w:szCs w:val="32"/>
          <w:highlight w:val="none"/>
          <w:lang w:eastAsia="zh-CN"/>
        </w:rPr>
        <w:t>年，部门收支预算数为</w:t>
      </w:r>
      <w:r>
        <w:rPr>
          <w:rFonts w:hint="eastAsia" w:ascii="仿宋" w:hAnsi="仿宋" w:eastAsia="仿宋" w:cs="仿宋"/>
          <w:sz w:val="32"/>
          <w:szCs w:val="32"/>
          <w:highlight w:val="none"/>
          <w:lang w:val="en-US" w:eastAsia="zh-CN"/>
        </w:rPr>
        <w:t>10877200</w:t>
      </w:r>
      <w:r>
        <w:rPr>
          <w:rFonts w:hint="eastAsia" w:ascii="仿宋" w:hAnsi="仿宋" w:eastAsia="仿宋" w:cs="仿宋"/>
          <w:sz w:val="32"/>
          <w:szCs w:val="32"/>
          <w:highlight w:val="none"/>
          <w:lang w:eastAsia="zh-CN"/>
        </w:rPr>
        <w:t>元，决算数为</w:t>
      </w:r>
      <w:r>
        <w:rPr>
          <w:rFonts w:hint="eastAsia" w:ascii="仿宋" w:hAnsi="仿宋" w:eastAsia="仿宋" w:cs="仿宋"/>
          <w:sz w:val="32"/>
          <w:szCs w:val="32"/>
          <w:highlight w:val="none"/>
          <w:lang w:val="en-US" w:eastAsia="zh-CN"/>
        </w:rPr>
        <w:t>16496622.19</w:t>
      </w:r>
      <w:r>
        <w:rPr>
          <w:rFonts w:hint="eastAsia" w:ascii="仿宋" w:hAnsi="仿宋" w:eastAsia="仿宋" w:cs="仿宋"/>
          <w:sz w:val="32"/>
          <w:szCs w:val="32"/>
          <w:highlight w:val="none"/>
          <w:lang w:eastAsia="zh-CN"/>
        </w:rPr>
        <w:t>元。</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rPr>
        <w:t>（三）部门整体支出绩效目标、指标</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beforeLines="0" w:afterLines="0"/>
        <w:ind w:firstLine="640"/>
        <w:jc w:val="left"/>
        <w:rPr>
          <w:rFonts w:hint="eastAsia" w:ascii="仿宋" w:hAnsi="仿宋" w:eastAsia="仿宋" w:cs="仿宋"/>
          <w:sz w:val="32"/>
          <w:szCs w:val="32"/>
          <w:lang w:eastAsia="zh-CN"/>
        </w:rPr>
      </w:pPr>
      <w:r>
        <w:rPr>
          <w:rFonts w:hint="eastAsia" w:ascii="仿宋" w:hAnsi="仿宋" w:eastAsia="仿宋" w:cs="仿宋"/>
          <w:sz w:val="32"/>
          <w:szCs w:val="32"/>
          <w:lang w:eastAsia="zh-CN"/>
        </w:rPr>
        <w:t>贯彻落实国家、省、市部署和要求，牢固树立安全红线意识，进一步强化责任落实、深化专项整治、夯实基层基础、创新工作举措、全面提高防灾减灾能力，严防各类事故发生，为我区建设“一极四城”营造良好氛围。坚持以人民为中心的发展思想，突出预防为主，继续推进安全生产责任制和企业双控机制落实，督促各生产经营单位安全管理能力提升；加大安全监管执法工作力度，强化重点行业领域隐患排查治理工作，严格查处安全生产违法行为，扭转我区安全生产被动局面；加强从业人员安全生产、防灾减灾等知识培训工作，组织开展应急救援演练和比武活动，提升各部门安全生产工作意识和工作能力；深入推进综合减灾能力建设，增强全社会对灾害的防范意识，保障我区安全生产形势持续稳定。</w:t>
      </w:r>
    </w:p>
    <w:p>
      <w:pPr>
        <w:keepNext w:val="0"/>
        <w:keepLines w:val="0"/>
        <w:pageBreakBefore w:val="0"/>
        <w:widowControl/>
        <w:suppressLineNumbers w:val="0"/>
        <w:kinsoku/>
        <w:wordWrap/>
        <w:overflowPunct/>
        <w:topLinePunct w:val="0"/>
        <w:bidi w:val="0"/>
        <w:snapToGrid/>
        <w:spacing w:before="0" w:beforeAutospacing="0" w:after="0" w:afterAutospacing="0" w:line="560" w:lineRule="exact"/>
        <w:ind w:left="0" w:right="0" w:firstLine="640" w:firstLineChars="200"/>
        <w:jc w:val="left"/>
        <w:textAlignment w:val="auto"/>
        <w:rPr>
          <w:rFonts w:hint="eastAsia" w:ascii="仿宋" w:hAnsi="仿宋" w:eastAsia="仿宋" w:cs="仿宋"/>
          <w:b w:val="0"/>
          <w:bCs w:val="0"/>
          <w:i w:val="0"/>
          <w:caps w:val="0"/>
          <w:color w:val="000000"/>
          <w:spacing w:val="0"/>
          <w:sz w:val="32"/>
          <w:szCs w:val="32"/>
        </w:rPr>
      </w:pPr>
      <w:r>
        <w:rPr>
          <w:rFonts w:hint="eastAsia" w:ascii="仿宋" w:hAnsi="仿宋" w:eastAsia="仿宋" w:cs="仿宋"/>
          <w:b w:val="0"/>
          <w:bCs w:val="0"/>
          <w:i w:val="0"/>
          <w:caps w:val="0"/>
          <w:color w:val="000000"/>
          <w:spacing w:val="0"/>
          <w:kern w:val="0"/>
          <w:sz w:val="32"/>
          <w:szCs w:val="32"/>
          <w:lang w:val="en-US" w:eastAsia="zh-CN" w:bidi="ar"/>
        </w:rPr>
        <w:t>1.全区安全生产形势持续稳定。</w:t>
      </w:r>
    </w:p>
    <w:p>
      <w:pPr>
        <w:keepNext w:val="0"/>
        <w:keepLines w:val="0"/>
        <w:pageBreakBefore w:val="0"/>
        <w:widowControl/>
        <w:suppressLineNumbers w:val="0"/>
        <w:kinsoku/>
        <w:wordWrap/>
        <w:overflowPunct/>
        <w:topLinePunct w:val="0"/>
        <w:bidi w:val="0"/>
        <w:snapToGrid/>
        <w:spacing w:before="0" w:beforeAutospacing="0" w:after="0" w:afterAutospacing="0" w:line="560" w:lineRule="exact"/>
        <w:ind w:left="0" w:right="0" w:firstLine="640" w:firstLineChars="200"/>
        <w:jc w:val="left"/>
        <w:textAlignment w:val="auto"/>
        <w:rPr>
          <w:rFonts w:hint="eastAsia" w:ascii="仿宋" w:hAnsi="仿宋" w:eastAsia="仿宋" w:cs="仿宋"/>
          <w:b w:val="0"/>
          <w:i w:val="0"/>
          <w:caps w:val="0"/>
          <w:color w:val="000000"/>
          <w:spacing w:val="0"/>
          <w:sz w:val="32"/>
          <w:szCs w:val="32"/>
        </w:rPr>
      </w:pPr>
      <w:r>
        <w:rPr>
          <w:rFonts w:hint="eastAsia" w:ascii="仿宋" w:hAnsi="仿宋" w:eastAsia="仿宋" w:cs="仿宋"/>
          <w:b w:val="0"/>
          <w:bCs w:val="0"/>
          <w:i w:val="0"/>
          <w:caps w:val="0"/>
          <w:color w:val="000000"/>
          <w:spacing w:val="0"/>
          <w:kern w:val="0"/>
          <w:sz w:val="32"/>
          <w:szCs w:val="32"/>
          <w:lang w:val="en-US" w:eastAsia="zh-CN" w:bidi="ar"/>
        </w:rPr>
        <w:t>绩效目标：</w:t>
      </w:r>
      <w:r>
        <w:rPr>
          <w:rFonts w:hint="eastAsia" w:ascii="仿宋" w:hAnsi="仿宋" w:eastAsia="仿宋" w:cs="仿宋"/>
          <w:b w:val="0"/>
          <w:i w:val="0"/>
          <w:caps w:val="0"/>
          <w:color w:val="000000"/>
          <w:spacing w:val="0"/>
          <w:kern w:val="0"/>
          <w:sz w:val="32"/>
          <w:szCs w:val="32"/>
          <w:lang w:val="en-US" w:eastAsia="zh-CN" w:bidi="ar"/>
        </w:rPr>
        <w:t>落实全区安全隐患排查工作，增强全区人民的安全防范意识，在全区营造全民参与的安全生产工作氛围。</w:t>
      </w:r>
    </w:p>
    <w:p>
      <w:pPr>
        <w:keepNext w:val="0"/>
        <w:keepLines w:val="0"/>
        <w:pageBreakBefore w:val="0"/>
        <w:widowControl/>
        <w:suppressLineNumbers w:val="0"/>
        <w:kinsoku/>
        <w:wordWrap/>
        <w:overflowPunct/>
        <w:topLinePunct w:val="0"/>
        <w:bidi w:val="0"/>
        <w:snapToGrid/>
        <w:spacing w:before="0" w:beforeAutospacing="0" w:after="0" w:afterAutospacing="0" w:line="560" w:lineRule="exact"/>
        <w:ind w:left="0" w:right="0" w:firstLine="640" w:firstLineChars="200"/>
        <w:jc w:val="left"/>
        <w:textAlignment w:val="auto"/>
        <w:rPr>
          <w:rFonts w:hint="eastAsia" w:ascii="仿宋" w:hAnsi="仿宋" w:eastAsia="仿宋" w:cs="仿宋"/>
          <w:b w:val="0"/>
          <w:i w:val="0"/>
          <w:caps w:val="0"/>
          <w:color w:val="000000"/>
          <w:spacing w:val="0"/>
          <w:sz w:val="32"/>
          <w:szCs w:val="32"/>
        </w:rPr>
      </w:pPr>
      <w:r>
        <w:rPr>
          <w:rFonts w:hint="eastAsia" w:ascii="仿宋" w:hAnsi="仿宋" w:eastAsia="仿宋" w:cs="仿宋"/>
          <w:b w:val="0"/>
          <w:bCs w:val="0"/>
          <w:i w:val="0"/>
          <w:caps w:val="0"/>
          <w:color w:val="000000"/>
          <w:spacing w:val="0"/>
          <w:kern w:val="0"/>
          <w:sz w:val="32"/>
          <w:szCs w:val="32"/>
          <w:lang w:val="en-US" w:eastAsia="zh-CN" w:bidi="ar"/>
        </w:rPr>
        <w:t>绩效指标：</w:t>
      </w:r>
      <w:r>
        <w:rPr>
          <w:rFonts w:hint="eastAsia" w:ascii="仿宋" w:hAnsi="仿宋" w:eastAsia="仿宋" w:cs="仿宋"/>
          <w:b w:val="0"/>
          <w:i w:val="0"/>
          <w:caps w:val="0"/>
          <w:color w:val="000000"/>
          <w:spacing w:val="0"/>
          <w:kern w:val="0"/>
          <w:sz w:val="32"/>
          <w:szCs w:val="32"/>
          <w:lang w:val="en-US" w:eastAsia="zh-CN" w:bidi="ar"/>
        </w:rPr>
        <w:t>深化三年行动，全面排查治理各类风险隐患。通过招投标方式聘请专家团队，对全区危化、工贸等行业领域进行专家查隐患活动，排查企业数150家以上，隐患排查率95%以上，隐患整改率100%。广泛开展培训，印发宣传资料提升各类人员履职意识和知识水平。</w:t>
      </w:r>
    </w:p>
    <w:p>
      <w:pPr>
        <w:keepNext w:val="0"/>
        <w:keepLines w:val="0"/>
        <w:pageBreakBefore w:val="0"/>
        <w:widowControl/>
        <w:suppressLineNumbers w:val="0"/>
        <w:kinsoku/>
        <w:wordWrap/>
        <w:overflowPunct/>
        <w:topLinePunct w:val="0"/>
        <w:bidi w:val="0"/>
        <w:snapToGrid/>
        <w:spacing w:before="0" w:beforeAutospacing="0" w:after="0" w:afterAutospacing="0" w:line="560" w:lineRule="exact"/>
        <w:ind w:left="0" w:right="0" w:firstLine="640" w:firstLineChars="200"/>
        <w:jc w:val="left"/>
        <w:textAlignment w:val="auto"/>
        <w:rPr>
          <w:rFonts w:hint="eastAsia" w:ascii="仿宋" w:hAnsi="仿宋" w:eastAsia="仿宋" w:cs="仿宋"/>
          <w:b w:val="0"/>
          <w:bCs w:val="0"/>
          <w:i w:val="0"/>
          <w:caps w:val="0"/>
          <w:color w:val="000000"/>
          <w:spacing w:val="0"/>
          <w:sz w:val="32"/>
          <w:szCs w:val="32"/>
        </w:rPr>
      </w:pPr>
      <w:r>
        <w:rPr>
          <w:rFonts w:hint="eastAsia" w:ascii="仿宋" w:hAnsi="仿宋" w:eastAsia="仿宋" w:cs="仿宋"/>
          <w:b w:val="0"/>
          <w:bCs w:val="0"/>
          <w:i w:val="0"/>
          <w:caps w:val="0"/>
          <w:color w:val="000000"/>
          <w:spacing w:val="0"/>
          <w:kern w:val="0"/>
          <w:sz w:val="32"/>
          <w:szCs w:val="32"/>
          <w:lang w:val="en-US" w:eastAsia="zh-CN" w:bidi="ar"/>
        </w:rPr>
        <w:t>2.区安委会日常工作能力进一步提升。</w:t>
      </w:r>
    </w:p>
    <w:p>
      <w:pPr>
        <w:keepNext w:val="0"/>
        <w:keepLines w:val="0"/>
        <w:pageBreakBefore w:val="0"/>
        <w:widowControl/>
        <w:suppressLineNumbers w:val="0"/>
        <w:kinsoku/>
        <w:wordWrap/>
        <w:overflowPunct/>
        <w:topLinePunct w:val="0"/>
        <w:bidi w:val="0"/>
        <w:snapToGrid/>
        <w:spacing w:before="0" w:beforeAutospacing="0" w:after="0" w:afterAutospacing="0" w:line="560" w:lineRule="exact"/>
        <w:ind w:left="0" w:right="0" w:firstLine="640" w:firstLineChars="200"/>
        <w:jc w:val="left"/>
        <w:textAlignment w:val="auto"/>
        <w:rPr>
          <w:rFonts w:hint="eastAsia" w:ascii="仿宋" w:hAnsi="仿宋" w:eastAsia="仿宋" w:cs="仿宋"/>
          <w:b w:val="0"/>
          <w:i w:val="0"/>
          <w:caps w:val="0"/>
          <w:color w:val="000000"/>
          <w:spacing w:val="0"/>
          <w:kern w:val="0"/>
          <w:sz w:val="32"/>
          <w:szCs w:val="32"/>
          <w:lang w:val="en-US" w:eastAsia="zh-CN" w:bidi="ar"/>
        </w:rPr>
      </w:pPr>
      <w:r>
        <w:rPr>
          <w:rFonts w:hint="eastAsia" w:ascii="仿宋" w:hAnsi="仿宋" w:eastAsia="仿宋" w:cs="仿宋"/>
          <w:b w:val="0"/>
          <w:bCs w:val="0"/>
          <w:i w:val="0"/>
          <w:caps w:val="0"/>
          <w:color w:val="000000"/>
          <w:spacing w:val="0"/>
          <w:kern w:val="0"/>
          <w:sz w:val="32"/>
          <w:szCs w:val="32"/>
          <w:lang w:val="en-US" w:eastAsia="zh-CN" w:bidi="ar"/>
        </w:rPr>
        <w:t>绩效目标：</w:t>
      </w:r>
      <w:r>
        <w:rPr>
          <w:rFonts w:hint="eastAsia" w:ascii="仿宋" w:hAnsi="仿宋" w:eastAsia="仿宋" w:cs="仿宋"/>
          <w:b w:val="0"/>
          <w:i w:val="0"/>
          <w:caps w:val="0"/>
          <w:color w:val="000000"/>
          <w:spacing w:val="0"/>
          <w:kern w:val="0"/>
          <w:sz w:val="32"/>
          <w:szCs w:val="32"/>
          <w:lang w:val="en-US" w:eastAsia="zh-CN" w:bidi="ar"/>
        </w:rPr>
        <w:t>印制安全生产法律法规和区政府各类政策文件，及时贯彻落实安全生产规章标准。组织安全生产考评、定期开展安全生产督导检查。</w:t>
      </w:r>
    </w:p>
    <w:p>
      <w:pPr>
        <w:keepNext w:val="0"/>
        <w:keepLines w:val="0"/>
        <w:pageBreakBefore w:val="0"/>
        <w:widowControl/>
        <w:suppressLineNumbers w:val="0"/>
        <w:kinsoku/>
        <w:wordWrap/>
        <w:overflowPunct/>
        <w:topLinePunct w:val="0"/>
        <w:bidi w:val="0"/>
        <w:snapToGrid/>
        <w:spacing w:before="0" w:beforeAutospacing="0" w:after="0" w:afterAutospacing="0" w:line="560" w:lineRule="exact"/>
        <w:ind w:left="0" w:right="0" w:firstLine="640" w:firstLineChars="200"/>
        <w:jc w:val="left"/>
        <w:textAlignment w:val="auto"/>
        <w:rPr>
          <w:rFonts w:hint="eastAsia" w:ascii="仿宋" w:hAnsi="仿宋" w:eastAsia="仿宋" w:cs="仿宋"/>
          <w:b w:val="0"/>
          <w:i w:val="0"/>
          <w:caps w:val="0"/>
          <w:color w:val="000000"/>
          <w:spacing w:val="0"/>
          <w:sz w:val="32"/>
          <w:szCs w:val="32"/>
        </w:rPr>
      </w:pPr>
      <w:r>
        <w:rPr>
          <w:rFonts w:hint="eastAsia" w:ascii="仿宋" w:hAnsi="仿宋" w:eastAsia="仿宋" w:cs="仿宋"/>
          <w:b w:val="0"/>
          <w:bCs w:val="0"/>
          <w:i w:val="0"/>
          <w:caps w:val="0"/>
          <w:color w:val="000000"/>
          <w:spacing w:val="0"/>
          <w:kern w:val="0"/>
          <w:sz w:val="32"/>
          <w:szCs w:val="32"/>
          <w:lang w:val="en-US" w:eastAsia="zh-CN" w:bidi="ar"/>
        </w:rPr>
        <w:t>绩效指标：</w:t>
      </w:r>
      <w:r>
        <w:rPr>
          <w:rFonts w:hint="eastAsia" w:ascii="仿宋" w:hAnsi="仿宋" w:eastAsia="仿宋" w:cs="仿宋"/>
          <w:b w:val="0"/>
          <w:i w:val="0"/>
          <w:caps w:val="0"/>
          <w:color w:val="000000"/>
          <w:spacing w:val="0"/>
          <w:kern w:val="0"/>
          <w:sz w:val="32"/>
          <w:szCs w:val="32"/>
          <w:lang w:val="en-US" w:eastAsia="zh-CN" w:bidi="ar"/>
        </w:rPr>
        <w:t>对职责范围内的重点生产经营单位实现执法全覆盖，对发现的安全生产重大违法违规行为行政处罚率达到100%，对企业主要负责人不依法履行安全职责的行政处罚率达100%，对执法检查企业的按期复查率达100%，全区全年发生事故总数为0次。</w:t>
      </w:r>
    </w:p>
    <w:p>
      <w:pPr>
        <w:keepNext w:val="0"/>
        <w:keepLines w:val="0"/>
        <w:pageBreakBefore w:val="0"/>
        <w:widowControl/>
        <w:suppressLineNumbers w:val="0"/>
        <w:kinsoku/>
        <w:wordWrap/>
        <w:overflowPunct/>
        <w:topLinePunct w:val="0"/>
        <w:bidi w:val="0"/>
        <w:snapToGrid/>
        <w:spacing w:before="0" w:beforeAutospacing="0" w:after="0" w:afterAutospacing="0" w:line="560" w:lineRule="exact"/>
        <w:ind w:left="0" w:right="0" w:firstLine="640" w:firstLineChars="200"/>
        <w:jc w:val="left"/>
        <w:textAlignment w:val="auto"/>
        <w:rPr>
          <w:rFonts w:hint="eastAsia" w:ascii="仿宋" w:hAnsi="仿宋" w:eastAsia="仿宋" w:cs="仿宋"/>
          <w:b w:val="0"/>
          <w:i w:val="0"/>
          <w:caps w:val="0"/>
          <w:color w:val="000000"/>
          <w:spacing w:val="0"/>
          <w:sz w:val="32"/>
          <w:szCs w:val="32"/>
        </w:rPr>
      </w:pPr>
      <w:r>
        <w:rPr>
          <w:rFonts w:hint="eastAsia" w:ascii="仿宋" w:hAnsi="仿宋" w:eastAsia="仿宋" w:cs="仿宋"/>
          <w:b w:val="0"/>
          <w:i w:val="0"/>
          <w:caps w:val="0"/>
          <w:color w:val="000000"/>
          <w:spacing w:val="0"/>
          <w:kern w:val="0"/>
          <w:sz w:val="32"/>
          <w:szCs w:val="32"/>
          <w:lang w:val="en-US" w:eastAsia="zh-CN" w:bidi="ar"/>
        </w:rPr>
        <w:t>印制安全生产法律法规和区政府各类政策文件的工作完成率达100%；全年召开4次以上安全生产例会，2次以上安委会会议，安排部署、督促检查、指导协调全区安全生产工作3次以上，及时召开安全生产专题会议和工作协调会，传达部署阶段性工作；开办非高危企业主要负责人、安全员安全生产培训会3次以上。</w:t>
      </w:r>
    </w:p>
    <w:p>
      <w:pPr>
        <w:keepNext w:val="0"/>
        <w:keepLines w:val="0"/>
        <w:pageBreakBefore w:val="0"/>
        <w:widowControl/>
        <w:suppressLineNumbers w:val="0"/>
        <w:kinsoku/>
        <w:wordWrap/>
        <w:overflowPunct/>
        <w:topLinePunct w:val="0"/>
        <w:bidi w:val="0"/>
        <w:snapToGrid/>
        <w:spacing w:before="0" w:beforeAutospacing="0" w:after="0" w:afterAutospacing="0" w:line="560" w:lineRule="exact"/>
        <w:ind w:left="0" w:right="0" w:firstLine="640" w:firstLineChars="200"/>
        <w:jc w:val="left"/>
        <w:textAlignment w:val="auto"/>
        <w:rPr>
          <w:rFonts w:hint="eastAsia" w:ascii="仿宋" w:hAnsi="仿宋" w:eastAsia="仿宋" w:cs="仿宋"/>
          <w:b w:val="0"/>
          <w:bCs w:val="0"/>
          <w:i w:val="0"/>
          <w:caps w:val="0"/>
          <w:color w:val="000000"/>
          <w:spacing w:val="0"/>
          <w:sz w:val="32"/>
          <w:szCs w:val="32"/>
        </w:rPr>
      </w:pPr>
      <w:r>
        <w:rPr>
          <w:rFonts w:hint="eastAsia" w:ascii="仿宋" w:hAnsi="仿宋" w:eastAsia="仿宋" w:cs="仿宋"/>
          <w:b w:val="0"/>
          <w:bCs w:val="0"/>
          <w:i w:val="0"/>
          <w:caps w:val="0"/>
          <w:color w:val="000000"/>
          <w:spacing w:val="0"/>
          <w:kern w:val="0"/>
          <w:sz w:val="32"/>
          <w:szCs w:val="32"/>
          <w:lang w:val="en-US" w:eastAsia="zh-CN" w:bidi="ar"/>
        </w:rPr>
        <w:t>3.应对自然灾害的能力显著提高。</w:t>
      </w:r>
    </w:p>
    <w:p>
      <w:pPr>
        <w:keepNext w:val="0"/>
        <w:keepLines w:val="0"/>
        <w:pageBreakBefore w:val="0"/>
        <w:widowControl/>
        <w:suppressLineNumbers w:val="0"/>
        <w:kinsoku/>
        <w:wordWrap/>
        <w:overflowPunct/>
        <w:topLinePunct w:val="0"/>
        <w:bidi w:val="0"/>
        <w:snapToGrid/>
        <w:spacing w:before="0" w:beforeAutospacing="0" w:after="0" w:afterAutospacing="0" w:line="560" w:lineRule="exact"/>
        <w:ind w:left="0" w:right="0" w:firstLine="640" w:firstLineChars="200"/>
        <w:jc w:val="left"/>
        <w:textAlignment w:val="auto"/>
        <w:rPr>
          <w:rFonts w:hint="eastAsia" w:ascii="仿宋" w:hAnsi="仿宋" w:eastAsia="仿宋" w:cs="仿宋"/>
          <w:b w:val="0"/>
          <w:i w:val="0"/>
          <w:caps w:val="0"/>
          <w:color w:val="000000"/>
          <w:spacing w:val="0"/>
          <w:sz w:val="32"/>
          <w:szCs w:val="32"/>
        </w:rPr>
      </w:pPr>
      <w:r>
        <w:rPr>
          <w:rFonts w:hint="eastAsia" w:ascii="仿宋" w:hAnsi="仿宋" w:eastAsia="仿宋" w:cs="仿宋"/>
          <w:b w:val="0"/>
          <w:bCs w:val="0"/>
          <w:i w:val="0"/>
          <w:caps w:val="0"/>
          <w:color w:val="000000"/>
          <w:spacing w:val="0"/>
          <w:kern w:val="0"/>
          <w:sz w:val="32"/>
          <w:szCs w:val="32"/>
          <w:lang w:val="en-US" w:eastAsia="zh-CN" w:bidi="ar"/>
        </w:rPr>
        <w:t>绩效目标：</w:t>
      </w:r>
      <w:r>
        <w:rPr>
          <w:rFonts w:hint="eastAsia" w:ascii="仿宋" w:hAnsi="仿宋" w:eastAsia="仿宋" w:cs="仿宋"/>
          <w:b w:val="0"/>
          <w:i w:val="0"/>
          <w:caps w:val="0"/>
          <w:color w:val="000000"/>
          <w:spacing w:val="0"/>
          <w:kern w:val="0"/>
          <w:sz w:val="32"/>
          <w:szCs w:val="32"/>
          <w:lang w:val="en-US" w:eastAsia="zh-CN" w:bidi="ar"/>
        </w:rPr>
        <w:t>组织全区防灾减灾及救灾储备体系建设、灾害信息员体系建设，提升监测能力，强化震情跟踪，发挥防汛抗旱减灾体系作用，维持全区安全的生产生活氛围。</w:t>
      </w:r>
    </w:p>
    <w:p>
      <w:pPr>
        <w:keepNext w:val="0"/>
        <w:keepLines w:val="0"/>
        <w:pageBreakBefore w:val="0"/>
        <w:widowControl/>
        <w:suppressLineNumbers w:val="0"/>
        <w:kinsoku/>
        <w:wordWrap/>
        <w:overflowPunct/>
        <w:topLinePunct w:val="0"/>
        <w:bidi w:val="0"/>
        <w:snapToGrid/>
        <w:spacing w:before="0" w:beforeAutospacing="0" w:after="0" w:afterAutospacing="0" w:line="560" w:lineRule="exact"/>
        <w:ind w:left="0" w:right="0" w:firstLine="640" w:firstLineChars="200"/>
        <w:jc w:val="left"/>
        <w:textAlignment w:val="auto"/>
        <w:rPr>
          <w:rFonts w:hint="eastAsia" w:ascii="仿宋" w:hAnsi="仿宋" w:eastAsia="仿宋" w:cs="仿宋"/>
          <w:b w:val="0"/>
          <w:i w:val="0"/>
          <w:caps w:val="0"/>
          <w:color w:val="000000"/>
          <w:spacing w:val="0"/>
          <w:sz w:val="32"/>
          <w:szCs w:val="32"/>
        </w:rPr>
      </w:pPr>
      <w:r>
        <w:rPr>
          <w:rFonts w:hint="eastAsia" w:ascii="仿宋" w:hAnsi="仿宋" w:eastAsia="仿宋" w:cs="仿宋"/>
          <w:b w:val="0"/>
          <w:bCs w:val="0"/>
          <w:i w:val="0"/>
          <w:caps w:val="0"/>
          <w:color w:val="000000"/>
          <w:spacing w:val="0"/>
          <w:kern w:val="0"/>
          <w:sz w:val="32"/>
          <w:szCs w:val="32"/>
          <w:lang w:val="en-US" w:eastAsia="zh-CN" w:bidi="ar"/>
        </w:rPr>
        <w:t>绩效指标：</w:t>
      </w:r>
      <w:r>
        <w:rPr>
          <w:rFonts w:hint="eastAsia" w:ascii="仿宋" w:hAnsi="仿宋" w:eastAsia="仿宋" w:cs="仿宋"/>
          <w:b w:val="0"/>
          <w:i w:val="0"/>
          <w:caps w:val="0"/>
          <w:color w:val="000000"/>
          <w:spacing w:val="0"/>
          <w:kern w:val="0"/>
          <w:sz w:val="32"/>
          <w:szCs w:val="32"/>
          <w:lang w:val="en-US" w:eastAsia="zh-CN" w:bidi="ar"/>
        </w:rPr>
        <w:t>应急救灾资金补助力度达100%；救援物资在12小时内到达灾区，保障全区冬春期间受灾人员基本生活，应急救助工作基本完成；灾害信息在12小时内进行报送，重大负面舆情和事件不超过2次；受灾群众对救灾工作较为满意。</w:t>
      </w:r>
    </w:p>
    <w:p>
      <w:pPr>
        <w:keepNext w:val="0"/>
        <w:keepLines w:val="0"/>
        <w:pageBreakBefore w:val="0"/>
        <w:widowControl/>
        <w:suppressLineNumbers w:val="0"/>
        <w:kinsoku/>
        <w:wordWrap/>
        <w:overflowPunct/>
        <w:topLinePunct w:val="0"/>
        <w:bidi w:val="0"/>
        <w:snapToGrid/>
        <w:spacing w:before="0" w:beforeAutospacing="0" w:after="0" w:afterAutospacing="0" w:line="560" w:lineRule="exact"/>
        <w:ind w:left="0" w:right="0" w:firstLine="640" w:firstLineChars="200"/>
        <w:jc w:val="left"/>
        <w:textAlignment w:val="auto"/>
        <w:rPr>
          <w:rFonts w:hint="eastAsia" w:ascii="仿宋" w:hAnsi="仿宋" w:eastAsia="仿宋" w:cs="仿宋"/>
          <w:b w:val="0"/>
          <w:i w:val="0"/>
          <w:caps w:val="0"/>
          <w:color w:val="000000"/>
          <w:spacing w:val="0"/>
          <w:sz w:val="32"/>
          <w:szCs w:val="32"/>
        </w:rPr>
      </w:pPr>
      <w:r>
        <w:rPr>
          <w:rFonts w:hint="eastAsia" w:ascii="仿宋" w:hAnsi="仿宋" w:eastAsia="仿宋" w:cs="仿宋"/>
          <w:b w:val="0"/>
          <w:i w:val="0"/>
          <w:caps w:val="0"/>
          <w:color w:val="000000"/>
          <w:spacing w:val="0"/>
          <w:kern w:val="0"/>
          <w:sz w:val="32"/>
          <w:szCs w:val="32"/>
          <w:lang w:val="en-US" w:eastAsia="zh-CN" w:bidi="ar"/>
        </w:rPr>
        <w:t>获得地震监测数据的准确率达到100%，突发公共卫生事件报告率为100%，处理各种宏、微观异常的及时率为100%。</w:t>
      </w:r>
    </w:p>
    <w:p>
      <w:pPr>
        <w:keepNext w:val="0"/>
        <w:keepLines w:val="0"/>
        <w:pageBreakBefore w:val="0"/>
        <w:widowControl/>
        <w:suppressLineNumbers w:val="0"/>
        <w:kinsoku/>
        <w:wordWrap/>
        <w:overflowPunct/>
        <w:topLinePunct w:val="0"/>
        <w:bidi w:val="0"/>
        <w:snapToGrid/>
        <w:spacing w:before="0" w:beforeAutospacing="0" w:after="0" w:afterAutospacing="0" w:line="560" w:lineRule="exact"/>
        <w:ind w:left="0" w:right="0" w:firstLine="0"/>
        <w:jc w:val="left"/>
        <w:textAlignment w:val="auto"/>
        <w:rPr>
          <w:rFonts w:hint="eastAsia" w:ascii="仿宋" w:hAnsi="仿宋" w:eastAsia="仿宋" w:cs="仿宋"/>
          <w:b w:val="0"/>
          <w:i w:val="0"/>
          <w:caps w:val="0"/>
          <w:color w:val="000000"/>
          <w:spacing w:val="0"/>
          <w:sz w:val="32"/>
          <w:szCs w:val="32"/>
        </w:rPr>
      </w:pPr>
      <w:r>
        <w:rPr>
          <w:rFonts w:hint="eastAsia" w:ascii="仿宋" w:hAnsi="仿宋" w:eastAsia="仿宋" w:cs="仿宋"/>
          <w:b w:val="0"/>
          <w:i w:val="0"/>
          <w:caps w:val="0"/>
          <w:color w:val="000000"/>
          <w:spacing w:val="0"/>
          <w:kern w:val="0"/>
          <w:sz w:val="32"/>
          <w:szCs w:val="32"/>
          <w:lang w:val="en-US" w:eastAsia="zh-CN" w:bidi="ar"/>
        </w:rPr>
        <w:t>应急度汛、抗旱应急、山洪灾害防治项目工程的完成率达到95%以上，确保全区造成重大损失的水旱灾害为0件，全区群众对防灾减灾、应急救援工作的满意比例达95%以上。</w:t>
      </w:r>
    </w:p>
    <w:p>
      <w:pPr>
        <w:keepNext w:val="0"/>
        <w:keepLines w:val="0"/>
        <w:pageBreakBefore w:val="0"/>
        <w:widowControl/>
        <w:suppressLineNumbers w:val="0"/>
        <w:kinsoku/>
        <w:wordWrap/>
        <w:overflowPunct/>
        <w:topLinePunct w:val="0"/>
        <w:bidi w:val="0"/>
        <w:snapToGrid/>
        <w:spacing w:before="0" w:beforeAutospacing="0" w:after="0" w:afterAutospacing="0" w:line="560" w:lineRule="exact"/>
        <w:ind w:left="0" w:right="0" w:firstLine="640" w:firstLineChars="200"/>
        <w:jc w:val="left"/>
        <w:textAlignment w:val="auto"/>
        <w:rPr>
          <w:rFonts w:hint="eastAsia" w:ascii="仿宋" w:hAnsi="仿宋" w:eastAsia="仿宋" w:cs="仿宋"/>
          <w:b w:val="0"/>
          <w:bCs w:val="0"/>
          <w:i w:val="0"/>
          <w:caps w:val="0"/>
          <w:color w:val="000000"/>
          <w:spacing w:val="0"/>
          <w:sz w:val="32"/>
          <w:szCs w:val="32"/>
        </w:rPr>
      </w:pPr>
      <w:r>
        <w:rPr>
          <w:rFonts w:hint="eastAsia" w:ascii="仿宋" w:hAnsi="仿宋" w:eastAsia="仿宋" w:cs="仿宋"/>
          <w:b w:val="0"/>
          <w:bCs w:val="0"/>
          <w:i w:val="0"/>
          <w:caps w:val="0"/>
          <w:color w:val="000000"/>
          <w:spacing w:val="0"/>
          <w:kern w:val="0"/>
          <w:sz w:val="32"/>
          <w:szCs w:val="32"/>
          <w:lang w:val="en-US" w:eastAsia="zh-CN" w:bidi="ar"/>
        </w:rPr>
        <w:t>4.应急管理机制更加健全。</w:t>
      </w:r>
    </w:p>
    <w:p>
      <w:pPr>
        <w:keepNext w:val="0"/>
        <w:keepLines w:val="0"/>
        <w:pageBreakBefore w:val="0"/>
        <w:widowControl/>
        <w:suppressLineNumbers w:val="0"/>
        <w:kinsoku/>
        <w:wordWrap/>
        <w:overflowPunct/>
        <w:topLinePunct w:val="0"/>
        <w:bidi w:val="0"/>
        <w:snapToGrid/>
        <w:spacing w:before="0" w:beforeAutospacing="0" w:after="0" w:afterAutospacing="0" w:line="560" w:lineRule="exact"/>
        <w:ind w:left="0" w:right="0" w:firstLine="640" w:firstLineChars="200"/>
        <w:jc w:val="left"/>
        <w:textAlignment w:val="auto"/>
        <w:rPr>
          <w:rFonts w:hint="eastAsia" w:ascii="仿宋" w:hAnsi="仿宋" w:eastAsia="仿宋" w:cs="仿宋"/>
          <w:b w:val="0"/>
          <w:i w:val="0"/>
          <w:caps w:val="0"/>
          <w:color w:val="000000"/>
          <w:spacing w:val="0"/>
          <w:sz w:val="32"/>
          <w:szCs w:val="32"/>
        </w:rPr>
      </w:pPr>
      <w:r>
        <w:rPr>
          <w:rFonts w:hint="eastAsia" w:ascii="仿宋" w:hAnsi="仿宋" w:eastAsia="仿宋" w:cs="仿宋"/>
          <w:b w:val="0"/>
          <w:bCs w:val="0"/>
          <w:i w:val="0"/>
          <w:caps w:val="0"/>
          <w:color w:val="000000"/>
          <w:spacing w:val="0"/>
          <w:kern w:val="0"/>
          <w:sz w:val="32"/>
          <w:szCs w:val="32"/>
          <w:lang w:val="en-US" w:eastAsia="zh-CN" w:bidi="ar"/>
        </w:rPr>
        <w:t>绩效目标：</w:t>
      </w:r>
      <w:r>
        <w:rPr>
          <w:rFonts w:hint="eastAsia" w:ascii="仿宋" w:hAnsi="仿宋" w:eastAsia="仿宋" w:cs="仿宋"/>
          <w:b w:val="0"/>
          <w:i w:val="0"/>
          <w:caps w:val="0"/>
          <w:color w:val="000000"/>
          <w:spacing w:val="0"/>
          <w:kern w:val="0"/>
          <w:sz w:val="32"/>
          <w:szCs w:val="32"/>
          <w:lang w:val="en-US" w:eastAsia="zh-CN" w:bidi="ar"/>
        </w:rPr>
        <w:t>加强生产安全事故应急能力建设，健全全区安全生产应急救援体系；完善安全生产应急管理资源数据库；完善应急救援预案并进行培训和演练。</w:t>
      </w:r>
    </w:p>
    <w:p>
      <w:pPr>
        <w:keepNext w:val="0"/>
        <w:keepLines w:val="0"/>
        <w:pageBreakBefore w:val="0"/>
        <w:widowControl/>
        <w:suppressLineNumbers w:val="0"/>
        <w:kinsoku/>
        <w:wordWrap/>
        <w:overflowPunct/>
        <w:topLinePunct w:val="0"/>
        <w:bidi w:val="0"/>
        <w:snapToGrid/>
        <w:spacing w:before="0" w:beforeAutospacing="0" w:after="0" w:afterAutospacing="0" w:line="560" w:lineRule="exact"/>
        <w:ind w:left="0" w:right="0" w:firstLine="640" w:firstLineChars="200"/>
        <w:jc w:val="left"/>
        <w:textAlignment w:val="auto"/>
        <w:rPr>
          <w:rFonts w:hint="eastAsia" w:ascii="仿宋" w:hAnsi="仿宋" w:eastAsia="仿宋" w:cs="仿宋"/>
          <w:b w:val="0"/>
          <w:i w:val="0"/>
          <w:caps w:val="0"/>
          <w:color w:val="000000"/>
          <w:spacing w:val="0"/>
          <w:sz w:val="32"/>
          <w:szCs w:val="32"/>
        </w:rPr>
      </w:pPr>
      <w:r>
        <w:rPr>
          <w:rFonts w:hint="eastAsia" w:ascii="仿宋" w:hAnsi="仿宋" w:eastAsia="仿宋" w:cs="仿宋"/>
          <w:b w:val="0"/>
          <w:bCs w:val="0"/>
          <w:i w:val="0"/>
          <w:caps w:val="0"/>
          <w:color w:val="000000"/>
          <w:spacing w:val="0"/>
          <w:kern w:val="0"/>
          <w:sz w:val="32"/>
          <w:szCs w:val="32"/>
          <w:lang w:val="en-US" w:eastAsia="zh-CN" w:bidi="ar"/>
        </w:rPr>
        <w:t>绩效指标：</w:t>
      </w:r>
      <w:r>
        <w:rPr>
          <w:rFonts w:hint="eastAsia" w:ascii="仿宋" w:hAnsi="仿宋" w:eastAsia="仿宋" w:cs="仿宋"/>
          <w:b w:val="0"/>
          <w:i w:val="0"/>
          <w:caps w:val="0"/>
          <w:color w:val="000000"/>
          <w:spacing w:val="0"/>
          <w:kern w:val="0"/>
          <w:sz w:val="32"/>
          <w:szCs w:val="32"/>
          <w:lang w:val="en-US" w:eastAsia="zh-CN" w:bidi="ar"/>
        </w:rPr>
        <w:t>本辖区企业安全管理员应急技能集训完成率达到90%以上；面对突发事件的应急救援平均响应时间不超过0.25小时。开展应急演练1次，建设减灾示范区5个，物资保障人数达1万人。</w:t>
      </w:r>
    </w:p>
    <w:p>
      <w:pPr>
        <w:keepNext w:val="0"/>
        <w:keepLines w:val="0"/>
        <w:pageBreakBefore w:val="0"/>
        <w:widowControl/>
        <w:suppressLineNumbers w:val="0"/>
        <w:kinsoku/>
        <w:wordWrap/>
        <w:overflowPunct/>
        <w:topLinePunct w:val="0"/>
        <w:bidi w:val="0"/>
        <w:snapToGrid/>
        <w:spacing w:before="0" w:beforeAutospacing="0" w:after="0" w:afterAutospacing="0" w:line="560" w:lineRule="exact"/>
        <w:ind w:left="0" w:right="0" w:firstLine="640" w:firstLineChars="200"/>
        <w:jc w:val="left"/>
        <w:textAlignment w:val="auto"/>
        <w:rPr>
          <w:rFonts w:hint="eastAsia" w:ascii="仿宋" w:hAnsi="仿宋" w:eastAsia="仿宋" w:cs="仿宋"/>
          <w:b w:val="0"/>
          <w:i w:val="0"/>
          <w:caps w:val="0"/>
          <w:color w:val="000000"/>
          <w:spacing w:val="0"/>
          <w:sz w:val="32"/>
          <w:szCs w:val="32"/>
        </w:rPr>
      </w:pPr>
      <w:r>
        <w:rPr>
          <w:rFonts w:hint="eastAsia" w:ascii="仿宋" w:hAnsi="仿宋" w:eastAsia="仿宋" w:cs="仿宋"/>
          <w:b w:val="0"/>
          <w:i w:val="0"/>
          <w:caps w:val="0"/>
          <w:color w:val="000000"/>
          <w:spacing w:val="0"/>
          <w:kern w:val="0"/>
          <w:sz w:val="32"/>
          <w:szCs w:val="32"/>
          <w:lang w:val="en-US" w:eastAsia="zh-CN" w:bidi="ar"/>
        </w:rPr>
        <w:t>视频监控中心设备有效运转率为100%；安全生产信息平台能够正常运行；本年全省互联网+安全生产监管信息平台建设的完成率达90%以上，对高危行业生产经营企业隐患排查率达90%以上，存在安全隐患的生产经营单位总数所占比例不超过10%。</w:t>
      </w:r>
    </w:p>
    <w:p>
      <w:pPr>
        <w:keepNext w:val="0"/>
        <w:keepLines w:val="0"/>
        <w:pageBreakBefore w:val="0"/>
        <w:widowControl/>
        <w:suppressLineNumbers w:val="0"/>
        <w:kinsoku/>
        <w:wordWrap/>
        <w:overflowPunct/>
        <w:topLinePunct w:val="0"/>
        <w:bidi w:val="0"/>
        <w:snapToGrid/>
        <w:spacing w:before="0" w:beforeAutospacing="0" w:after="0" w:afterAutospacing="0" w:line="560" w:lineRule="exact"/>
        <w:ind w:left="0" w:right="0" w:firstLine="640" w:firstLineChars="200"/>
        <w:jc w:val="left"/>
        <w:textAlignment w:val="auto"/>
        <w:rPr>
          <w:rFonts w:hint="eastAsia" w:ascii="仿宋" w:hAnsi="仿宋" w:eastAsia="仿宋" w:cs="仿宋"/>
          <w:b w:val="0"/>
          <w:bCs w:val="0"/>
          <w:i w:val="0"/>
          <w:caps w:val="0"/>
          <w:color w:val="000000"/>
          <w:spacing w:val="0"/>
          <w:sz w:val="32"/>
          <w:szCs w:val="32"/>
        </w:rPr>
      </w:pPr>
      <w:r>
        <w:rPr>
          <w:rFonts w:hint="eastAsia" w:ascii="仿宋" w:hAnsi="仿宋" w:eastAsia="仿宋" w:cs="仿宋"/>
          <w:b w:val="0"/>
          <w:bCs w:val="0"/>
          <w:i w:val="0"/>
          <w:caps w:val="0"/>
          <w:color w:val="000000"/>
          <w:spacing w:val="0"/>
          <w:kern w:val="0"/>
          <w:sz w:val="32"/>
          <w:szCs w:val="32"/>
          <w:lang w:val="en-US" w:eastAsia="zh-CN" w:bidi="ar"/>
        </w:rPr>
        <w:t>5.全区农村安全生活得到有效保障。</w:t>
      </w:r>
    </w:p>
    <w:p>
      <w:pPr>
        <w:keepNext w:val="0"/>
        <w:keepLines w:val="0"/>
        <w:pageBreakBefore w:val="0"/>
        <w:widowControl/>
        <w:suppressLineNumbers w:val="0"/>
        <w:kinsoku/>
        <w:wordWrap/>
        <w:overflowPunct/>
        <w:topLinePunct w:val="0"/>
        <w:bidi w:val="0"/>
        <w:snapToGrid/>
        <w:spacing w:before="0" w:beforeAutospacing="0" w:after="0" w:afterAutospacing="0" w:line="560" w:lineRule="exact"/>
        <w:ind w:left="0" w:right="0" w:firstLine="640" w:firstLineChars="200"/>
        <w:jc w:val="left"/>
        <w:textAlignment w:val="auto"/>
        <w:rPr>
          <w:rFonts w:hint="eastAsia" w:ascii="仿宋" w:hAnsi="仿宋" w:eastAsia="仿宋" w:cs="仿宋"/>
          <w:b w:val="0"/>
          <w:i w:val="0"/>
          <w:caps w:val="0"/>
          <w:color w:val="000000"/>
          <w:spacing w:val="0"/>
          <w:sz w:val="32"/>
          <w:szCs w:val="32"/>
        </w:rPr>
      </w:pPr>
      <w:r>
        <w:rPr>
          <w:rFonts w:hint="eastAsia" w:ascii="仿宋" w:hAnsi="仿宋" w:eastAsia="仿宋" w:cs="仿宋"/>
          <w:b w:val="0"/>
          <w:bCs w:val="0"/>
          <w:i w:val="0"/>
          <w:caps w:val="0"/>
          <w:color w:val="000000"/>
          <w:spacing w:val="0"/>
          <w:kern w:val="0"/>
          <w:sz w:val="32"/>
          <w:szCs w:val="32"/>
          <w:lang w:val="en-US" w:eastAsia="zh-CN" w:bidi="ar"/>
        </w:rPr>
        <w:t>绩效目标：</w:t>
      </w:r>
      <w:r>
        <w:rPr>
          <w:rFonts w:hint="eastAsia" w:ascii="仿宋" w:hAnsi="仿宋" w:eastAsia="仿宋" w:cs="仿宋"/>
          <w:b w:val="0"/>
          <w:i w:val="0"/>
          <w:caps w:val="0"/>
          <w:color w:val="000000"/>
          <w:spacing w:val="0"/>
          <w:kern w:val="0"/>
          <w:sz w:val="32"/>
          <w:szCs w:val="32"/>
          <w:lang w:val="en-US" w:eastAsia="zh-CN" w:bidi="ar"/>
        </w:rPr>
        <w:t>构建新型农民群众农村住房灾害救助体系，帮助农民住房灾后重建，有效提升农村农民群众住房抵御自然灾害风险的能力和灾后补偿水平。</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sz w:val="32"/>
          <w:szCs w:val="32"/>
          <w:lang w:eastAsia="zh-CN"/>
        </w:rPr>
      </w:pPr>
      <w:r>
        <w:rPr>
          <w:rFonts w:hint="eastAsia" w:ascii="仿宋" w:hAnsi="仿宋" w:eastAsia="仿宋" w:cs="仿宋"/>
          <w:b w:val="0"/>
          <w:bCs w:val="0"/>
          <w:i w:val="0"/>
          <w:caps w:val="0"/>
          <w:color w:val="000000"/>
          <w:spacing w:val="0"/>
          <w:kern w:val="0"/>
          <w:sz w:val="32"/>
          <w:szCs w:val="32"/>
          <w:lang w:val="en-US" w:eastAsia="zh-CN" w:bidi="ar"/>
        </w:rPr>
        <w:t>绩效指标：</w:t>
      </w:r>
      <w:r>
        <w:rPr>
          <w:rFonts w:hint="eastAsia" w:ascii="仿宋" w:hAnsi="仿宋" w:eastAsia="仿宋" w:cs="仿宋"/>
          <w:b w:val="0"/>
          <w:i w:val="0"/>
          <w:caps w:val="0"/>
          <w:color w:val="000000"/>
          <w:spacing w:val="0"/>
          <w:kern w:val="0"/>
          <w:sz w:val="32"/>
          <w:szCs w:val="32"/>
          <w:lang w:val="en-US" w:eastAsia="zh-CN" w:bidi="ar"/>
        </w:rPr>
        <w:t>有效帮助农民灾后重建住房的数量占发生住房灾害数量总数的比率达90%以上，保险公司灾后补偿水平达到100%，理赔金额依照合同规定及时全额补贴给受灾群众，接受帮助和理赔的群众满意度达90%以上。</w:t>
      </w:r>
    </w:p>
    <w:p>
      <w:pPr>
        <w:keepNext w:val="0"/>
        <w:keepLines w:val="0"/>
        <w:pageBreakBefore w:val="0"/>
        <w:widowControl w:val="0"/>
        <w:numPr>
          <w:ilvl w:val="0"/>
          <w:numId w:val="2"/>
        </w:numPr>
        <w:kinsoku/>
        <w:wordWrap/>
        <w:overflowPunct/>
        <w:topLinePunct w:val="0"/>
        <w:autoSpaceDE/>
        <w:autoSpaceDN/>
        <w:bidi w:val="0"/>
        <w:adjustRightInd/>
        <w:snapToGrid w:val="0"/>
        <w:spacing w:line="560" w:lineRule="exact"/>
        <w:ind w:left="0" w:right="0" w:firstLine="640" w:firstLineChars="200"/>
        <w:textAlignment w:val="auto"/>
        <w:outlineLvl w:val="9"/>
        <w:rPr>
          <w:rFonts w:hint="eastAsia" w:ascii="黑体" w:hAnsi="黑体" w:eastAsia="黑体" w:cs="黑体"/>
          <w:sz w:val="32"/>
          <w:szCs w:val="32"/>
        </w:rPr>
      </w:pPr>
      <w:r>
        <w:rPr>
          <w:rFonts w:hint="eastAsia" w:ascii="黑体" w:hAnsi="黑体" w:eastAsia="黑体" w:cs="黑体"/>
          <w:sz w:val="32"/>
          <w:szCs w:val="32"/>
          <w:lang w:eastAsia="zh-CN"/>
        </w:rPr>
        <w:t>自评工作开展</w:t>
      </w:r>
      <w:r>
        <w:rPr>
          <w:rFonts w:hint="eastAsia" w:ascii="黑体" w:hAnsi="黑体" w:eastAsia="黑体" w:cs="黑体"/>
          <w:sz w:val="32"/>
          <w:szCs w:val="32"/>
        </w:rPr>
        <w:t>情况</w:t>
      </w:r>
    </w:p>
    <w:p>
      <w:pPr>
        <w:keepNext w:val="0"/>
        <w:keepLines w:val="0"/>
        <w:pageBreakBefore w:val="0"/>
        <w:widowControl w:val="0"/>
        <w:kinsoku/>
        <w:wordWrap/>
        <w:overflowPunct/>
        <w:topLinePunct w:val="0"/>
        <w:autoSpaceDE/>
        <w:autoSpaceDN/>
        <w:bidi w:val="0"/>
        <w:adjustRightInd/>
        <w:snapToGrid w:val="0"/>
        <w:spacing w:line="560" w:lineRule="exact"/>
        <w:ind w:left="0" w:right="0" w:firstLine="640" w:firstLineChars="200"/>
        <w:textAlignment w:val="auto"/>
        <w:outlineLvl w:val="9"/>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rPr>
        <w:t>（一）自评的组织工作</w:t>
      </w:r>
    </w:p>
    <w:p>
      <w:pPr>
        <w:keepNext w:val="0"/>
        <w:keepLines w:val="0"/>
        <w:pageBreakBefore w:val="0"/>
        <w:widowControl w:val="0"/>
        <w:kinsoku/>
        <w:wordWrap/>
        <w:overflowPunct/>
        <w:topLinePunct w:val="0"/>
        <w:autoSpaceDE/>
        <w:autoSpaceDN/>
        <w:bidi w:val="0"/>
        <w:spacing w:line="560" w:lineRule="exact"/>
        <w:ind w:firstLine="640" w:firstLineChars="200"/>
        <w:textAlignment w:val="auto"/>
        <w:rPr>
          <w:rFonts w:hint="eastAsia" w:ascii="仿宋" w:hAnsi="仿宋" w:eastAsia="仿宋" w:cs="仿宋"/>
          <w:sz w:val="32"/>
          <w:szCs w:val="32"/>
          <w:highlight w:val="none"/>
          <w:lang w:eastAsia="zh-CN"/>
        </w:rPr>
      </w:pPr>
      <w:r>
        <w:rPr>
          <w:rFonts w:hint="eastAsia" w:ascii="仿宋" w:hAnsi="仿宋" w:eastAsia="仿宋" w:cs="仿宋"/>
          <w:sz w:val="32"/>
          <w:szCs w:val="32"/>
          <w:highlight w:val="none"/>
          <w:lang w:eastAsia="zh-CN"/>
        </w:rPr>
        <w:t>我单位对202</w:t>
      </w:r>
      <w:r>
        <w:rPr>
          <w:rFonts w:hint="eastAsia" w:ascii="仿宋" w:hAnsi="仿宋" w:eastAsia="仿宋" w:cs="仿宋"/>
          <w:sz w:val="32"/>
          <w:szCs w:val="32"/>
          <w:highlight w:val="none"/>
          <w:lang w:val="en-US" w:eastAsia="zh-CN"/>
        </w:rPr>
        <w:t>4</w:t>
      </w:r>
      <w:r>
        <w:rPr>
          <w:rFonts w:hint="eastAsia" w:ascii="仿宋" w:hAnsi="仿宋" w:eastAsia="仿宋" w:cs="仿宋"/>
          <w:sz w:val="32"/>
          <w:szCs w:val="32"/>
          <w:highlight w:val="none"/>
          <w:lang w:eastAsia="zh-CN"/>
        </w:rPr>
        <w:t>年项目绩效自评工作高度重视，经局领导讨论研究，为我单位202</w:t>
      </w:r>
      <w:r>
        <w:rPr>
          <w:rFonts w:hint="eastAsia" w:ascii="仿宋" w:hAnsi="仿宋" w:eastAsia="仿宋" w:cs="仿宋"/>
          <w:sz w:val="32"/>
          <w:szCs w:val="32"/>
          <w:highlight w:val="none"/>
          <w:lang w:val="en-US" w:eastAsia="zh-CN"/>
        </w:rPr>
        <w:t>4</w:t>
      </w:r>
      <w:r>
        <w:rPr>
          <w:rFonts w:hint="eastAsia" w:ascii="仿宋" w:hAnsi="仿宋" w:eastAsia="仿宋" w:cs="仿宋"/>
          <w:sz w:val="32"/>
          <w:szCs w:val="32"/>
          <w:highlight w:val="none"/>
          <w:lang w:eastAsia="zh-CN"/>
        </w:rPr>
        <w:t>年1</w:t>
      </w:r>
      <w:r>
        <w:rPr>
          <w:rFonts w:hint="eastAsia" w:ascii="仿宋" w:hAnsi="仿宋" w:eastAsia="仿宋" w:cs="仿宋"/>
          <w:sz w:val="32"/>
          <w:szCs w:val="32"/>
          <w:highlight w:val="none"/>
          <w:lang w:val="en-US" w:eastAsia="zh-CN"/>
        </w:rPr>
        <w:t>6</w:t>
      </w:r>
      <w:r>
        <w:rPr>
          <w:rFonts w:hint="eastAsia" w:ascii="仿宋" w:hAnsi="仿宋" w:eastAsia="仿宋" w:cs="仿宋"/>
          <w:sz w:val="32"/>
          <w:szCs w:val="32"/>
          <w:highlight w:val="none"/>
          <w:lang w:eastAsia="zh-CN"/>
        </w:rPr>
        <w:t>个项目分别成立了自评工作小组，明确了主管领导、业务科室等相关负责人，制定了自评工作方案，为此次自评工作做好了准备。</w:t>
      </w:r>
    </w:p>
    <w:p>
      <w:pPr>
        <w:keepNext w:val="0"/>
        <w:keepLines w:val="0"/>
        <w:pageBreakBefore w:val="0"/>
        <w:widowControl w:val="0"/>
        <w:numPr>
          <w:ilvl w:val="0"/>
          <w:numId w:val="1"/>
        </w:numPr>
        <w:kinsoku/>
        <w:wordWrap/>
        <w:overflowPunct/>
        <w:topLinePunct w:val="0"/>
        <w:autoSpaceDE/>
        <w:autoSpaceDN/>
        <w:bidi w:val="0"/>
        <w:spacing w:line="560" w:lineRule="exact"/>
        <w:ind w:left="0" w:leftChars="0" w:firstLine="640" w:firstLineChars="200"/>
        <w:textAlignment w:val="auto"/>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rPr>
        <w:t>自评的方法和过程</w:t>
      </w:r>
    </w:p>
    <w:p>
      <w:pPr>
        <w:keepNext w:val="0"/>
        <w:keepLines w:val="0"/>
        <w:pageBreakBefore w:val="0"/>
        <w:widowControl w:val="0"/>
        <w:kinsoku/>
        <w:wordWrap/>
        <w:overflowPunct/>
        <w:topLinePunct w:val="0"/>
        <w:autoSpaceDE/>
        <w:autoSpaceDN/>
        <w:bidi w:val="0"/>
        <w:adjustRightInd/>
        <w:snapToGrid w:val="0"/>
        <w:spacing w:line="560" w:lineRule="exact"/>
        <w:ind w:left="0" w:leftChars="0" w:right="0" w:firstLine="640" w:firstLineChars="200"/>
        <w:textAlignment w:val="auto"/>
        <w:outlineLvl w:val="9"/>
        <w:rPr>
          <w:rFonts w:hint="eastAsia"/>
        </w:rPr>
      </w:pPr>
      <w:r>
        <w:rPr>
          <w:rFonts w:hint="eastAsia" w:ascii="仿宋" w:hAnsi="仿宋" w:eastAsia="仿宋" w:cs="仿宋"/>
          <w:color w:val="auto"/>
          <w:sz w:val="32"/>
          <w:szCs w:val="32"/>
          <w:lang w:val="en-US" w:eastAsia="zh-CN"/>
        </w:rPr>
        <w:t>项目绩效自评由自评工作小组主要负责实施，相关业务科室做好配合工作。首先对16个项目的实际完成情况进行全面的了解，是否达到年初预算的目标效果并较好地完成了当年工作；其次对项目资金的使用情况进行评价，通过查阅2024年项目明细账，年初预算项目绩效表，年终总结等材料，审查项目资金是否做到专款专用、支出进度是否达到年初计划；最后对项目的实施过程中存在的问题或潜在问题进行分析讨论，并提出可行性建议和措施。</w:t>
      </w:r>
    </w:p>
    <w:p>
      <w:pPr>
        <w:keepNext w:val="0"/>
        <w:keepLines w:val="0"/>
        <w:pageBreakBefore w:val="0"/>
        <w:widowControl w:val="0"/>
        <w:kinsoku/>
        <w:wordWrap/>
        <w:overflowPunct/>
        <w:topLinePunct w:val="0"/>
        <w:autoSpaceDE/>
        <w:autoSpaceDN/>
        <w:bidi w:val="0"/>
        <w:adjustRightInd/>
        <w:snapToGrid w:val="0"/>
        <w:spacing w:line="560" w:lineRule="exact"/>
        <w:ind w:left="0" w:right="0" w:firstLine="640" w:firstLineChars="200"/>
        <w:textAlignment w:val="auto"/>
        <w:outlineLvl w:val="9"/>
        <w:rPr>
          <w:rFonts w:hint="eastAsia" w:ascii="黑体" w:hAnsi="黑体" w:eastAsia="黑体" w:cs="黑体"/>
          <w:sz w:val="32"/>
          <w:szCs w:val="32"/>
          <w:lang w:eastAsia="zh-CN"/>
        </w:rPr>
      </w:pPr>
      <w:r>
        <w:rPr>
          <w:rFonts w:hint="eastAsia" w:ascii="黑体" w:hAnsi="黑体" w:eastAsia="黑体" w:cs="黑体"/>
          <w:sz w:val="32"/>
          <w:szCs w:val="32"/>
          <w:lang w:eastAsia="zh-CN"/>
        </w:rPr>
        <w:t>三、部门整体支出绩效目标实现情况及指标分析</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lang w:eastAsia="zh-CN"/>
        </w:rPr>
        <w:t>（一）</w:t>
      </w:r>
      <w:r>
        <w:rPr>
          <w:rFonts w:hint="eastAsia" w:ascii="楷体_GB2312" w:hAnsi="楷体_GB2312" w:eastAsia="楷体_GB2312" w:cs="楷体_GB2312"/>
          <w:bCs/>
          <w:sz w:val="32"/>
          <w:szCs w:val="32"/>
        </w:rPr>
        <w:t>总体绩效目标实现情况</w:t>
      </w:r>
    </w:p>
    <w:p>
      <w:pPr>
        <w:keepNext w:val="0"/>
        <w:keepLines w:val="0"/>
        <w:pageBreakBefore w:val="0"/>
        <w:widowControl w:val="0"/>
        <w:kinsoku/>
        <w:wordWrap/>
        <w:overflowPunct/>
        <w:topLinePunct w:val="0"/>
        <w:autoSpaceDE/>
        <w:autoSpaceDN/>
        <w:bidi w:val="0"/>
        <w:spacing w:line="560" w:lineRule="exact"/>
        <w:ind w:firstLine="640" w:firstLineChars="200"/>
        <w:textAlignment w:val="auto"/>
        <w:rPr>
          <w:rFonts w:hint="eastAsia" w:ascii="仿宋" w:hAnsi="仿宋" w:eastAsia="仿宋" w:cs="仿宋"/>
          <w:sz w:val="32"/>
          <w:szCs w:val="32"/>
          <w:highlight w:val="none"/>
          <w:lang w:eastAsia="zh-CN"/>
        </w:rPr>
      </w:pPr>
      <w:r>
        <w:rPr>
          <w:rFonts w:hint="eastAsia" w:ascii="仿宋" w:hAnsi="仿宋" w:eastAsia="仿宋" w:cs="仿宋"/>
          <w:sz w:val="32"/>
          <w:szCs w:val="32"/>
          <w:highlight w:val="none"/>
          <w:lang w:eastAsia="zh-CN"/>
        </w:rPr>
        <w:t>20</w:t>
      </w:r>
      <w:r>
        <w:rPr>
          <w:rFonts w:hint="eastAsia" w:ascii="仿宋" w:hAnsi="仿宋" w:eastAsia="仿宋" w:cs="仿宋"/>
          <w:sz w:val="32"/>
          <w:szCs w:val="32"/>
          <w:highlight w:val="none"/>
          <w:lang w:val="en-US" w:eastAsia="zh-CN"/>
        </w:rPr>
        <w:t>24</w:t>
      </w:r>
      <w:r>
        <w:rPr>
          <w:rFonts w:hint="eastAsia" w:ascii="仿宋" w:hAnsi="仿宋" w:eastAsia="仿宋" w:cs="仿宋"/>
          <w:sz w:val="32"/>
          <w:szCs w:val="32"/>
          <w:highlight w:val="none"/>
          <w:lang w:eastAsia="zh-CN"/>
        </w:rPr>
        <w:t>年以来，我单位认真贯彻落实国家、省、市部署和要求，牢固树立安全红线意识，进一步强化责任落实、深化专项整治、夯实基层基础、创新工作举措、全面提高防灾减灾能力，严防各类事故发生，为我区建设“一极四城”营造良好氛围。坚持以人民为中心的发展思想，突出预防为主，继续推进安全生产责任制和企业双控机制落实，督促各生产经营单位安全管理能力提升；加大安全监管执法工作力度，强化重点行业领域隐患排查治理工作，严格查处安全生产违法行为，扭转我区安全生产被动局面；加强从业人员安全生产、防灾减灾等知识培训工作，组织开展应急救援演练和比武活动，提升各部门安全生产工作意识和工作能力；深入推进综合减灾能力建设，增强全社会对灾害的防范意识，保障我区安全生产形势持续稳定。</w:t>
      </w:r>
    </w:p>
    <w:p>
      <w:pPr>
        <w:keepNext w:val="0"/>
        <w:keepLines w:val="0"/>
        <w:pageBreakBefore w:val="0"/>
        <w:widowControl w:val="0"/>
        <w:kinsoku/>
        <w:wordWrap/>
        <w:overflowPunct/>
        <w:topLinePunct w:val="0"/>
        <w:autoSpaceDE/>
        <w:autoSpaceDN/>
        <w:bidi w:val="0"/>
        <w:spacing w:line="560" w:lineRule="exact"/>
        <w:ind w:firstLine="640" w:firstLineChars="200"/>
        <w:textAlignment w:val="auto"/>
        <w:rPr>
          <w:rFonts w:ascii="楷体" w:hAnsi="楷体" w:eastAsia="楷体"/>
          <w:bCs/>
          <w:sz w:val="32"/>
          <w:szCs w:val="32"/>
        </w:rPr>
      </w:pPr>
      <w:r>
        <w:rPr>
          <w:rFonts w:hint="eastAsia" w:ascii="楷体_GB2312" w:hAnsi="楷体_GB2312" w:eastAsia="楷体_GB2312" w:cs="楷体_GB2312"/>
          <w:bCs/>
          <w:sz w:val="32"/>
          <w:szCs w:val="32"/>
        </w:rPr>
        <w:t>（二）分项绩效目标实现情况及指标分析</w:t>
      </w:r>
    </w:p>
    <w:p>
      <w:pPr>
        <w:widowControl w:val="0"/>
        <w:wordWrap/>
        <w:adjustRightInd/>
        <w:snapToGrid w:val="0"/>
        <w:spacing w:line="560" w:lineRule="exact"/>
        <w:ind w:left="0" w:leftChars="0" w:right="0" w:firstLine="640" w:firstLineChars="200"/>
        <w:textAlignment w:val="auto"/>
        <w:outlineLvl w:val="9"/>
        <w:rPr>
          <w:rFonts w:hint="eastAsia" w:ascii="仿宋" w:hAnsi="仿宋" w:eastAsia="仿宋" w:cs="仿宋"/>
          <w:sz w:val="32"/>
          <w:szCs w:val="32"/>
          <w:lang w:eastAsia="zh-CN"/>
        </w:rPr>
      </w:pPr>
      <w:r>
        <w:rPr>
          <w:rFonts w:hint="eastAsia" w:ascii="仿宋" w:hAnsi="仿宋" w:eastAsia="仿宋" w:cs="仿宋"/>
          <w:sz w:val="32"/>
          <w:szCs w:val="32"/>
          <w:lang w:val="en-US" w:eastAsia="zh-CN"/>
        </w:rPr>
        <w:t>1.全区安全生产形势持续稳定。</w:t>
      </w:r>
    </w:p>
    <w:p>
      <w:pPr>
        <w:widowControl w:val="0"/>
        <w:wordWrap/>
        <w:adjustRightInd/>
        <w:snapToGrid w:val="0"/>
        <w:spacing w:line="560" w:lineRule="exact"/>
        <w:ind w:left="0" w:leftChars="0" w:right="0" w:firstLine="640" w:firstLineChars="200"/>
        <w:textAlignment w:val="auto"/>
        <w:outlineLvl w:val="9"/>
        <w:rPr>
          <w:rFonts w:hint="eastAsia" w:ascii="仿宋" w:hAnsi="仿宋" w:eastAsia="仿宋" w:cs="仿宋"/>
          <w:sz w:val="32"/>
          <w:szCs w:val="32"/>
          <w:lang w:eastAsia="zh-CN"/>
        </w:rPr>
      </w:pPr>
      <w:r>
        <w:rPr>
          <w:rFonts w:hint="eastAsia" w:ascii="仿宋" w:hAnsi="仿宋" w:eastAsia="仿宋" w:cs="仿宋"/>
          <w:sz w:val="32"/>
          <w:szCs w:val="32"/>
          <w:lang w:val="en-US" w:eastAsia="zh-CN"/>
        </w:rPr>
        <w:t>落实全区安全隐患排查工作，增强全区人民的安全防范意识，在全区营造全民参与的安全生产工作氛围。联合专家团队，对全区危化、工贸等行业领域进行专家查隐患活动，排查企业数167家，隐患排查率95%以上，隐患整改率100%。广泛开展培训，印发宣传资料提升各类人员履职意识和知识水平。</w:t>
      </w:r>
    </w:p>
    <w:p>
      <w:pPr>
        <w:widowControl w:val="0"/>
        <w:numPr>
          <w:ilvl w:val="0"/>
          <w:numId w:val="0"/>
        </w:numPr>
        <w:wordWrap/>
        <w:adjustRightInd/>
        <w:snapToGrid w:val="0"/>
        <w:spacing w:line="560" w:lineRule="exact"/>
        <w:ind w:right="0" w:rightChars="0" w:firstLine="640" w:firstLineChars="200"/>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2.区安委会日常工作能力进一步提升。</w:t>
      </w:r>
    </w:p>
    <w:p>
      <w:pPr>
        <w:widowControl w:val="0"/>
        <w:numPr>
          <w:ilvl w:val="0"/>
          <w:numId w:val="0"/>
        </w:numPr>
        <w:wordWrap/>
        <w:adjustRightInd/>
        <w:snapToGrid w:val="0"/>
        <w:spacing w:line="560" w:lineRule="exact"/>
        <w:ind w:right="0" w:rightChars="0" w:firstLine="640" w:firstLineChars="200"/>
        <w:textAlignment w:val="auto"/>
        <w:outlineLvl w:val="9"/>
        <w:rPr>
          <w:rFonts w:hint="eastAsia" w:ascii="仿宋" w:hAnsi="仿宋" w:eastAsia="仿宋" w:cs="仿宋"/>
          <w:sz w:val="32"/>
          <w:szCs w:val="32"/>
          <w:lang w:eastAsia="zh-CN"/>
        </w:rPr>
      </w:pPr>
      <w:r>
        <w:rPr>
          <w:rFonts w:hint="eastAsia" w:ascii="仿宋" w:hAnsi="仿宋" w:eastAsia="仿宋" w:cs="仿宋"/>
          <w:sz w:val="32"/>
          <w:szCs w:val="32"/>
          <w:lang w:val="en-US" w:eastAsia="zh-CN"/>
        </w:rPr>
        <w:t>印制安全生产法律法规和区政府各类政策文件，及时贯彻落实安全生产规章标准。组织安全生产考评、定期开展安全生产督导检查。对职责范围内的重点生产经营单位实现执法全覆盖，对发现的安全生产重大违法违规行为行政处罚率达到100%，对企业主要负责人不依法履行安全职责的行政处罚率达100%，对执法检查企业的按期复查率达100%，全区全年发生事故总数为0次。全年召开4次以上安全生产例会安排部署、督促检查、指导协调全区安全生产工作。</w:t>
      </w:r>
    </w:p>
    <w:p>
      <w:pPr>
        <w:widowControl w:val="0"/>
        <w:wordWrap/>
        <w:adjustRightInd/>
        <w:snapToGrid w:val="0"/>
        <w:spacing w:line="560" w:lineRule="exact"/>
        <w:ind w:left="0" w:leftChars="0" w:right="0" w:firstLine="640" w:firstLineChars="200"/>
        <w:textAlignment w:val="auto"/>
        <w:outlineLvl w:val="9"/>
        <w:rPr>
          <w:rFonts w:hint="eastAsia" w:ascii="仿宋" w:hAnsi="仿宋" w:eastAsia="仿宋" w:cs="仿宋"/>
          <w:sz w:val="32"/>
          <w:szCs w:val="32"/>
          <w:lang w:eastAsia="zh-CN"/>
        </w:rPr>
      </w:pPr>
      <w:r>
        <w:rPr>
          <w:rFonts w:hint="eastAsia" w:ascii="仿宋" w:hAnsi="仿宋" w:eastAsia="仿宋" w:cs="仿宋"/>
          <w:sz w:val="32"/>
          <w:szCs w:val="32"/>
          <w:lang w:val="en-US" w:eastAsia="zh-CN"/>
        </w:rPr>
        <w:t>3.应对自然灾害的能力显著提高。</w:t>
      </w:r>
    </w:p>
    <w:p>
      <w:pPr>
        <w:widowControl w:val="0"/>
        <w:wordWrap/>
        <w:adjustRightInd/>
        <w:snapToGrid w:val="0"/>
        <w:spacing w:line="560" w:lineRule="exact"/>
        <w:ind w:left="0" w:leftChars="0" w:right="0" w:firstLine="640" w:firstLineChars="200"/>
        <w:textAlignment w:val="auto"/>
        <w:outlineLvl w:val="9"/>
        <w:rPr>
          <w:rFonts w:hint="eastAsia" w:ascii="仿宋" w:hAnsi="仿宋" w:eastAsia="仿宋" w:cs="仿宋"/>
          <w:sz w:val="32"/>
          <w:szCs w:val="32"/>
          <w:lang w:eastAsia="zh-CN"/>
        </w:rPr>
      </w:pPr>
      <w:r>
        <w:rPr>
          <w:rFonts w:hint="eastAsia" w:ascii="仿宋" w:hAnsi="仿宋" w:eastAsia="仿宋" w:cs="仿宋"/>
          <w:sz w:val="32"/>
          <w:szCs w:val="32"/>
          <w:lang w:val="en-US" w:eastAsia="zh-CN"/>
        </w:rPr>
        <w:t>健全自然灾害监测预警体系、推进自然灾害综合风险普查，提升监测能力，强化震情跟踪，发挥防汛抗旱减灾体系作用，维持全区安全的生产生活氛围。</w:t>
      </w:r>
    </w:p>
    <w:p>
      <w:pPr>
        <w:widowControl w:val="0"/>
        <w:wordWrap/>
        <w:adjustRightInd/>
        <w:snapToGrid w:val="0"/>
        <w:spacing w:line="560" w:lineRule="exact"/>
        <w:ind w:left="0" w:leftChars="0" w:right="0" w:firstLine="640" w:firstLineChars="200"/>
        <w:textAlignment w:val="auto"/>
        <w:outlineLvl w:val="9"/>
        <w:rPr>
          <w:rFonts w:hint="eastAsia" w:ascii="仿宋" w:hAnsi="仿宋" w:eastAsia="仿宋" w:cs="仿宋"/>
          <w:sz w:val="32"/>
          <w:szCs w:val="32"/>
          <w:lang w:eastAsia="zh-CN"/>
        </w:rPr>
      </w:pPr>
      <w:r>
        <w:rPr>
          <w:rFonts w:hint="eastAsia" w:ascii="仿宋" w:hAnsi="仿宋" w:eastAsia="仿宋" w:cs="仿宋"/>
          <w:sz w:val="32"/>
          <w:szCs w:val="32"/>
          <w:lang w:val="en-US" w:eastAsia="zh-CN"/>
        </w:rPr>
        <w:t>应急防汛物资储备资金补助力度达100%；坚持部门负责、属地为主的原则，逐层逐级压实防汛责任，灾害信息在12小时内进行报送，未发生重大负面舆情和事件。</w:t>
      </w:r>
    </w:p>
    <w:p>
      <w:pPr>
        <w:widowControl w:val="0"/>
        <w:numPr>
          <w:ilvl w:val="0"/>
          <w:numId w:val="0"/>
        </w:numPr>
        <w:wordWrap/>
        <w:adjustRightInd/>
        <w:snapToGrid w:val="0"/>
        <w:spacing w:line="560" w:lineRule="exact"/>
        <w:ind w:leftChars="200" w:right="0" w:rightChars="0" w:firstLine="320" w:firstLineChars="100"/>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4.应急管理机制更加健全。</w:t>
      </w:r>
    </w:p>
    <w:p>
      <w:pPr>
        <w:widowControl w:val="0"/>
        <w:numPr>
          <w:ilvl w:val="0"/>
          <w:numId w:val="0"/>
        </w:numPr>
        <w:wordWrap/>
        <w:adjustRightInd/>
        <w:snapToGrid w:val="0"/>
        <w:spacing w:line="560" w:lineRule="exact"/>
        <w:ind w:right="0" w:rightChars="0" w:firstLine="640" w:firstLineChars="200"/>
        <w:textAlignment w:val="auto"/>
        <w:outlineLvl w:val="9"/>
        <w:rPr>
          <w:rFonts w:hint="default" w:ascii="仿宋" w:hAnsi="仿宋" w:eastAsia="仿宋" w:cs="仿宋"/>
          <w:sz w:val="32"/>
          <w:szCs w:val="32"/>
          <w:lang w:val="en-US" w:eastAsia="zh-CN"/>
        </w:rPr>
      </w:pPr>
      <w:r>
        <w:rPr>
          <w:rFonts w:hint="eastAsia" w:ascii="仿宋" w:hAnsi="仿宋" w:eastAsia="仿宋" w:cs="仿宋"/>
          <w:sz w:val="32"/>
          <w:szCs w:val="32"/>
          <w:lang w:val="en-US" w:eastAsia="zh-CN"/>
        </w:rPr>
        <w:t>突出综合性联合演练。围绕汛情、城市内涝、危险化学品泄漏爆炸等复杂场景，组织开展跨区域、跨部门实战演练。突出基层应急演练。围绕提升乡镇（街道）、村（社区）最初半小时响应和先期处置能力，普及应急知识，提高社会公众的主动避险意识和自救互助技能。着眼防大汛、抗大震、抢大险、灭大火，进一步提升应急处置能力，提升社会公众的自救能力。</w:t>
      </w:r>
    </w:p>
    <w:p>
      <w:pPr>
        <w:widowControl w:val="0"/>
        <w:wordWrap/>
        <w:adjustRightInd/>
        <w:snapToGrid w:val="0"/>
        <w:spacing w:line="560" w:lineRule="exact"/>
        <w:ind w:right="0" w:firstLine="640" w:firstLineChars="200"/>
        <w:textAlignment w:val="auto"/>
        <w:outlineLvl w:val="9"/>
        <w:rPr>
          <w:rFonts w:hint="eastAsia" w:ascii="仿宋" w:hAnsi="仿宋" w:eastAsia="仿宋" w:cs="仿宋"/>
          <w:sz w:val="32"/>
          <w:szCs w:val="32"/>
          <w:lang w:eastAsia="zh-CN"/>
        </w:rPr>
      </w:pPr>
      <w:r>
        <w:rPr>
          <w:rFonts w:hint="eastAsia" w:ascii="仿宋" w:hAnsi="仿宋" w:eastAsia="仿宋" w:cs="仿宋"/>
          <w:sz w:val="32"/>
          <w:szCs w:val="32"/>
          <w:lang w:val="en-US" w:eastAsia="zh-CN"/>
        </w:rPr>
        <w:t>5.全区农村安全生活得到有效保障。</w:t>
      </w:r>
    </w:p>
    <w:p>
      <w:pPr>
        <w:keepNext w:val="0"/>
        <w:keepLines w:val="0"/>
        <w:pageBreakBefore w:val="0"/>
        <w:widowControl w:val="0"/>
        <w:numPr>
          <w:ilvl w:val="0"/>
          <w:numId w:val="0"/>
        </w:numPr>
        <w:kinsoku/>
        <w:wordWrap/>
        <w:overflowPunct/>
        <w:topLinePunct w:val="0"/>
        <w:autoSpaceDE/>
        <w:autoSpaceDN/>
        <w:bidi w:val="0"/>
        <w:adjustRightInd/>
        <w:snapToGrid w:val="0"/>
        <w:spacing w:line="560" w:lineRule="exact"/>
        <w:ind w:right="0" w:rightChars="0" w:firstLine="640" w:firstLineChars="200"/>
        <w:textAlignment w:val="auto"/>
        <w:outlineLvl w:val="9"/>
        <w:rPr>
          <w:rFonts w:hint="eastAsia" w:ascii="仿宋_GB2312" w:hAnsi="仿宋_GB2312" w:eastAsia="仿宋_GB2312" w:cs="仿宋_GB2312"/>
          <w:sz w:val="32"/>
          <w:szCs w:val="32"/>
          <w:highlight w:val="none"/>
          <w:lang w:eastAsia="zh-CN"/>
        </w:rPr>
      </w:pPr>
      <w:r>
        <w:rPr>
          <w:rFonts w:hint="eastAsia" w:ascii="仿宋" w:hAnsi="仿宋" w:eastAsia="仿宋" w:cs="仿宋"/>
          <w:sz w:val="32"/>
          <w:szCs w:val="32"/>
          <w:lang w:val="en-US" w:eastAsia="zh-CN"/>
        </w:rPr>
        <w:t>为全区189551农户购买农房保险，完善新型农民群众农村住房灾害救助体系，帮助农民住房灾后重建，有效提升农村农民群众住房抵御自然灾害风险的能力和灾后补偿水平。</w:t>
      </w:r>
    </w:p>
    <w:p>
      <w:pPr>
        <w:keepNext w:val="0"/>
        <w:keepLines w:val="0"/>
        <w:pageBreakBefore w:val="0"/>
        <w:widowControl w:val="0"/>
        <w:kinsoku/>
        <w:wordWrap/>
        <w:overflowPunct/>
        <w:topLinePunct w:val="0"/>
        <w:autoSpaceDE/>
        <w:autoSpaceDN/>
        <w:bidi w:val="0"/>
        <w:adjustRightInd/>
        <w:snapToGrid w:val="0"/>
        <w:spacing w:line="560" w:lineRule="exact"/>
        <w:ind w:left="0" w:right="0" w:firstLine="640" w:firstLineChars="200"/>
        <w:textAlignment w:val="auto"/>
        <w:outlineLvl w:val="9"/>
        <w:rPr>
          <w:rFonts w:hint="eastAsia" w:ascii="黑体" w:hAnsi="黑体" w:eastAsia="黑体" w:cs="黑体"/>
          <w:sz w:val="32"/>
          <w:szCs w:val="32"/>
          <w:lang w:eastAsia="zh-CN"/>
        </w:rPr>
      </w:pPr>
      <w:r>
        <w:rPr>
          <w:rFonts w:hint="eastAsia" w:ascii="黑体" w:hAnsi="黑体" w:eastAsia="黑体" w:cs="黑体"/>
          <w:sz w:val="32"/>
          <w:szCs w:val="32"/>
          <w:lang w:eastAsia="zh-CN"/>
        </w:rPr>
        <w:t>四、评价结论和评价等级</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仿宋" w:hAnsi="仿宋" w:eastAsia="仿宋" w:cs="仿宋"/>
          <w:sz w:val="32"/>
          <w:szCs w:val="32"/>
          <w:highlight w:val="none"/>
          <w:lang w:val="en-US" w:eastAsia="zh-CN"/>
        </w:rPr>
      </w:pPr>
      <w:r>
        <w:rPr>
          <w:rFonts w:hint="eastAsia" w:ascii="仿宋" w:hAnsi="仿宋" w:eastAsia="仿宋" w:cs="仿宋"/>
          <w:sz w:val="32"/>
          <w:szCs w:val="32"/>
          <w:highlight w:val="none"/>
          <w:lang w:val="en-US" w:eastAsia="zh-CN"/>
        </w:rPr>
        <w:t>2024年我单位明确</w:t>
      </w:r>
      <w:r>
        <w:rPr>
          <w:rFonts w:hint="eastAsia" w:ascii="仿宋" w:hAnsi="仿宋" w:eastAsia="仿宋" w:cs="仿宋"/>
          <w:sz w:val="32"/>
          <w:szCs w:val="32"/>
          <w:highlight w:val="none"/>
          <w:lang w:eastAsia="zh-CN"/>
        </w:rPr>
        <w:t>部门职责定位，严格按照年初整体绩效目标和分项绩效目标开展工作，圆满的完成了各项任务目标，在上级安全生产年度考核中取得优秀成绩。各项工作履职情况总得分</w:t>
      </w:r>
      <w:r>
        <w:rPr>
          <w:rFonts w:hint="eastAsia" w:ascii="仿宋" w:hAnsi="仿宋" w:eastAsia="仿宋" w:cs="仿宋"/>
          <w:sz w:val="32"/>
          <w:szCs w:val="32"/>
          <w:highlight w:val="none"/>
          <w:lang w:val="en-US" w:eastAsia="zh-CN"/>
        </w:rPr>
        <w:t>95</w:t>
      </w:r>
      <w:r>
        <w:rPr>
          <w:rFonts w:hint="eastAsia" w:ascii="仿宋" w:hAnsi="仿宋" w:eastAsia="仿宋" w:cs="仿宋"/>
          <w:sz w:val="32"/>
          <w:szCs w:val="32"/>
          <w:highlight w:val="none"/>
          <w:lang w:eastAsia="zh-CN"/>
        </w:rPr>
        <w:t>分，综合绩效评价等级为优秀。</w:t>
      </w:r>
      <w:bookmarkStart w:id="0" w:name="_GoBack"/>
      <w:bookmarkEnd w:id="0"/>
    </w:p>
    <w:p>
      <w:pPr>
        <w:keepNext w:val="0"/>
        <w:keepLines w:val="0"/>
        <w:pageBreakBefore w:val="0"/>
        <w:widowControl w:val="0"/>
        <w:numPr>
          <w:ilvl w:val="0"/>
          <w:numId w:val="3"/>
        </w:numPr>
        <w:kinsoku/>
        <w:wordWrap/>
        <w:overflowPunct/>
        <w:topLinePunct w:val="0"/>
        <w:autoSpaceDE/>
        <w:autoSpaceDN/>
        <w:bidi w:val="0"/>
        <w:adjustRightInd/>
        <w:snapToGrid w:val="0"/>
        <w:spacing w:line="560" w:lineRule="exact"/>
        <w:ind w:left="0" w:right="0" w:firstLine="640" w:firstLineChars="200"/>
        <w:textAlignment w:val="auto"/>
        <w:outlineLvl w:val="9"/>
        <w:rPr>
          <w:rFonts w:hint="eastAsia" w:ascii="黑体" w:hAnsi="黑体" w:eastAsia="黑体"/>
          <w:sz w:val="32"/>
          <w:szCs w:val="32"/>
        </w:rPr>
      </w:pPr>
      <w:r>
        <w:rPr>
          <w:rFonts w:hint="eastAsia" w:ascii="黑体" w:hAnsi="黑体" w:eastAsia="黑体"/>
          <w:sz w:val="32"/>
          <w:szCs w:val="32"/>
        </w:rPr>
        <w:t>存在的问题及改进措施</w:t>
      </w:r>
    </w:p>
    <w:p>
      <w:pPr>
        <w:keepNext w:val="0"/>
        <w:keepLines w:val="0"/>
        <w:pageBreakBefore w:val="0"/>
        <w:widowControl w:val="0"/>
        <w:numPr>
          <w:ilvl w:val="0"/>
          <w:numId w:val="4"/>
        </w:numPr>
        <w:kinsoku/>
        <w:wordWrap/>
        <w:overflowPunct/>
        <w:topLinePunct w:val="0"/>
        <w:autoSpaceDE/>
        <w:autoSpaceDN/>
        <w:bidi w:val="0"/>
        <w:spacing w:line="560" w:lineRule="exact"/>
        <w:ind w:firstLine="640" w:firstLineChars="200"/>
        <w:textAlignment w:val="auto"/>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rPr>
        <w:t>存在的主要问题</w:t>
      </w:r>
    </w:p>
    <w:p>
      <w:pPr>
        <w:pStyle w:val="2"/>
        <w:numPr>
          <w:ilvl w:val="0"/>
          <w:numId w:val="0"/>
        </w:numPr>
        <w:ind w:firstLine="640" w:firstLineChars="200"/>
        <w:rPr>
          <w:rFonts w:hint="eastAsia" w:ascii="仿宋" w:hAnsi="仿宋" w:eastAsia="仿宋" w:cs="仿宋"/>
          <w:color w:val="auto"/>
          <w:kern w:val="2"/>
          <w:sz w:val="32"/>
          <w:szCs w:val="32"/>
          <w:highlight w:val="none"/>
          <w:lang w:val="en-US" w:eastAsia="zh-CN" w:bidi="ar-SA"/>
        </w:rPr>
      </w:pPr>
      <w:r>
        <w:rPr>
          <w:rFonts w:hint="eastAsia" w:ascii="仿宋" w:hAnsi="仿宋" w:eastAsia="仿宋" w:cs="仿宋"/>
          <w:color w:val="auto"/>
          <w:kern w:val="2"/>
          <w:sz w:val="32"/>
          <w:szCs w:val="32"/>
          <w:highlight w:val="none"/>
          <w:lang w:val="en-US" w:eastAsia="zh-CN" w:bidi="ar-SA"/>
        </w:rPr>
        <w:t>因财政资金紧张，隐患排查工作未能完成年初既定目标，检查企业数量较少；视频监控在线率不及预期，未能实现对全区化工和工商贸企业视频监控全天候线上监管。</w:t>
      </w:r>
    </w:p>
    <w:p>
      <w:pPr>
        <w:keepNext w:val="0"/>
        <w:keepLines w:val="0"/>
        <w:pageBreakBefore w:val="0"/>
        <w:widowControl w:val="0"/>
        <w:numPr>
          <w:ilvl w:val="0"/>
          <w:numId w:val="4"/>
        </w:numPr>
        <w:kinsoku/>
        <w:wordWrap/>
        <w:overflowPunct/>
        <w:topLinePunct w:val="0"/>
        <w:autoSpaceDE/>
        <w:autoSpaceDN/>
        <w:bidi w:val="0"/>
        <w:spacing w:line="560" w:lineRule="exact"/>
        <w:ind w:left="0" w:leftChars="0" w:firstLine="640" w:firstLineChars="200"/>
        <w:textAlignment w:val="auto"/>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rPr>
        <w:t>针对问题提出具体的改进措施或建议</w:t>
      </w:r>
    </w:p>
    <w:p>
      <w:pPr>
        <w:pStyle w:val="2"/>
        <w:numPr>
          <w:ilvl w:val="0"/>
          <w:numId w:val="0"/>
        </w:numPr>
        <w:ind w:firstLine="640" w:firstLineChars="200"/>
        <w:rPr>
          <w:rFonts w:hint="eastAsia" w:ascii="仿宋" w:hAnsi="仿宋" w:eastAsia="仿宋" w:cs="仿宋"/>
          <w:color w:val="auto"/>
          <w:kern w:val="2"/>
          <w:sz w:val="32"/>
          <w:szCs w:val="32"/>
          <w:highlight w:val="none"/>
          <w:lang w:val="en-US" w:eastAsia="zh-CN" w:bidi="ar-SA"/>
        </w:rPr>
      </w:pPr>
      <w:r>
        <w:rPr>
          <w:rFonts w:hint="eastAsia" w:ascii="仿宋" w:hAnsi="仿宋" w:eastAsia="仿宋" w:cs="仿宋"/>
          <w:color w:val="auto"/>
          <w:kern w:val="2"/>
          <w:sz w:val="32"/>
          <w:szCs w:val="32"/>
          <w:highlight w:val="none"/>
          <w:lang w:val="en-US" w:eastAsia="zh-CN" w:bidi="ar-SA"/>
        </w:rPr>
        <w:t>合理制定隐患排查目标，争取为更多的企业帮扶指导。及时支付运营商线路资费，加大维护力度，提高在线率。</w:t>
      </w:r>
    </w:p>
    <w:p>
      <w:pPr>
        <w:keepNext w:val="0"/>
        <w:keepLines w:val="0"/>
        <w:pageBreakBefore w:val="0"/>
        <w:widowControl w:val="0"/>
        <w:kinsoku/>
        <w:wordWrap/>
        <w:overflowPunct/>
        <w:topLinePunct w:val="0"/>
        <w:autoSpaceDE/>
        <w:autoSpaceDN/>
        <w:bidi w:val="0"/>
        <w:adjustRightInd/>
        <w:snapToGrid w:val="0"/>
        <w:spacing w:line="560" w:lineRule="exact"/>
        <w:ind w:left="0" w:right="0" w:firstLine="640" w:firstLineChars="200"/>
        <w:textAlignment w:val="auto"/>
        <w:outlineLvl w:val="9"/>
        <w:rPr>
          <w:rFonts w:hint="eastAsia" w:ascii="黑体" w:hAnsi="黑体" w:eastAsia="黑体"/>
          <w:sz w:val="32"/>
          <w:szCs w:val="32"/>
        </w:rPr>
      </w:pPr>
      <w:r>
        <w:rPr>
          <w:rFonts w:hint="eastAsia" w:ascii="黑体" w:hAnsi="黑体" w:eastAsia="黑体"/>
          <w:sz w:val="32"/>
          <w:szCs w:val="32"/>
        </w:rPr>
        <w:t>六、评价工作组人员名单及签字（姓名、工作单位、职务、职称）</w:t>
      </w:r>
    </w:p>
    <w:p>
      <w:pPr>
        <w:keepNext w:val="0"/>
        <w:keepLines w:val="0"/>
        <w:pageBreakBefore w:val="0"/>
        <w:widowControl w:val="0"/>
        <w:kinsoku/>
        <w:wordWrap/>
        <w:overflowPunct/>
        <w:topLinePunct w:val="0"/>
        <w:autoSpaceDE/>
        <w:autoSpaceDN/>
        <w:adjustRightInd w:val="0"/>
        <w:snapToGrid w:val="0"/>
        <w:spacing w:line="560" w:lineRule="exact"/>
        <w:ind w:left="0" w:firstLine="640" w:firstLineChars="200"/>
        <w:rPr>
          <w:rFonts w:hint="eastAsia" w:ascii="黑体" w:hAnsi="黑体" w:eastAsia="黑体" w:cs="黑体"/>
          <w:sz w:val="32"/>
          <w:szCs w:val="32"/>
        </w:rPr>
      </w:pPr>
    </w:p>
    <w:p>
      <w:pPr>
        <w:pStyle w:val="2"/>
        <w:rPr>
          <w:rFonts w:hint="eastAsia" w:ascii="黑体" w:hAnsi="黑体" w:eastAsia="黑体" w:cs="黑体"/>
          <w:sz w:val="32"/>
          <w:szCs w:val="32"/>
        </w:rPr>
      </w:pPr>
    </w:p>
    <w:p>
      <w:pPr>
        <w:pStyle w:val="2"/>
        <w:rPr>
          <w:rFonts w:hint="eastAsia" w:ascii="黑体" w:hAnsi="黑体" w:eastAsia="黑体" w:cs="黑体"/>
          <w:sz w:val="32"/>
          <w:szCs w:val="32"/>
        </w:rPr>
      </w:pPr>
    </w:p>
    <w:tbl>
      <w:tblPr>
        <w:tblStyle w:val="8"/>
        <w:tblW w:w="9033"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083"/>
        <w:gridCol w:w="2415"/>
        <w:gridCol w:w="1755"/>
        <w:gridCol w:w="278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2083" w:type="dxa"/>
          </w:tcPr>
          <w:p>
            <w:pPr>
              <w:pBdr>
                <w:top w:val="none" w:color="auto" w:sz="0" w:space="0"/>
                <w:left w:val="none" w:color="auto" w:sz="0" w:space="0"/>
                <w:bottom w:val="none" w:color="auto" w:sz="0" w:space="0"/>
                <w:right w:val="none" w:color="auto" w:sz="0" w:space="0"/>
              </w:pBdr>
              <w:wordWrap/>
              <w:spacing w:line="560" w:lineRule="exact"/>
              <w:ind w:left="0"/>
              <w:jc w:val="center"/>
              <w:rPr>
                <w:rFonts w:hint="eastAsia" w:ascii="仿宋_GB2312" w:hAnsi="仿宋" w:eastAsia="仿宋_GB2312" w:cs="仿宋_GB2312"/>
                <w:sz w:val="32"/>
                <w:szCs w:val="32"/>
              </w:rPr>
            </w:pPr>
            <w:r>
              <w:rPr>
                <w:rFonts w:hint="eastAsia" w:ascii="仿宋_GB2312" w:hAnsi="仿宋" w:eastAsia="仿宋_GB2312" w:cs="仿宋_GB2312"/>
                <w:sz w:val="32"/>
                <w:szCs w:val="32"/>
              </w:rPr>
              <w:t>工作单位</w:t>
            </w:r>
          </w:p>
        </w:tc>
        <w:tc>
          <w:tcPr>
            <w:tcW w:w="2415" w:type="dxa"/>
          </w:tcPr>
          <w:p>
            <w:pPr>
              <w:pBdr>
                <w:top w:val="none" w:color="auto" w:sz="0" w:space="0"/>
                <w:left w:val="none" w:color="auto" w:sz="0" w:space="0"/>
                <w:bottom w:val="none" w:color="auto" w:sz="0" w:space="0"/>
                <w:right w:val="none" w:color="auto" w:sz="0" w:space="0"/>
              </w:pBdr>
              <w:wordWrap/>
              <w:spacing w:line="560" w:lineRule="exact"/>
              <w:ind w:left="0"/>
              <w:jc w:val="center"/>
              <w:rPr>
                <w:rFonts w:hint="eastAsia" w:ascii="仿宋_GB2312" w:hAnsi="仿宋" w:eastAsia="仿宋_GB2312" w:cs="仿宋_GB2312"/>
                <w:sz w:val="32"/>
                <w:szCs w:val="32"/>
                <w:lang w:val="en-US" w:eastAsia="zh-CN"/>
              </w:rPr>
            </w:pPr>
            <w:r>
              <w:rPr>
                <w:rFonts w:hint="eastAsia" w:ascii="仿宋_GB2312" w:hAnsi="仿宋" w:eastAsia="仿宋_GB2312" w:cs="仿宋_GB2312"/>
                <w:sz w:val="32"/>
                <w:szCs w:val="32"/>
              </w:rPr>
              <w:t>职务</w:t>
            </w:r>
            <w:r>
              <w:rPr>
                <w:rFonts w:hint="eastAsia" w:ascii="仿宋_GB2312" w:hAnsi="仿宋" w:eastAsia="仿宋_GB2312" w:cs="仿宋_GB2312"/>
                <w:sz w:val="32"/>
                <w:szCs w:val="32"/>
                <w:lang w:val="en-US" w:eastAsia="zh-CN"/>
              </w:rPr>
              <w:t>/职称</w:t>
            </w:r>
          </w:p>
        </w:tc>
        <w:tc>
          <w:tcPr>
            <w:tcW w:w="1755" w:type="dxa"/>
          </w:tcPr>
          <w:p>
            <w:pPr>
              <w:pBdr>
                <w:top w:val="none" w:color="auto" w:sz="0" w:space="0"/>
                <w:left w:val="none" w:color="auto" w:sz="0" w:space="0"/>
                <w:bottom w:val="none" w:color="auto" w:sz="0" w:space="0"/>
                <w:right w:val="none" w:color="auto" w:sz="0" w:space="0"/>
              </w:pBdr>
              <w:wordWrap/>
              <w:spacing w:line="560" w:lineRule="exact"/>
              <w:ind w:left="0"/>
              <w:jc w:val="center"/>
              <w:rPr>
                <w:rFonts w:hint="eastAsia" w:ascii="仿宋_GB2312" w:hAnsi="仿宋" w:eastAsia="仿宋_GB2312" w:cs="仿宋_GB2312"/>
                <w:sz w:val="32"/>
                <w:szCs w:val="32"/>
              </w:rPr>
            </w:pPr>
            <w:r>
              <w:rPr>
                <w:rFonts w:hint="eastAsia" w:ascii="仿宋_GB2312" w:hAnsi="仿宋" w:eastAsia="仿宋_GB2312" w:cs="仿宋_GB2312"/>
                <w:sz w:val="32"/>
                <w:szCs w:val="32"/>
              </w:rPr>
              <w:t>姓名</w:t>
            </w:r>
          </w:p>
        </w:tc>
        <w:tc>
          <w:tcPr>
            <w:tcW w:w="2780" w:type="dxa"/>
          </w:tcPr>
          <w:p>
            <w:pPr>
              <w:pBdr>
                <w:top w:val="none" w:color="auto" w:sz="0" w:space="0"/>
                <w:left w:val="none" w:color="auto" w:sz="0" w:space="0"/>
                <w:bottom w:val="none" w:color="auto" w:sz="0" w:space="0"/>
                <w:right w:val="none" w:color="auto" w:sz="0" w:space="0"/>
              </w:pBdr>
              <w:wordWrap/>
              <w:spacing w:line="560" w:lineRule="exact"/>
              <w:ind w:left="0"/>
              <w:jc w:val="center"/>
              <w:rPr>
                <w:rFonts w:hint="eastAsia" w:ascii="仿宋_GB2312" w:hAnsi="仿宋" w:eastAsia="仿宋_GB2312" w:cs="仿宋_GB2312"/>
                <w:sz w:val="32"/>
                <w:szCs w:val="32"/>
                <w:lang w:eastAsia="zh-CN"/>
              </w:rPr>
            </w:pPr>
            <w:r>
              <w:rPr>
                <w:rFonts w:hint="eastAsia" w:ascii="仿宋" w:hAnsi="仿宋" w:eastAsia="仿宋" w:cs="仿宋"/>
                <w:sz w:val="32"/>
                <w:szCs w:val="32"/>
                <w:lang w:val="en-US" w:eastAsia="zh-CN"/>
              </w:rPr>
              <w:t>签</w:t>
            </w:r>
            <w:r>
              <w:rPr>
                <w:rFonts w:hint="eastAsia" w:ascii="仿宋_GB2312" w:hAnsi="仿宋" w:eastAsia="仿宋_GB2312" w:cs="仿宋_GB2312"/>
                <w:sz w:val="32"/>
                <w:szCs w:val="32"/>
                <w:lang w:eastAsia="zh-CN"/>
              </w:rPr>
              <w:t>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2083" w:type="dxa"/>
            <w:vMerge w:val="restart"/>
            <w:vAlign w:val="center"/>
          </w:tcPr>
          <w:p>
            <w:pPr>
              <w:pBdr>
                <w:top w:val="none" w:color="auto" w:sz="0" w:space="0"/>
                <w:left w:val="none" w:color="auto" w:sz="0" w:space="0"/>
                <w:bottom w:val="none" w:color="auto" w:sz="0" w:space="0"/>
                <w:right w:val="none" w:color="auto" w:sz="0" w:space="0"/>
              </w:pBdr>
              <w:wordWrap/>
              <w:spacing w:line="560" w:lineRule="exact"/>
              <w:ind w:left="0"/>
              <w:jc w:val="center"/>
              <w:rPr>
                <w:rFonts w:hint="eastAsia" w:ascii="仿宋_GB2312" w:hAnsi="仿宋" w:eastAsia="仿宋_GB2312" w:cs="仿宋_GB2312"/>
                <w:sz w:val="32"/>
                <w:szCs w:val="32"/>
              </w:rPr>
            </w:pPr>
            <w:r>
              <w:rPr>
                <w:rFonts w:hint="eastAsia" w:ascii="仿宋" w:hAnsi="仿宋" w:eastAsia="仿宋" w:cs="仿宋"/>
                <w:sz w:val="32"/>
                <w:szCs w:val="32"/>
                <w:lang w:val="en-US" w:eastAsia="zh-CN"/>
              </w:rPr>
              <w:t>藁城区应急管理局</w:t>
            </w:r>
          </w:p>
        </w:tc>
        <w:tc>
          <w:tcPr>
            <w:tcW w:w="2415" w:type="dxa"/>
            <w:tcBorders>
              <w:left w:val="single" w:color="auto" w:sz="4" w:space="0"/>
            </w:tcBorders>
            <w:vAlign w:val="center"/>
          </w:tcPr>
          <w:p>
            <w:pPr>
              <w:ind w:left="0" w:leftChars="0" w:right="0" w:rightChars="0" w:firstLine="0" w:firstLineChars="0"/>
              <w:jc w:val="center"/>
              <w:rPr>
                <w:rFonts w:hint="eastAsia" w:ascii="仿宋_GB2312" w:hAnsi="仿宋" w:eastAsia="仿宋_GB2312" w:cs="仿宋_GB2312"/>
                <w:sz w:val="32"/>
                <w:szCs w:val="32"/>
              </w:rPr>
            </w:pPr>
            <w:r>
              <w:rPr>
                <w:rFonts w:hint="eastAsia" w:ascii="仿宋" w:hAnsi="仿宋" w:eastAsia="仿宋" w:cs="仿宋"/>
                <w:sz w:val="32"/>
                <w:szCs w:val="32"/>
                <w:lang w:val="en-US" w:eastAsia="zh-CN"/>
              </w:rPr>
              <w:t>局长</w:t>
            </w:r>
          </w:p>
        </w:tc>
        <w:tc>
          <w:tcPr>
            <w:tcW w:w="1755" w:type="dxa"/>
            <w:tcBorders>
              <w:left w:val="single" w:color="auto" w:sz="4" w:space="0"/>
            </w:tcBorders>
            <w:vAlign w:val="center"/>
          </w:tcPr>
          <w:p>
            <w:pPr>
              <w:ind w:left="0" w:leftChars="0" w:right="0" w:rightChars="0" w:firstLine="0" w:firstLineChars="0"/>
              <w:jc w:val="center"/>
              <w:rPr>
                <w:rFonts w:hint="eastAsia" w:ascii="仿宋_GB2312" w:hAnsi="仿宋" w:eastAsia="仿宋_GB2312" w:cs="仿宋_GB2312"/>
                <w:sz w:val="32"/>
                <w:szCs w:val="32"/>
              </w:rPr>
            </w:pPr>
            <w:r>
              <w:rPr>
                <w:rFonts w:hint="eastAsia" w:ascii="仿宋" w:hAnsi="仿宋" w:eastAsia="仿宋" w:cs="仿宋"/>
                <w:sz w:val="32"/>
                <w:szCs w:val="32"/>
                <w:lang w:val="en-US" w:eastAsia="zh-CN"/>
              </w:rPr>
              <w:t>倪建青</w:t>
            </w:r>
          </w:p>
        </w:tc>
        <w:tc>
          <w:tcPr>
            <w:tcW w:w="2780" w:type="dxa"/>
            <w:tcBorders>
              <w:left w:val="single" w:color="auto" w:sz="4" w:space="0"/>
            </w:tcBorders>
            <w:vAlign w:val="center"/>
          </w:tcPr>
          <w:p>
            <w:pPr>
              <w:ind w:left="0" w:leftChars="0" w:right="0" w:rightChars="0" w:firstLine="0" w:firstLineChars="0"/>
              <w:jc w:val="center"/>
              <w:rPr>
                <w:rFonts w:hint="eastAsia" w:ascii="仿宋" w:hAnsi="仿宋" w:eastAsia="仿宋" w:cs="仿宋"/>
                <w:sz w:val="32"/>
                <w:szCs w:val="32"/>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2083" w:type="dxa"/>
            <w:vMerge w:val="continue"/>
          </w:tcPr>
          <w:p/>
        </w:tc>
        <w:tc>
          <w:tcPr>
            <w:tcW w:w="2415" w:type="dxa"/>
            <w:tcBorders>
              <w:left w:val="single" w:color="auto" w:sz="4" w:space="0"/>
            </w:tcBorders>
            <w:vAlign w:val="center"/>
          </w:tcPr>
          <w:p>
            <w:pPr>
              <w:ind w:left="0" w:leftChars="0" w:right="0" w:rightChars="0" w:firstLine="0" w:firstLineChars="0"/>
              <w:jc w:val="center"/>
              <w:rPr>
                <w:rFonts w:hint="eastAsia" w:ascii="仿宋_GB2312" w:hAnsi="仿宋" w:eastAsia="仿宋_GB2312" w:cs="仿宋_GB2312"/>
                <w:sz w:val="32"/>
                <w:szCs w:val="32"/>
              </w:rPr>
            </w:pPr>
            <w:r>
              <w:rPr>
                <w:rFonts w:hint="eastAsia" w:ascii="仿宋" w:hAnsi="仿宋" w:eastAsia="仿宋" w:cs="仿宋"/>
                <w:sz w:val="32"/>
                <w:szCs w:val="32"/>
                <w:lang w:val="en-US" w:eastAsia="zh-CN"/>
              </w:rPr>
              <w:t>副局长</w:t>
            </w:r>
          </w:p>
        </w:tc>
        <w:tc>
          <w:tcPr>
            <w:tcW w:w="1755" w:type="dxa"/>
            <w:tcBorders>
              <w:left w:val="single" w:color="auto" w:sz="4" w:space="0"/>
            </w:tcBorders>
            <w:vAlign w:val="center"/>
          </w:tcPr>
          <w:p>
            <w:pPr>
              <w:ind w:left="0" w:leftChars="0" w:right="0" w:rightChars="0" w:firstLine="0" w:firstLineChars="0"/>
              <w:jc w:val="center"/>
              <w:rPr>
                <w:rFonts w:hint="eastAsia" w:ascii="仿宋_GB2312" w:hAnsi="仿宋" w:eastAsia="仿宋_GB2312" w:cs="仿宋_GB2312"/>
                <w:sz w:val="32"/>
                <w:szCs w:val="32"/>
              </w:rPr>
            </w:pPr>
            <w:r>
              <w:rPr>
                <w:rFonts w:hint="eastAsia" w:ascii="仿宋" w:hAnsi="仿宋" w:eastAsia="仿宋" w:cs="仿宋"/>
                <w:sz w:val="32"/>
                <w:szCs w:val="32"/>
                <w:lang w:val="en-US" w:eastAsia="zh-CN"/>
              </w:rPr>
              <w:t>吴国立</w:t>
            </w:r>
          </w:p>
        </w:tc>
        <w:tc>
          <w:tcPr>
            <w:tcW w:w="2780" w:type="dxa"/>
            <w:tcBorders>
              <w:left w:val="single" w:color="auto" w:sz="4" w:space="0"/>
            </w:tcBorders>
            <w:vAlign w:val="center"/>
          </w:tcPr>
          <w:p>
            <w:pPr>
              <w:ind w:left="0" w:leftChars="0" w:right="0" w:rightChars="0" w:firstLine="0" w:firstLineChars="0"/>
              <w:jc w:val="center"/>
              <w:rPr>
                <w:rFonts w:hint="eastAsia" w:ascii="仿宋" w:hAnsi="仿宋" w:eastAsia="仿宋" w:cs="仿宋"/>
                <w:sz w:val="32"/>
                <w:szCs w:val="32"/>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2083" w:type="dxa"/>
            <w:vMerge w:val="continue"/>
          </w:tcPr>
          <w:p/>
        </w:tc>
        <w:tc>
          <w:tcPr>
            <w:tcW w:w="2415" w:type="dxa"/>
            <w:tcBorders>
              <w:left w:val="single" w:color="auto" w:sz="4" w:space="0"/>
            </w:tcBorders>
            <w:vAlign w:val="center"/>
          </w:tcPr>
          <w:p>
            <w:pPr>
              <w:ind w:left="0" w:leftChars="0" w:right="0" w:rightChars="0" w:firstLine="0" w:firstLineChars="0"/>
              <w:jc w:val="center"/>
              <w:rPr>
                <w:rFonts w:ascii="仿宋_GB2312" w:hAnsi="仿宋" w:eastAsia="仿宋_GB2312" w:cs="仿宋_GB2312"/>
                <w:sz w:val="32"/>
                <w:szCs w:val="32"/>
              </w:rPr>
            </w:pPr>
            <w:r>
              <w:rPr>
                <w:rFonts w:hint="eastAsia" w:ascii="仿宋" w:hAnsi="仿宋" w:eastAsia="仿宋" w:cs="仿宋"/>
                <w:sz w:val="32"/>
                <w:szCs w:val="32"/>
                <w:lang w:val="en-US" w:eastAsia="zh-CN"/>
              </w:rPr>
              <w:t>办公室主任</w:t>
            </w:r>
          </w:p>
        </w:tc>
        <w:tc>
          <w:tcPr>
            <w:tcW w:w="1755" w:type="dxa"/>
            <w:tcBorders>
              <w:left w:val="single" w:color="auto" w:sz="4" w:space="0"/>
            </w:tcBorders>
            <w:vAlign w:val="center"/>
          </w:tcPr>
          <w:p>
            <w:pPr>
              <w:ind w:left="0" w:leftChars="0" w:right="0" w:rightChars="0" w:firstLine="0" w:firstLineChars="0"/>
              <w:jc w:val="center"/>
              <w:rPr>
                <w:rFonts w:ascii="仿宋_GB2312" w:hAnsi="仿宋" w:eastAsia="仿宋_GB2312" w:cs="仿宋_GB2312"/>
                <w:sz w:val="32"/>
                <w:szCs w:val="32"/>
              </w:rPr>
            </w:pPr>
            <w:r>
              <w:rPr>
                <w:rFonts w:hint="eastAsia" w:ascii="仿宋" w:hAnsi="仿宋" w:eastAsia="仿宋" w:cs="仿宋"/>
                <w:sz w:val="32"/>
                <w:szCs w:val="32"/>
                <w:lang w:val="en-US" w:eastAsia="zh-CN"/>
              </w:rPr>
              <w:t>董洁洁</w:t>
            </w:r>
          </w:p>
        </w:tc>
        <w:tc>
          <w:tcPr>
            <w:tcW w:w="2780" w:type="dxa"/>
            <w:tcBorders>
              <w:left w:val="single" w:color="auto" w:sz="4" w:space="0"/>
            </w:tcBorders>
            <w:vAlign w:val="center"/>
          </w:tcPr>
          <w:p>
            <w:pPr>
              <w:ind w:left="0" w:leftChars="0" w:right="0" w:rightChars="0" w:firstLine="0" w:firstLineChars="0"/>
              <w:jc w:val="center"/>
              <w:rPr>
                <w:rFonts w:hint="eastAsia" w:ascii="仿宋" w:hAnsi="仿宋" w:eastAsia="仿宋" w:cs="仿宋"/>
                <w:sz w:val="32"/>
                <w:szCs w:val="32"/>
                <w:lang w:val="en-US" w:eastAsia="zh-CN"/>
              </w:rPr>
            </w:pPr>
          </w:p>
        </w:tc>
      </w:tr>
    </w:tbl>
    <w:p>
      <w:pPr>
        <w:keepNext w:val="0"/>
        <w:keepLines w:val="0"/>
        <w:pageBreakBefore w:val="0"/>
        <w:widowControl w:val="0"/>
        <w:kinsoku/>
        <w:wordWrap/>
        <w:overflowPunct/>
        <w:topLinePunct w:val="0"/>
        <w:autoSpaceDE/>
        <w:autoSpaceDN/>
        <w:bidi w:val="0"/>
        <w:adjustRightInd/>
        <w:snapToGrid w:val="0"/>
        <w:spacing w:line="560" w:lineRule="exact"/>
        <w:ind w:right="0"/>
        <w:textAlignment w:val="auto"/>
        <w:outlineLvl w:val="9"/>
        <w:rPr>
          <w:rFonts w:hint="eastAsia" w:ascii="仿宋_GB2312" w:hAnsi="仿宋_GB2312" w:eastAsia="仿宋_GB2312" w:cs="仿宋_GB2312"/>
          <w:sz w:val="32"/>
          <w:szCs w:val="32"/>
          <w:lang w:eastAsia="zh-CN"/>
        </w:rPr>
      </w:pPr>
    </w:p>
    <w:sectPr>
      <w:headerReference r:id="rId3" w:type="default"/>
      <w:footerReference r:id="rId4" w:type="default"/>
      <w:pgSz w:w="11906" w:h="16838"/>
      <w:pgMar w:top="2098" w:right="1474" w:bottom="1984" w:left="1587" w:header="851" w:footer="992" w:gutter="0"/>
      <w:pgNumType w:fmt="numberInDash"/>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9DC6EDE4-367A-4D52-9D16-0456F189DC68}"/>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简体">
    <w:panose1 w:val="03000509000000000000"/>
    <w:charset w:val="86"/>
    <w:family w:val="auto"/>
    <w:pitch w:val="default"/>
    <w:sig w:usb0="00000001" w:usb1="080E0000" w:usb2="00000000" w:usb3="00000000" w:csb0="00040000" w:csb1="00000000"/>
    <w:embedRegular r:id="rId2" w:fontKey="{6BAADA70-447D-489F-835D-17A2C6C4BD66}"/>
  </w:font>
  <w:font w:name="仿宋_GB2312">
    <w:panose1 w:val="02010609030101010101"/>
    <w:charset w:val="86"/>
    <w:family w:val="auto"/>
    <w:pitch w:val="default"/>
    <w:sig w:usb0="00000000" w:usb1="00000000" w:usb2="00000000" w:usb3="00000000" w:csb0="00000000" w:csb1="00000000"/>
    <w:embedRegular r:id="rId3" w:fontKey="{2808C96B-858E-422F-8805-840CDE60E359}"/>
  </w:font>
  <w:font w:name="仿宋">
    <w:panose1 w:val="02010609060101010101"/>
    <w:charset w:val="86"/>
    <w:family w:val="auto"/>
    <w:pitch w:val="default"/>
    <w:sig w:usb0="800002BF" w:usb1="38CF7CFA" w:usb2="00000016" w:usb3="00000000" w:csb0="00040001" w:csb1="00000000"/>
    <w:embedRegular r:id="rId4" w:fontKey="{27D71B26-DBAC-4FD5-99BD-E60C17906AEB}"/>
  </w:font>
  <w:font w:name="楷体_GB2312">
    <w:panose1 w:val="02010609030101010101"/>
    <w:charset w:val="86"/>
    <w:family w:val="auto"/>
    <w:pitch w:val="default"/>
    <w:sig w:usb0="00000000" w:usb1="00000000" w:usb2="00000000" w:usb3="00000000" w:csb0="00000000" w:csb1="00000000"/>
    <w:embedRegular r:id="rId5" w:fontKey="{3E79D305-F5EA-4E25-8B64-80A366CDC9FD}"/>
  </w:font>
  <w:font w:name="楷体">
    <w:panose1 w:val="02010609060101010101"/>
    <w:charset w:val="86"/>
    <w:family w:val="modern"/>
    <w:pitch w:val="default"/>
    <w:sig w:usb0="800002BF" w:usb1="38CF7CFA" w:usb2="00000016" w:usb3="00000000" w:csb0="00040001" w:csb1="00000000"/>
    <w:embedRegular r:id="rId6" w:fontKey="{38B23479-1AA7-4F6D-8E3B-FDAA372D8DA5}"/>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rPr>
        <w:rFonts w:ascii="Times New Roman" w:hAnsi="Times New Roman" w:eastAsia="宋体" w:cs="Times New Roman"/>
        <w:kern w:val="2"/>
        <w:sz w:val="21"/>
        <w:szCs w:val="24"/>
        <w:lang w:val="en-US" w:eastAsia="zh-CN" w:bidi="ar-SA"/>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222250" cy="153035"/>
              <wp:effectExtent l="0" t="0" r="0" b="0"/>
              <wp:wrapNone/>
              <wp:docPr id="1" name="Quad Arrow 3073"/>
              <wp:cNvGraphicFramePr/>
              <a:graphic xmlns:a="http://schemas.openxmlformats.org/drawingml/2006/main">
                <a:graphicData uri="http://schemas.microsoft.com/office/word/2010/wordprocessingShape">
                  <wps:wsp>
                    <wps:cNvSpPr/>
                    <wps:spPr>
                      <a:xfrm>
                        <a:off x="0" y="0"/>
                        <a:ext cx="222163" cy="153339"/>
                      </a:xfrm>
                      <a:prstGeom prst="rect">
                        <a:avLst/>
                      </a:prstGeom>
                      <a:noFill/>
                      <a:ln cap="flat" cmpd="sng">
                        <a:noFill/>
                        <a:prstDash val="solid"/>
                        <a:round/>
                      </a:ln>
                    </wps:spPr>
                    <wps:txbx>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wps:txbx>
                    <wps:bodyPr vert="horz" wrap="none" lIns="0" tIns="0" rIns="0" bIns="0" anchor="t" anchorCtr="0" upright="1">
                      <a:spAutoFit/>
                    </wps:bodyPr>
                  </wps:wsp>
                </a:graphicData>
              </a:graphic>
            </wp:anchor>
          </w:drawing>
        </mc:Choice>
        <mc:Fallback>
          <w:pict>
            <v:rect id="Quad Arrow 3073" o:spid="_x0000_s1026" o:spt="1" style="position:absolute;left:0pt;margin-top:0pt;height:12.05pt;width:17.5pt;mso-position-horizontal:center;mso-position-horizontal-relative:margin;mso-wrap-style:none;z-index:251659264;mso-width-relative:page;mso-height-relative:page;" filled="f" stroked="f" coordsize="21600,21600" o:gfxdata="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">
              <v:fill on="f" focussize="0,0"/>
              <v:stroke on="f" joinstyle="round"/>
              <v:imagedata o:title=""/>
              <o:lock v:ext="edit" aspectratio="f"/>
              <v:textbox inset="0mm,0mm,0mm,0mm" style="mso-fit-shape-to-text:t;">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v:textbox>
            </v:rect>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pBdr>
        <w:bottom w:val="none" w:color="auto" w:sz="0" w:space="1"/>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98E0822F"/>
    <w:multiLevelType w:val="singleLevel"/>
    <w:tmpl w:val="98E0822F"/>
    <w:lvl w:ilvl="0" w:tentative="0">
      <w:start w:val="2"/>
      <w:numFmt w:val="chineseCounting"/>
      <w:suff w:val="nothing"/>
      <w:lvlText w:val="%1、"/>
      <w:lvlJc w:val="left"/>
      <w:rPr>
        <w:rFonts w:hint="eastAsia"/>
      </w:rPr>
    </w:lvl>
  </w:abstractNum>
  <w:abstractNum w:abstractNumId="1">
    <w:nsid w:val="CEBBC539"/>
    <w:multiLevelType w:val="singleLevel"/>
    <w:tmpl w:val="CEBBC539"/>
    <w:lvl w:ilvl="0" w:tentative="0">
      <w:start w:val="1"/>
      <w:numFmt w:val="chineseCounting"/>
      <w:suff w:val="nothing"/>
      <w:lvlText w:val="（%1）"/>
      <w:lvlJc w:val="left"/>
      <w:rPr>
        <w:rFonts w:hint="eastAsia"/>
      </w:rPr>
    </w:lvl>
  </w:abstractNum>
  <w:abstractNum w:abstractNumId="2">
    <w:nsid w:val="17721912"/>
    <w:multiLevelType w:val="singleLevel"/>
    <w:tmpl w:val="17721912"/>
    <w:lvl w:ilvl="0" w:tentative="0">
      <w:start w:val="2"/>
      <w:numFmt w:val="chineseCounting"/>
      <w:suff w:val="nothing"/>
      <w:lvlText w:val="（%1）"/>
      <w:lvlJc w:val="left"/>
      <w:rPr>
        <w:rFonts w:hint="eastAsia"/>
      </w:rPr>
    </w:lvl>
  </w:abstractNum>
  <w:abstractNum w:abstractNumId="3">
    <w:nsid w:val="330718AF"/>
    <w:multiLevelType w:val="singleLevel"/>
    <w:tmpl w:val="330718AF"/>
    <w:lvl w:ilvl="0" w:tentative="0">
      <w:start w:val="5"/>
      <w:numFmt w:val="chineseCounting"/>
      <w:suff w:val="nothing"/>
      <w:lvlText w:val="%1、"/>
      <w:lvlJc w:val="left"/>
      <w:rPr>
        <w:rFonts w:hint="eastAsia"/>
      </w:rPr>
    </w:lvl>
  </w:abstractNum>
  <w:num w:numId="1">
    <w:abstractNumId w:val="2"/>
  </w:num>
  <w:num w:numId="2">
    <w:abstractNumId w:val="0"/>
  </w:num>
  <w:num w:numId="3">
    <w:abstractNumId w:val="3"/>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TrueTypeFonts/>
  <w:saveSubsetFonts/>
  <w:bordersDoNotSurroundHeader w:val="1"/>
  <w:bordersDoNotSurroundFooter w:val="1"/>
  <w:documentProtection w:enforcement="0"/>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ulTrailSpace/>
    <w:doNotExpandShiftReturn/>
    <w:adjustLineHeightInTable/>
    <w:useFELayout/>
    <w:compatSetting w:name="compatibilityMode" w:uri="http://schemas.microsoft.com/office/word" w:val="14"/>
  </w:compat>
  <w:docVars>
    <w:docVar w:name="commondata" w:val="eyJoZGlkIjoiNGE2ZDVhYjFkNzNmZjA0ZTExM2M2ODcxZGVjNWRjNGEifQ=="/>
  </w:docVars>
  <w:rsids>
    <w:rsidRoot w:val="00000000"/>
    <w:rsid w:val="02B1196D"/>
    <w:rsid w:val="134F6B82"/>
    <w:rsid w:val="13955CCA"/>
    <w:rsid w:val="15484739"/>
    <w:rsid w:val="1E5C1B84"/>
    <w:rsid w:val="1E770600"/>
    <w:rsid w:val="1F8A03BC"/>
    <w:rsid w:val="29655053"/>
    <w:rsid w:val="2A83166E"/>
    <w:rsid w:val="3DDE37D0"/>
    <w:rsid w:val="43FF5951"/>
    <w:rsid w:val="49492E7D"/>
    <w:rsid w:val="51F64DFE"/>
    <w:rsid w:val="540D553E"/>
    <w:rsid w:val="58B8456C"/>
    <w:rsid w:val="611D5625"/>
    <w:rsid w:val="66617753"/>
    <w:rsid w:val="66B0553B"/>
    <w:rsid w:val="69206851"/>
    <w:rsid w:val="699D7EF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3">
    <w:name w:val="heading 1"/>
    <w:basedOn w:val="1"/>
    <w:next w:val="1"/>
    <w:link w:val="10"/>
    <w:qFormat/>
    <w:uiPriority w:val="0"/>
    <w:pPr>
      <w:keepNext/>
      <w:keepLines/>
      <w:spacing w:before="340" w:after="330" w:line="578" w:lineRule="auto"/>
      <w:outlineLvl w:val="0"/>
    </w:pPr>
    <w:rPr>
      <w:b/>
      <w:bCs/>
      <w:kern w:val="44"/>
      <w:sz w:val="44"/>
      <w:szCs w:val="44"/>
    </w:rPr>
  </w:style>
  <w:style w:type="paragraph" w:styleId="4">
    <w:name w:val="heading 2"/>
    <w:basedOn w:val="1"/>
    <w:next w:val="1"/>
    <w:link w:val="11"/>
    <w:qFormat/>
    <w:uiPriority w:val="0"/>
    <w:pPr>
      <w:keepNext/>
      <w:keepLines/>
      <w:spacing w:before="260" w:after="260" w:line="415" w:lineRule="auto"/>
      <w:outlineLvl w:val="1"/>
    </w:pPr>
    <w:rPr>
      <w:rFonts w:ascii="Times New Roman" w:hAnsi="Times New Roman" w:eastAsia="黑体"/>
      <w:b/>
      <w:bCs/>
      <w:sz w:val="32"/>
      <w:szCs w:val="32"/>
    </w:rPr>
  </w:style>
  <w:style w:type="paragraph" w:styleId="5">
    <w:name w:val="heading 3"/>
    <w:basedOn w:val="1"/>
    <w:next w:val="1"/>
    <w:link w:val="12"/>
    <w:qFormat/>
    <w:uiPriority w:val="0"/>
    <w:pPr>
      <w:keepNext/>
      <w:keepLines/>
      <w:spacing w:before="260" w:after="260" w:line="415" w:lineRule="auto"/>
      <w:outlineLvl w:val="2"/>
    </w:pPr>
    <w:rPr>
      <w:b/>
      <w:bCs/>
      <w:sz w:val="32"/>
      <w:szCs w:val="32"/>
    </w:rPr>
  </w:style>
  <w:style w:type="character" w:default="1" w:styleId="9">
    <w:name w:val="Default Paragraph Font"/>
    <w:qFormat/>
    <w:uiPriority w:val="0"/>
  </w:style>
  <w:style w:type="table" w:default="1" w:styleId="8">
    <w:name w:val="Normal Table"/>
    <w:semiHidden/>
    <w:qFormat/>
    <w:uiPriority w:val="0"/>
    <w:tblPr>
      <w:tblLayout w:type="fixed"/>
      <w:tblCellMar>
        <w:top w:w="0" w:type="dxa"/>
        <w:left w:w="108" w:type="dxa"/>
        <w:bottom w:w="0" w:type="dxa"/>
        <w:right w:w="108" w:type="dxa"/>
      </w:tblCellMar>
    </w:tblPr>
  </w:style>
  <w:style w:type="paragraph" w:customStyle="1" w:styleId="2">
    <w:name w:val="Default"/>
    <w:qFormat/>
    <w:uiPriority w:val="0"/>
    <w:pPr>
      <w:widowControl w:val="0"/>
      <w:autoSpaceDE w:val="0"/>
      <w:autoSpaceDN w:val="0"/>
      <w:adjustRightInd w:val="0"/>
    </w:pPr>
    <w:rPr>
      <w:rFonts w:ascii="宋体" w:hAnsi="Calibri" w:eastAsia="宋体" w:cs="宋体"/>
      <w:color w:val="000000"/>
      <w:sz w:val="24"/>
      <w:szCs w:val="24"/>
      <w:lang w:val="en-US" w:eastAsia="zh-CN" w:bidi="ar-SA"/>
    </w:rPr>
  </w:style>
  <w:style w:type="paragraph" w:styleId="6">
    <w:name w:val="footer"/>
    <w:basedOn w:val="1"/>
    <w:qFormat/>
    <w:uiPriority w:val="0"/>
    <w:pPr>
      <w:tabs>
        <w:tab w:val="center" w:pos="4153"/>
        <w:tab w:val="right" w:pos="8306"/>
      </w:tabs>
      <w:snapToGrid w:val="0"/>
      <w:jc w:val="left"/>
    </w:pPr>
    <w:rPr>
      <w:sz w:val="18"/>
      <w:szCs w:val="18"/>
    </w:rPr>
  </w:style>
  <w:style w:type="paragraph" w:styleId="7">
    <w:name w:val="header"/>
    <w:basedOn w:val="1"/>
    <w:qFormat/>
    <w:uiPriority w:val="0"/>
    <w:pPr>
      <w:pBdr>
        <w:bottom w:val="single" w:color="auto" w:sz="6" w:space="1"/>
      </w:pBdr>
      <w:tabs>
        <w:tab w:val="center" w:pos="4153"/>
        <w:tab w:val="right" w:pos="8306"/>
      </w:tabs>
      <w:snapToGrid w:val="0"/>
      <w:jc w:val="center"/>
    </w:pPr>
    <w:rPr>
      <w:sz w:val="18"/>
      <w:szCs w:val="18"/>
    </w:rPr>
  </w:style>
  <w:style w:type="character" w:customStyle="1" w:styleId="10">
    <w:name w:val="heading 1 Char"/>
    <w:basedOn w:val="9"/>
    <w:link w:val="3"/>
    <w:qFormat/>
    <w:uiPriority w:val="0"/>
    <w:rPr>
      <w:rFonts w:ascii="Times New Roman" w:hAnsi="Times New Roman" w:eastAsia="宋体" w:cs="Times New Roman"/>
      <w:b/>
      <w:bCs/>
      <w:kern w:val="44"/>
      <w:sz w:val="44"/>
      <w:szCs w:val="44"/>
      <w:lang w:val="en-US" w:eastAsia="zh-CN" w:bidi="ar-SA"/>
    </w:rPr>
  </w:style>
  <w:style w:type="character" w:customStyle="1" w:styleId="11">
    <w:name w:val="heading 2 Char"/>
    <w:basedOn w:val="9"/>
    <w:link w:val="4"/>
    <w:qFormat/>
    <w:uiPriority w:val="0"/>
    <w:rPr>
      <w:rFonts w:ascii="Times New Roman" w:hAnsi="Times New Roman" w:eastAsia="黑体" w:cs="Times New Roman"/>
      <w:b/>
      <w:bCs/>
      <w:kern w:val="2"/>
      <w:sz w:val="32"/>
      <w:szCs w:val="32"/>
      <w:lang w:val="en-US" w:eastAsia="zh-CN" w:bidi="ar-SA"/>
    </w:rPr>
  </w:style>
  <w:style w:type="character" w:customStyle="1" w:styleId="12">
    <w:name w:val="heading 3 Char"/>
    <w:basedOn w:val="9"/>
    <w:link w:val="5"/>
    <w:qFormat/>
    <w:uiPriority w:val="0"/>
    <w:rPr>
      <w:rFonts w:ascii="Times New Roman" w:hAnsi="Times New Roman" w:eastAsia="宋体" w:cs="Times New Roman"/>
      <w:b/>
      <w:bCs/>
      <w:kern w:val="2"/>
      <w:sz w:val="32"/>
      <w:szCs w:val="32"/>
      <w:lang w:val="en-US" w:eastAsia="zh-CN" w:bidi="ar-SA"/>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主题​​">
  <a:themeElements>
    <a:clrScheme name="Office 主题​​">
      <a:dk1>
        <a:srgbClr val="000000"/>
      </a:dk1>
      <a:lt1>
        <a:srgbClr val="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主题​​">
      <a:majorFont>
        <a:latin typeface=""/>
        <a:ea typeface=""/>
        <a:cs typeface=""/>
      </a:majorFont>
      <a:minorFont>
        <a:latin typeface=""/>
        <a:ea typeface=""/>
        <a:cs typeface=""/>
      </a:minorFont>
    </a:fontScheme>
    <a:fmtScheme name="Office 主题​​">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1"/>
        </a:gradFill>
      </a:fillStyleLst>
      <a:lnStyleLst>
        <a:ln w="9525" cap="flat" cmpd="sng">
          <a:solidFill>
            <a:schemeClr val="phClr">
              <a:shade val="95000"/>
              <a:satMod val="105000"/>
            </a:schemeClr>
          </a:solidFill>
          <a:prstDash val="solid"/>
          <a:round/>
        </a:ln>
        <a:ln w="25400" cap="flat" cmpd="sng">
          <a:solidFill>
            <a:schemeClr val="phClr"/>
          </a:solidFill>
          <a:prstDash val="solid"/>
          <a:round/>
        </a:ln>
        <a:ln w="38100" cap="flat" cmpd="sng">
          <a:solidFill>
            <a:schemeClr val="phClr"/>
          </a:solidFill>
          <a:prstDash val="solid"/>
          <a:round/>
        </a:ln>
      </a:lnStyleLst>
      <a:effectStyleLst>
        <a:effectStyle>
          <a:effectLst>
            <a:outerShdw blurRad="40000" dist="20000" dir="5400000" rotWithShape="0">
              <a:srgbClr val="000000">
                <a:alpha val="37647"/>
              </a:srgbClr>
            </a:outerShdw>
          </a:effectLst>
        </a:effectStyle>
        <a:effectStyle>
          <a:effectLst>
            <a:outerShdw blurRad="40000" dist="23000" dir="5400000" rotWithShape="0">
              <a:srgbClr val="000000">
                <a:alpha val="34509"/>
              </a:srgbClr>
            </a:outerShdw>
          </a:effectLst>
        </a:effectStyle>
        <a:effectStyle>
          <a:effectLst>
            <a:outerShdw blurRad="40000" dist="23000" dir="5400000" rotWithShape="0">
              <a:srgbClr val="000000">
                <a:alpha val="34509"/>
              </a:srgbClr>
            </a:outerShdw>
          </a:effectLst>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50000" r="50000" b="50000"/>
          </a:path>
          <a:tileRect/>
        </a:gradFill>
        <a:gradFill rotWithShape="1">
          <a:gsLst>
            <a:gs pos="0">
              <a:schemeClr val="phClr">
                <a:tint val="80000"/>
                <a:satMod val="300000"/>
              </a:schemeClr>
            </a:gs>
            <a:gs pos="100000">
              <a:schemeClr val="phClr">
                <a:shade val="30000"/>
                <a:satMod val="200000"/>
              </a:schemeClr>
            </a:gs>
          </a:gsLst>
          <a:path path="circle">
            <a:fillToRect l="50000" t="50000" r="50000" b="50000"/>
          </a:path>
          <a:tileRect/>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Normal.eit</Template>
  <Company>Lenovo</Company>
  <Pages>2</Pages>
  <Words>614</Words>
  <Characters>633</Characters>
  <Lines>0</Lines>
  <Paragraphs>31</Paragraphs>
  <TotalTime>6</TotalTime>
  <ScaleCrop>false</ScaleCrop>
  <LinksUpToDate>false</LinksUpToDate>
  <CharactersWithSpaces>633</CharactersWithSpaces>
  <Application>WPS Office_11.8.2.8593_F1E327BC-269C-435d-A152-05C5408002CA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2019-11-14T00:58:00Z</dcterms:created>
  <dc:creator>user</dc:creator>
  <cp:lastModifiedBy>gaj</cp:lastModifiedBy>
  <cp:lastPrinted>2021-02-24T05:43:00Z</cp:lastPrinted>
  <dcterms:modified xsi:type="dcterms:W3CDTF">2025-04-29T06:33:21Z</dcterms:modified>
  <dc:title>附件2： </dc:title>
  <cp:revision>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2052-11.8.2.8593</vt:lpwstr>
  </property>
  <property fmtid="{D5CDD505-2E9C-101B-9397-08002B2CF9AE}" pid="3" name="ICV">
    <vt:lpwstr>28C64EFCB758481798A31117B3E7B5E3</vt:lpwstr>
  </property>
  <property fmtid="{D5CDD505-2E9C-101B-9397-08002B2CF9AE}" pid="4" name="KSOTemplateDocerSaveRecord">
    <vt:lpwstr>eyJoZGlkIjoiNzljNTRhNTNjOWE4MjBkMjQxNjdkNzdjYmE3M2NkNDQiLCJ1c2VySWQiOiIyNjg1NDQzODEifQ==</vt:lpwstr>
  </property>
</Properties>
</file>