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藁城区兴安镇人民政府</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藁城区兴安镇人民政府</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numPr>
          <w:numId w:val="0"/>
        </w:numPr>
        <w:kinsoku/>
        <w:wordWrap/>
        <w:overflowPunct/>
        <w:topLinePunct w:val="0"/>
        <w:autoSpaceDE/>
        <w:autoSpaceDN/>
        <w:bidi w:val="0"/>
        <w:adjustRightInd/>
        <w:snapToGrid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1.机构设置</w:t>
      </w:r>
    </w:p>
    <w:tbl>
      <w:tblPr>
        <w:tblStyle w:val="4"/>
        <w:tblpPr w:leftFromText="180" w:rightFromText="180" w:vertAnchor="text" w:horzAnchor="page" w:tblpXSpec="center" w:tblpY="10"/>
        <w:tblOverlap w:val="never"/>
        <w:tblW w:w="98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
        <w:gridCol w:w="5055"/>
        <w:gridCol w:w="2085"/>
        <w:gridCol w:w="18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834"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序号</w:t>
            </w:r>
          </w:p>
        </w:tc>
        <w:tc>
          <w:tcPr>
            <w:tcW w:w="505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单位名称</w:t>
            </w:r>
          </w:p>
        </w:tc>
        <w:tc>
          <w:tcPr>
            <w:tcW w:w="208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单位基本性质</w:t>
            </w:r>
          </w:p>
        </w:tc>
        <w:tc>
          <w:tcPr>
            <w:tcW w:w="1876" w:type="dxa"/>
            <w:tcBorders>
              <w:top w:val="nil"/>
              <w:left w:val="single" w:color="auto" w:sz="4" w:space="0"/>
              <w:bottom w:val="single" w:color="auto" w:sz="4" w:space="0"/>
              <w:right w:val="nil"/>
            </w:tcBorders>
            <w:noWrap w:val="0"/>
            <w:vAlign w:val="center"/>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834" w:type="dxa"/>
            <w:tcBorders>
              <w:top w:val="single" w:color="auto" w:sz="4" w:space="0"/>
              <w:left w:val="nil"/>
              <w:bottom w:val="nil"/>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1</w:t>
            </w:r>
          </w:p>
        </w:tc>
        <w:tc>
          <w:tcPr>
            <w:tcW w:w="5055" w:type="dxa"/>
            <w:tcBorders>
              <w:top w:val="single" w:color="auto" w:sz="4" w:space="0"/>
              <w:left w:val="single" w:color="auto" w:sz="4" w:space="0"/>
              <w:bottom w:val="nil"/>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lang w:eastAsia="zh-CN"/>
              </w:rPr>
              <w:t>石家庄市藁城区兴安镇人民政府</w:t>
            </w:r>
            <w:r>
              <w:rPr>
                <w:rFonts w:hint="eastAsia" w:ascii="仿宋_GB2312" w:hAnsi="Cambria" w:eastAsia="仿宋_GB2312" w:cs="ArialUnicodeMS"/>
                <w:b w:val="0"/>
                <w:bCs w:val="0"/>
                <w:kern w:val="0"/>
                <w:sz w:val="28"/>
                <w:szCs w:val="28"/>
              </w:rPr>
              <w:t>(</w:t>
            </w:r>
            <w:r>
              <w:rPr>
                <w:rFonts w:hint="eastAsia" w:ascii="仿宋_GB2312" w:hAnsi="Cambria" w:eastAsia="仿宋_GB2312" w:cs="ArialUnicodeMS"/>
                <w:b w:val="0"/>
                <w:bCs w:val="0"/>
                <w:kern w:val="0"/>
                <w:sz w:val="28"/>
                <w:szCs w:val="28"/>
                <w:lang w:eastAsia="zh-CN"/>
              </w:rPr>
              <w:t>机关</w:t>
            </w:r>
            <w:r>
              <w:rPr>
                <w:rFonts w:hint="eastAsia" w:ascii="仿宋_GB2312" w:hAnsi="Cambria" w:eastAsia="仿宋_GB2312" w:cs="ArialUnicodeMS"/>
                <w:b w:val="0"/>
                <w:bCs w:val="0"/>
                <w:kern w:val="0"/>
                <w:sz w:val="28"/>
                <w:szCs w:val="28"/>
              </w:rPr>
              <w:t>)</w:t>
            </w:r>
          </w:p>
        </w:tc>
        <w:tc>
          <w:tcPr>
            <w:tcW w:w="2085" w:type="dxa"/>
            <w:tcBorders>
              <w:top w:val="single" w:color="auto" w:sz="4" w:space="0"/>
              <w:left w:val="single" w:color="auto" w:sz="4" w:space="0"/>
              <w:bottom w:val="nil"/>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lang w:eastAsia="zh-CN"/>
              </w:rPr>
            </w:pPr>
            <w:r>
              <w:rPr>
                <w:rFonts w:hint="eastAsia" w:ascii="仿宋_GB2312" w:hAnsi="Cambria" w:eastAsia="仿宋_GB2312" w:cs="ArialUnicodeMS"/>
                <w:b w:val="0"/>
                <w:bCs w:val="0"/>
                <w:kern w:val="0"/>
                <w:sz w:val="28"/>
                <w:szCs w:val="28"/>
                <w:lang w:eastAsia="zh-CN"/>
              </w:rPr>
              <w:t>行政单位</w:t>
            </w:r>
          </w:p>
        </w:tc>
        <w:tc>
          <w:tcPr>
            <w:tcW w:w="1876" w:type="dxa"/>
            <w:tcBorders>
              <w:top w:val="single" w:color="auto" w:sz="4" w:space="0"/>
              <w:left w:val="single" w:color="auto" w:sz="4" w:space="0"/>
              <w:bottom w:val="nil"/>
              <w:right w:val="nil"/>
            </w:tcBorders>
            <w:noWrap w:val="0"/>
            <w:vAlign w:val="top"/>
          </w:tcPr>
          <w:p>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lang w:eastAsia="zh-CN"/>
              </w:rPr>
            </w:pPr>
            <w:r>
              <w:rPr>
                <w:rFonts w:hint="eastAsia" w:ascii="仿宋_GB2312" w:hAnsi="Cambria" w:eastAsia="仿宋_GB2312" w:cs="ArialUnicodeMS"/>
                <w:b w:val="0"/>
                <w:bCs w:val="0"/>
                <w:kern w:val="0"/>
                <w:sz w:val="28"/>
                <w:szCs w:val="28"/>
                <w:lang w:eastAsia="zh-CN"/>
              </w:rPr>
              <w:t>财政拨款</w:t>
            </w:r>
          </w:p>
        </w:tc>
      </w:tr>
    </w:tbl>
    <w:p>
      <w:pPr>
        <w:keepNext w:val="0"/>
        <w:keepLines w:val="0"/>
        <w:pageBreakBefore w:val="0"/>
        <w:widowControl w:val="0"/>
        <w:numPr>
          <w:numId w:val="0"/>
        </w:numPr>
        <w:kinsoku/>
        <w:wordWrap/>
        <w:overflowPunct/>
        <w:topLinePunct w:val="0"/>
        <w:autoSpaceDE/>
        <w:autoSpaceDN/>
        <w:bidi w:val="0"/>
        <w:adjustRightInd/>
        <w:snapToGrid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numPr>
          <w:numId w:val="0"/>
        </w:numPr>
        <w:kinsoku/>
        <w:wordWrap/>
        <w:overflowPunct/>
        <w:topLinePunct w:val="0"/>
        <w:autoSpaceDE/>
        <w:autoSpaceDN/>
        <w:bidi w:val="0"/>
        <w:adjustRightInd/>
        <w:snapToGrid w:val="0"/>
        <w:spacing w:line="560" w:lineRule="exact"/>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2.人员情况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b w:val="0"/>
          <w:bCs w:val="0"/>
          <w:sz w:val="32"/>
          <w:szCs w:val="32"/>
          <w:lang w:val="en-US" w:eastAsia="zh-CN"/>
        </w:rPr>
        <w:t>2022</w:t>
      </w:r>
      <w:r>
        <w:rPr>
          <w:rFonts w:hint="eastAsia" w:ascii="仿宋_GB2312" w:hAnsi="仿宋" w:eastAsia="仿宋_GB2312"/>
          <w:b w:val="0"/>
          <w:bCs w:val="0"/>
          <w:sz w:val="32"/>
          <w:szCs w:val="32"/>
          <w:lang w:eastAsia="zh-CN"/>
        </w:rPr>
        <w:t>年末本部门实有人数</w:t>
      </w:r>
      <w:r>
        <w:rPr>
          <w:rFonts w:hint="eastAsia" w:ascii="仿宋_GB2312" w:hAnsi="仿宋" w:eastAsia="仿宋_GB2312"/>
          <w:b w:val="0"/>
          <w:bCs w:val="0"/>
          <w:sz w:val="32"/>
          <w:szCs w:val="32"/>
          <w:lang w:val="en-US" w:eastAsia="zh-CN"/>
        </w:rPr>
        <w:t>63人，其中镇政府行政干部40名，事业人员23名，离退休人员14人。</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3.部门职能</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政务管理：依法依规履行机关日常管理职责，确保政府工作正常运行。做好各类突发事件的应急管理工作，确保遇突发事件能够及时有效应对。</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经济发展：制定经济发展规划，促进民营企业发展，招商引资，发展支柱产业。</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维护社会稳定和国家安全:提高社会综合治理能力，预防减少不稳定因素的发生，做好信访维稳工作，有效化解不稳定隐患、群体性事件和突发事件。</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社会救助政策及管理：承担社会救助体系建设，负责农村居民最低生活保障、五保供养、医疗救助。</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加强土地管理：依法依规监督土地使用，配合上级土管部门治理违规使用土地情况</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环境保护与治理：积极配合执法部门依法治理大气、水、土地等污染。</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食品安全管理：配合执法部门依法进行食品安全管理对辖区内食品药品等进行监管。</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安全生产：创新和转变监管方式，构建长效机制，推动企业落实安全生产主体责任，提高企业安全生产管理水平，有效预防和减少各类生产安全事故的发生。</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农村管理及综合改革：农村村容村貌维护提升，保障农村基层党支部和村委会正常运行及业务开展，全面推进农村综合改革提供组织保障</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农业生产：发挥农业科技支撑作用，通过新技术成果的展示，辐射带动全镇适宜区域的农业行业技术推广应用，加强对动植物疫病的控制，建设防灾、减灾体系。</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城镇建设：城乡公共设施建设、美丽乡村建设、创建文明城市，污水处理、垃圾处理、厕所改造、村庄绿化、危房改造、饮水安全、道路硬化、绿化、亮化等，农村面貌改造有效提升。</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文教卫生：配合教育、科技、文体、卫生等部门搞好义务教育，做好疫情防控工作，普及推广科学技术，做好计生服务宣传计划生育政策，丰富农村文化生活，推行合作医疗。</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2023年本镇预算安排1893.76万元，决算支出1893.76万元，其中基本支出1195.74万元，包括人员经费1013.29万元和日常公用经费182.45万元，项目支出698.02万元，其中基本建设类项目110万元。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坚持以习近平新时代中国特色社会主义思想为指导，全面贯彻党的二十大精神和认真贯彻落实省、市、区一系列决策部署。镇党委全面领导本镇的工作和基层社会治理，支持和保证行政组织，经济组织和群众自治组织充分行驶职权。镇人大加强基层政权，推进基层民主法治建设和政治文明建设。镇政府依法行驶行政职权，宣传贯彻党的路线方针政策和党员代表大会的决议，讨论和决定本镇经济建设、政治建设、文化建设、社会建设、生态文明建设和党的建设以及乡村振兴中的重大问题。</w:t>
      </w: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全镇各部门团结带领全镇广大干部群众攻坚克难、砥砺奋进，坚持稳中求进、稳中求新、稳中求高，坚持深化改革、扩大开放，切实增强机遇意识、忧患意识、责任意识，统筹推进项目建设、乡村振兴、绿色发展、效能革命等重点工作，推动全镇高质量发展。</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val="en-US" w:eastAsia="zh-CN"/>
        </w:rPr>
        <w:t>二、</w:t>
      </w:r>
      <w:r>
        <w:rPr>
          <w:rFonts w:hint="eastAsia" w:ascii="黑体" w:hAnsi="黑体" w:eastAsia="黑体" w:cs="黑体"/>
          <w:sz w:val="32"/>
          <w:szCs w:val="32"/>
          <w:lang w:eastAsia="zh-CN"/>
        </w:rPr>
        <w:t>绩效</w:t>
      </w:r>
      <w:r>
        <w:rPr>
          <w:rFonts w:hint="eastAsia" w:ascii="黑体" w:hAnsi="黑体" w:eastAsia="黑体" w:cs="黑体"/>
          <w:sz w:val="32"/>
          <w:szCs w:val="32"/>
          <w:lang w:eastAsia="zh-CN"/>
        </w:rPr>
        <w:t>自评工作开展情况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为保证绩效管理工作的顺利开展，我镇成立了由镇长任组长的绩效管理工作领导小组，</w:t>
      </w:r>
      <w:r>
        <w:rPr>
          <w:rFonts w:hint="eastAsia" w:ascii="仿宋_GB2312" w:hAnsi="仿宋_GB2312" w:eastAsia="仿宋_GB2312" w:cs="仿宋_GB2312"/>
          <w:sz w:val="32"/>
          <w:szCs w:val="32"/>
          <w:highlight w:val="none"/>
          <w:lang w:val="en-US" w:eastAsia="zh-CN"/>
        </w:rPr>
        <w:t>安排财政人员</w:t>
      </w:r>
      <w:r>
        <w:rPr>
          <w:rFonts w:hint="eastAsia" w:ascii="仿宋_GB2312" w:hAnsi="仿宋_GB2312" w:eastAsia="仿宋_GB2312" w:cs="仿宋_GB2312"/>
          <w:sz w:val="32"/>
          <w:szCs w:val="32"/>
          <w:highlight w:val="none"/>
          <w:lang w:eastAsia="zh-CN"/>
        </w:rPr>
        <w:t>具体负责绩效管理工作，进行评价资料收集、评价过程、评价工作管理组织等情况。</w:t>
      </w:r>
    </w:p>
    <w:p>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1、成立预算绩效评价小组。为保证绩效评价工作顺利开展，石家庄市藁城区兴安镇人民政府成立了绩效评价领导小组，负责绩效评价的组织管理等工作。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2、组织开展自评。石家庄市藁城区兴安镇人民政府按照要求整理相关数据和资料，对部门综合绩效情况进行自我评价，由绩效评价领导小组牵头，组织机关各科室对202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年所有与本部门相关的财政支出项目开展了自评，逐个项目填报了《区级部门预算项目自评表》，并撰写《202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部门年度绩效自评工作报告》。</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3、石家庄市藁城区兴安镇人民政府执行财经制度和管理规定，按时完成预算执行进度，严格控制、合理利用各项经费，按要求进行预算管理。</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藁城区</w:t>
      </w:r>
      <w:r>
        <w:rPr>
          <w:rFonts w:hint="eastAsia" w:ascii="仿宋_GB2312" w:hAnsi="仿宋_GB2312" w:eastAsia="仿宋_GB2312" w:cs="仿宋_GB2312"/>
          <w:sz w:val="32"/>
          <w:szCs w:val="32"/>
          <w:highlight w:val="none"/>
          <w:lang w:eastAsia="zh-CN"/>
        </w:rPr>
        <w:t>兴安镇</w:t>
      </w:r>
      <w:r>
        <w:rPr>
          <w:rFonts w:hint="eastAsia" w:ascii="仿宋_GB2312" w:hAnsi="仿宋_GB2312" w:eastAsia="仿宋_GB2312" w:cs="仿宋_GB2312"/>
          <w:sz w:val="32"/>
          <w:szCs w:val="32"/>
          <w:highlight w:val="none"/>
          <w:lang w:val="en-US" w:eastAsia="zh-CN"/>
        </w:rPr>
        <w:t>人民政府</w:t>
      </w:r>
      <w:r>
        <w:rPr>
          <w:rFonts w:hint="eastAsia" w:ascii="仿宋_GB2312" w:hAnsi="仿宋_GB2312" w:eastAsia="仿宋_GB2312" w:cs="仿宋_GB2312"/>
          <w:sz w:val="32"/>
          <w:szCs w:val="32"/>
          <w:highlight w:val="none"/>
          <w:lang w:eastAsia="zh-CN"/>
        </w:rPr>
        <w:t>本着环境整治与治理、城乡面貌改造、村级运行、保障生产安全、维护社会稳定、防止环境污染、清理违法占地等工作中产生的人力、物力支出，确保我镇各项工作顺利</w:t>
      </w:r>
      <w:r>
        <w:rPr>
          <w:rFonts w:hint="eastAsia" w:ascii="仿宋_GB2312" w:hAnsi="仿宋_GB2312" w:eastAsia="仿宋_GB2312" w:cs="仿宋_GB2312"/>
          <w:sz w:val="32"/>
          <w:szCs w:val="32"/>
          <w:highlight w:val="none"/>
          <w:lang w:val="en-US" w:eastAsia="zh-CN"/>
        </w:rPr>
        <w:t>运行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2023年预算项目合计20个，共涉及预算调整资金988.8万元，包括</w:t>
      </w:r>
      <w:r>
        <w:rPr>
          <w:rFonts w:hint="eastAsia" w:ascii="仿宋_GB2312" w:hAnsi="仿宋_GB2312" w:eastAsia="仿宋_GB2312" w:cs="仿宋_GB2312"/>
          <w:sz w:val="32"/>
          <w:szCs w:val="32"/>
          <w:highlight w:val="none"/>
          <w:lang w:eastAsia="zh-CN"/>
        </w:rPr>
        <w:t>拆违拆建、土地治理与恢复、城乡社区环境综合整治、路域环境改造提升资金、社会综合治理（综治、联防人员劳务费、律师费等）、占地补偿、拆迁补偿费等，主要资金来源为财政预算拨款。</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镇将上述资金细化，根据预算管理的要求，结合我单位实际情况，制定了切实可行、可量化、可考评的年度目标，并依据财政制定的相关财经制度、政府采购法规及行政会计制度，在严格实行专款专用的前提下进行了实时监控、全程监督。单位领导十分重视专项资金的使用，按财政相关要求资金项目进展情况良好。截止2022年12月底，单位尚未发现有挪用、挤占专项资金的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拆违拆建、土地治理与恢复项目，2023年度完成土地治理与恢复，支付拆违建机械费用，达到19个村的土地治理与恢复需要，成本在可控制范围内，完成生态效益指标。</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城乡社区环境综合整治资金</w:t>
      </w:r>
      <w:r>
        <w:rPr>
          <w:rFonts w:hint="eastAsia" w:ascii="仿宋" w:hAnsi="仿宋" w:eastAsia="仿宋" w:cs="仿宋"/>
          <w:sz w:val="32"/>
          <w:szCs w:val="32"/>
          <w:highlight w:val="none"/>
          <w:lang w:val="en-US" w:eastAsia="zh-CN"/>
        </w:rPr>
        <w:t>，2023年度</w:t>
      </w:r>
      <w:r>
        <w:rPr>
          <w:rFonts w:hint="default" w:ascii="仿宋" w:hAnsi="仿宋" w:eastAsia="仿宋" w:cs="仿宋"/>
          <w:sz w:val="32"/>
          <w:szCs w:val="32"/>
          <w:highlight w:val="none"/>
          <w:lang w:val="en-US" w:eastAsia="zh-CN"/>
        </w:rPr>
        <w:t>用于城乡社区环境卫生的开支；减轻环境污染，改善村容村貌</w:t>
      </w:r>
      <w:r>
        <w:rPr>
          <w:rFonts w:hint="eastAsia" w:ascii="仿宋" w:hAnsi="仿宋" w:eastAsia="仿宋" w:cs="仿宋"/>
          <w:sz w:val="32"/>
          <w:szCs w:val="32"/>
          <w:highlight w:val="none"/>
          <w:lang w:val="en-US" w:eastAsia="zh-CN"/>
        </w:rPr>
        <w:t>，完成各村村容村貌的改善。</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村级补助经费</w:t>
      </w:r>
      <w:r>
        <w:rPr>
          <w:rFonts w:hint="eastAsia" w:ascii="仿宋" w:hAnsi="仿宋" w:eastAsia="仿宋" w:cs="仿宋"/>
          <w:sz w:val="32"/>
          <w:szCs w:val="32"/>
          <w:highlight w:val="none"/>
          <w:lang w:val="en-US" w:eastAsia="zh-CN"/>
        </w:rPr>
        <w:t>，2023年度用于新农村建设，全面推进农村工作事务，保障村级运行补助及活动经费及其他美丽乡村建设转移支付补助，农田设施、道路铁路、饮水工程等新农村建设补助支出业务经费，推进农村综合改革完成，农村基础设施建设。</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党组织活动经费，2023年度用于报刊征订、党组织活动的其他业务经费。</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机关后勤运转经费（综合工作经费）（运转保障）</w:t>
      </w:r>
      <w:r>
        <w:rPr>
          <w:rFonts w:hint="eastAsia" w:ascii="仿宋" w:hAnsi="仿宋" w:eastAsia="仿宋" w:cs="仿宋"/>
          <w:sz w:val="32"/>
          <w:szCs w:val="32"/>
          <w:highlight w:val="none"/>
          <w:lang w:val="en-US" w:eastAsia="zh-CN"/>
        </w:rPr>
        <w:t>项目，2023年度用于食堂各类物品伙食费及大院维修维护开支，保障大院环境整洁、正常运行。</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计划生育独生子女父母奖金,2023年度用于计划生育目标责任奖励、独生子女父母奖励等，用以维护独生子女群体的稳定。</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路域环境改造提升资金，2023年度完成兴柳线、定魏线、307沿线提升改造整治工程，道路改造完成率达到预期目标，实现环境提升目的。</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农村文化建设资金，2023年度用于提升农村文化水平，丰富村民文化生活，达到村内文化水平提升效果，完善农村文化建设。</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社会综合治理（综治、联防人员劳务费、律师费等），2023年度用于联防队员、门岗人员的开支，社会综合治理及律师费；保障劳务费按时发放，维护社会稳定。</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维护社会稳定及国家安全，2023年度用于维护社会稳定、国家安全的开支，保障村稳定水平，减少越级访、非访次数。</w:t>
      </w:r>
    </w:p>
    <w:p>
      <w:pPr>
        <w:keepNext w:val="0"/>
        <w:keepLines w:val="0"/>
        <w:pageBreakBefore w:val="0"/>
        <w:widowControl w:val="0"/>
        <w:numPr>
          <w:ilvl w:val="0"/>
          <w:numId w:val="3"/>
        </w:numPr>
        <w:tabs>
          <w:tab w:val="left" w:pos="2470"/>
        </w:tabs>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慰问、补助、奖励经费，2023年度完善救助补充体系，推动相关救助制度,做到应救全救保障边缘户，及其他临时困难群体的生活，救助符合条件对象，保障困难群体受益。</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信访维稳、安全生产、食品安全（综合工作经费）</w:t>
      </w:r>
      <w:r>
        <w:rPr>
          <w:rFonts w:hint="eastAsia" w:ascii="仿宋_GB2312" w:hAnsi="仿宋" w:eastAsia="仿宋_GB2312"/>
          <w:sz w:val="32"/>
          <w:szCs w:val="32"/>
          <w:lang w:val="en-US" w:eastAsia="zh-CN"/>
        </w:rPr>
        <w:t>，2023年度保障镇安全生产、食品安全工作经费；促进机关工作开展，提升镇办公各项工作水平，保障工作正常运转。</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学区工会费</w:t>
      </w:r>
      <w:r>
        <w:rPr>
          <w:rFonts w:hint="eastAsia" w:ascii="仿宋_GB2312" w:hAnsi="仿宋" w:eastAsia="仿宋_GB2312"/>
          <w:sz w:val="32"/>
          <w:szCs w:val="32"/>
          <w:lang w:val="en-US" w:eastAsia="zh-CN"/>
        </w:rPr>
        <w:t>，2023年度用于上交学区工会费，及时缴纳工会费用，保障资金缴纳及时，提升工会服务满意度。</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镇政府工会费</w:t>
      </w:r>
      <w:r>
        <w:rPr>
          <w:rFonts w:hint="eastAsia" w:ascii="仿宋_GB2312" w:hAnsi="仿宋" w:eastAsia="仿宋_GB2312"/>
          <w:sz w:val="32"/>
          <w:szCs w:val="32"/>
          <w:lang w:val="en-US" w:eastAsia="zh-CN"/>
        </w:rPr>
        <w:t>，2023年度用于上交镇政府工会费，及时缴纳工会费用，保障资金缴纳及时，提升工会服务满意度。</w:t>
      </w:r>
    </w:p>
    <w:p>
      <w:pPr>
        <w:keepNext w:val="0"/>
        <w:keepLines w:val="0"/>
        <w:pageBreakBefore w:val="0"/>
        <w:widowControl w:val="0"/>
        <w:numPr>
          <w:ilvl w:val="0"/>
          <w:numId w:val="3"/>
        </w:numPr>
        <w:tabs>
          <w:tab w:val="left" w:pos="3703"/>
        </w:tabs>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拨付原经贸系统关闭企业下放回乡的合同工副业工涉军人员生活补贴</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2023年度通过发放原经贸系统关闭企业下放回乡的合同工、副业工涉军人员生活补贴，村稳定水平提升，保障涉军人员补助发放及时到位，维护好荣军人员稳定水平。</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 w:eastAsia="仿宋_GB2312"/>
          <w:sz w:val="32"/>
          <w:szCs w:val="32"/>
        </w:rPr>
      </w:pPr>
      <w:r>
        <w:rPr>
          <w:rFonts w:hint="eastAsia" w:ascii="仿宋" w:hAnsi="仿宋" w:eastAsia="仿宋_GB2312" w:cs="仿宋"/>
          <w:sz w:val="32"/>
          <w:szCs w:val="32"/>
          <w:lang w:val="en-US" w:eastAsia="zh-CN"/>
        </w:rPr>
        <w:t>307、定魏线两侧清理整治资金资金，2023年度完成定魏线、307两侧清理整治工程提升，道路改造完成率达到预期目标，实现环境提升目的。</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lang w:val="en-US" w:eastAsia="zh-CN"/>
        </w:rPr>
        <w:t>信访工作经费，2023年度较好完成</w:t>
      </w:r>
      <w:r>
        <w:rPr>
          <w:rFonts w:hint="eastAsia" w:ascii="仿宋" w:hAnsi="仿宋" w:eastAsia="仿宋_GB2312" w:cs="仿宋"/>
          <w:sz w:val="32"/>
          <w:szCs w:val="32"/>
          <w:lang w:val="en-US" w:eastAsia="zh-CN"/>
        </w:rPr>
        <w:t>维护区域社会稳定，做好值班值守工作的任务。</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滹沱河北岸历史遗留固体废物源头整治项目前期资金</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2023年进行固体废物源头整治的前期工作，为下一步清理整治工作开展打好了基础。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文教卫生及疫情防控经费，2023年度支出为0，结余资金上缴财政。</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default" w:ascii="仿宋_GB2312" w:hAnsi="仿宋" w:eastAsia="仿宋_GB2312"/>
          <w:sz w:val="32"/>
          <w:szCs w:val="32"/>
          <w:lang w:val="en-US" w:eastAsia="zh-CN"/>
        </w:rPr>
        <w:t>占地补偿、拆迁补偿费</w:t>
      </w:r>
      <w:r>
        <w:rPr>
          <w:rFonts w:hint="eastAsia" w:ascii="仿宋_GB2312" w:hAnsi="仿宋" w:eastAsia="仿宋_GB2312"/>
          <w:sz w:val="32"/>
          <w:szCs w:val="32"/>
          <w:lang w:val="en-US" w:eastAsia="zh-CN"/>
        </w:rPr>
        <w:t>，2023年度支出为0，结余资金上缴财政。</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_GB2312" w:hAnsi="仿宋" w:eastAsia="仿宋_GB2312"/>
          <w:sz w:val="32"/>
          <w:szCs w:val="32"/>
        </w:rPr>
        <w:t>根据项目执行情况和项目绩效情况，兴安镇年度项目绩效评价得分为9</w:t>
      </w:r>
      <w:r>
        <w:rPr>
          <w:rFonts w:hint="eastAsia" w:ascii="仿宋_GB2312" w:hAnsi="仿宋" w:eastAsia="仿宋_GB2312"/>
          <w:sz w:val="32"/>
          <w:szCs w:val="32"/>
          <w:lang w:val="en-US" w:eastAsia="zh-CN"/>
        </w:rPr>
        <w:t>2</w:t>
      </w:r>
      <w:r>
        <w:rPr>
          <w:rFonts w:hint="eastAsia" w:ascii="仿宋_GB2312" w:hAnsi="仿宋" w:eastAsia="仿宋_GB2312"/>
          <w:sz w:val="32"/>
          <w:szCs w:val="32"/>
        </w:rPr>
        <w:t>分，评价等级优秀。</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根据各项目执行情况和项目绩效情况，我单位各项资金项目绩效评价得分均在</w:t>
      </w:r>
      <w:r>
        <w:rPr>
          <w:rFonts w:hint="eastAsia" w:ascii="仿宋_GB2312" w:hAnsi="仿宋_GB2312" w:eastAsia="仿宋_GB2312" w:cs="仿宋_GB2312"/>
          <w:sz w:val="32"/>
          <w:szCs w:val="32"/>
          <w:highlight w:val="none"/>
          <w:lang w:val="en-US" w:eastAsia="zh-CN"/>
        </w:rPr>
        <w:t>85</w:t>
      </w:r>
      <w:r>
        <w:rPr>
          <w:rFonts w:hint="eastAsia" w:ascii="仿宋_GB2312" w:hAnsi="仿宋_GB2312" w:eastAsia="仿宋_GB2312" w:cs="仿宋_GB2312"/>
          <w:sz w:val="32"/>
          <w:szCs w:val="32"/>
          <w:highlight w:val="none"/>
          <w:lang w:eastAsia="zh-CN"/>
        </w:rPr>
        <w:t>分以上，因此，我单位202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年部门年度绩效自评等级为优秀。</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_GB2312" w:eastAsia="仿宋_GB2312"/>
          <w:sz w:val="32"/>
          <w:szCs w:val="32"/>
          <w:lang w:val="en-US" w:eastAsia="zh-CN"/>
        </w:rPr>
        <w:t>从项目的实施情况来看，部分项目存在支出不及时现象，实际</w:t>
      </w:r>
      <w:r>
        <w:rPr>
          <w:rFonts w:hint="eastAsia" w:ascii="仿宋_GB2312" w:eastAsia="仿宋_GB2312"/>
          <w:sz w:val="32"/>
          <w:szCs w:val="32"/>
        </w:rPr>
        <w:t>的情况</w:t>
      </w:r>
      <w:r>
        <w:rPr>
          <w:rFonts w:hint="eastAsia" w:ascii="仿宋_GB2312" w:eastAsia="仿宋_GB2312"/>
          <w:sz w:val="32"/>
          <w:szCs w:val="32"/>
          <w:lang w:val="en-US" w:eastAsia="zh-CN"/>
        </w:rPr>
        <w:t>与年初预算略有</w:t>
      </w:r>
      <w:r>
        <w:rPr>
          <w:rFonts w:hint="eastAsia" w:ascii="仿宋_GB2312" w:eastAsia="仿宋_GB2312"/>
          <w:sz w:val="32"/>
          <w:szCs w:val="32"/>
        </w:rPr>
        <w:t>有</w:t>
      </w:r>
      <w:r>
        <w:rPr>
          <w:rFonts w:hint="eastAsia" w:ascii="仿宋_GB2312" w:eastAsia="仿宋_GB2312"/>
          <w:sz w:val="32"/>
          <w:szCs w:val="32"/>
          <w:lang w:val="en-US" w:eastAsia="zh-CN"/>
        </w:rPr>
        <w:t>差异</w:t>
      </w:r>
      <w:r>
        <w:rPr>
          <w:rFonts w:hint="eastAsia" w:ascii="仿宋_GB2312" w:eastAsia="仿宋_GB2312"/>
          <w:sz w:val="32"/>
          <w:szCs w:val="32"/>
        </w:rPr>
        <w:t>，所以在项目</w:t>
      </w:r>
      <w:r>
        <w:rPr>
          <w:rFonts w:hint="eastAsia" w:ascii="仿宋_GB2312" w:eastAsia="仿宋_GB2312"/>
          <w:sz w:val="32"/>
          <w:szCs w:val="32"/>
          <w:lang w:val="en-US" w:eastAsia="zh-CN"/>
        </w:rPr>
        <w:t>支出</w:t>
      </w:r>
      <w:r>
        <w:rPr>
          <w:rFonts w:hint="eastAsia" w:ascii="仿宋_GB2312" w:eastAsia="仿宋_GB2312"/>
          <w:sz w:val="32"/>
          <w:szCs w:val="32"/>
        </w:rPr>
        <w:t>方面</w:t>
      </w:r>
      <w:r>
        <w:rPr>
          <w:rFonts w:hint="eastAsia" w:ascii="仿宋_GB2312" w:eastAsia="仿宋_GB2312"/>
          <w:sz w:val="32"/>
          <w:szCs w:val="32"/>
          <w:lang w:val="en-US" w:eastAsia="zh-CN"/>
        </w:rPr>
        <w:t>与年初绩效要求</w:t>
      </w:r>
      <w:r>
        <w:rPr>
          <w:rFonts w:hint="eastAsia" w:ascii="仿宋_GB2312" w:eastAsia="仿宋_GB2312"/>
          <w:sz w:val="32"/>
          <w:szCs w:val="32"/>
        </w:rPr>
        <w:t>有出入情况</w:t>
      </w:r>
      <w:r>
        <w:rPr>
          <w:rFonts w:hint="eastAsia" w:ascii="仿宋_GB2312" w:eastAsia="仿宋_GB2312"/>
          <w:sz w:val="32"/>
          <w:szCs w:val="32"/>
          <w:lang w:val="en-US" w:eastAsia="zh-CN"/>
        </w:rPr>
        <w:t>。</w:t>
      </w:r>
    </w:p>
    <w:p>
      <w:pPr>
        <w:keepNext w:val="0"/>
        <w:keepLines w:val="0"/>
        <w:pageBreakBefore w:val="0"/>
        <w:widowControl w:val="0"/>
        <w:numPr>
          <w:ilvl w:val="0"/>
          <w:numId w:val="5"/>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_GB2312" w:eastAsia="仿宋_GB2312"/>
          <w:sz w:val="32"/>
          <w:szCs w:val="32"/>
        </w:rPr>
        <w:t>针对存在的问题，及时与</w:t>
      </w:r>
      <w:r>
        <w:rPr>
          <w:rFonts w:hint="eastAsia" w:ascii="仿宋_GB2312" w:eastAsia="仿宋_GB2312"/>
          <w:sz w:val="32"/>
          <w:szCs w:val="32"/>
          <w:lang w:val="en-US" w:eastAsia="zh-CN"/>
        </w:rPr>
        <w:t>各部门</w:t>
      </w:r>
      <w:r>
        <w:rPr>
          <w:rFonts w:hint="eastAsia" w:ascii="仿宋_GB2312" w:eastAsia="仿宋_GB2312"/>
          <w:sz w:val="32"/>
          <w:szCs w:val="32"/>
        </w:rPr>
        <w:t>沟通，根据不同情况合理列支支出项目</w:t>
      </w:r>
      <w:r>
        <w:rPr>
          <w:rFonts w:hint="eastAsia" w:ascii="仿宋_GB2312" w:eastAsia="仿宋_GB2312"/>
          <w:sz w:val="32"/>
          <w:szCs w:val="32"/>
          <w:lang w:eastAsia="zh-CN"/>
        </w:rPr>
        <w:t>，</w:t>
      </w:r>
      <w:r>
        <w:rPr>
          <w:rFonts w:hint="eastAsia" w:ascii="仿宋" w:hAnsi="仿宋" w:eastAsia="仿宋" w:cs="仿宋"/>
          <w:kern w:val="0"/>
          <w:sz w:val="32"/>
          <w:szCs w:val="32"/>
          <w:lang w:val="en-US" w:eastAsia="zh-CN"/>
        </w:rPr>
        <w:t>保障资金使用</w:t>
      </w:r>
      <w:r>
        <w:rPr>
          <w:rFonts w:hint="eastAsia" w:ascii="仿宋" w:hAnsi="仿宋" w:eastAsia="仿宋" w:cs="仿宋"/>
          <w:kern w:val="0"/>
          <w:sz w:val="32"/>
          <w:szCs w:val="32"/>
          <w:lang w:val="zh-CN"/>
        </w:rPr>
        <w:t>质量，</w:t>
      </w:r>
      <w:r>
        <w:rPr>
          <w:rFonts w:hint="eastAsia" w:ascii="仿宋_GB2312" w:hAnsi="仿宋_GB2312" w:eastAsia="仿宋_GB2312" w:cs="仿宋_GB2312"/>
          <w:bCs/>
          <w:sz w:val="32"/>
          <w:szCs w:val="32"/>
        </w:rPr>
        <w:t>充分发挥项目资金效益</w:t>
      </w:r>
      <w:r>
        <w:rPr>
          <w:rFonts w:hint="eastAsia" w:ascii="仿宋_GB2312" w:eastAsia="仿宋_GB2312"/>
          <w:sz w:val="32"/>
          <w:szCs w:val="32"/>
        </w:rPr>
        <w:t>。</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bookmarkStart w:id="0" w:name="_GoBack"/>
      <w:bookmarkEnd w:id="0"/>
    </w:p>
    <w:tbl>
      <w:tblPr>
        <w:tblStyle w:val="4"/>
        <w:tblW w:w="96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250"/>
        <w:gridCol w:w="2525"/>
        <w:gridCol w:w="3037"/>
        <w:gridCol w:w="18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075" w:type="dxa"/>
            <w:noWrap w:val="0"/>
            <w:vAlign w:val="center"/>
          </w:tcPr>
          <w:p>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序号</w:t>
            </w:r>
          </w:p>
        </w:tc>
        <w:tc>
          <w:tcPr>
            <w:tcW w:w="1250" w:type="dxa"/>
            <w:noWrap w:val="0"/>
            <w:vAlign w:val="center"/>
          </w:tcPr>
          <w:p>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姓名</w:t>
            </w:r>
          </w:p>
        </w:tc>
        <w:tc>
          <w:tcPr>
            <w:tcW w:w="2525" w:type="dxa"/>
            <w:noWrap w:val="0"/>
            <w:vAlign w:val="center"/>
          </w:tcPr>
          <w:p>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单位</w:t>
            </w:r>
          </w:p>
        </w:tc>
        <w:tc>
          <w:tcPr>
            <w:tcW w:w="3037" w:type="dxa"/>
            <w:noWrap w:val="0"/>
            <w:vAlign w:val="center"/>
          </w:tcPr>
          <w:p>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职务</w:t>
            </w:r>
          </w:p>
        </w:tc>
        <w:tc>
          <w:tcPr>
            <w:tcW w:w="1808" w:type="dxa"/>
            <w:noWrap w:val="0"/>
            <w:vAlign w:val="center"/>
          </w:tcPr>
          <w:p>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1</w:t>
            </w:r>
          </w:p>
        </w:tc>
        <w:tc>
          <w:tcPr>
            <w:tcW w:w="1250"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何世冲</w:t>
            </w:r>
          </w:p>
        </w:tc>
        <w:tc>
          <w:tcPr>
            <w:tcW w:w="252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兴安镇人民政府</w:t>
            </w:r>
          </w:p>
        </w:tc>
        <w:tc>
          <w:tcPr>
            <w:tcW w:w="3037"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lang w:val="en-US" w:eastAsia="zh-CN"/>
              </w:rPr>
              <w:t>副书记、</w:t>
            </w:r>
            <w:r>
              <w:rPr>
                <w:rFonts w:hint="eastAsia" w:ascii="仿宋_GB2312" w:eastAsia="仿宋_GB2312"/>
                <w:sz w:val="32"/>
                <w:szCs w:val="32"/>
              </w:rPr>
              <w:t>镇长</w:t>
            </w:r>
          </w:p>
        </w:tc>
        <w:tc>
          <w:tcPr>
            <w:tcW w:w="1808"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2</w:t>
            </w:r>
          </w:p>
        </w:tc>
        <w:tc>
          <w:tcPr>
            <w:tcW w:w="1250"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赵芳</w:t>
            </w:r>
          </w:p>
        </w:tc>
        <w:tc>
          <w:tcPr>
            <w:tcW w:w="252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兴安镇人民政府</w:t>
            </w:r>
          </w:p>
        </w:tc>
        <w:tc>
          <w:tcPr>
            <w:tcW w:w="3037"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lang w:val="en-US" w:eastAsia="zh-CN"/>
              </w:rPr>
              <w:t>党委委员、宣传委员</w:t>
            </w:r>
          </w:p>
        </w:tc>
        <w:tc>
          <w:tcPr>
            <w:tcW w:w="1808"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3</w:t>
            </w:r>
          </w:p>
        </w:tc>
        <w:tc>
          <w:tcPr>
            <w:tcW w:w="1250"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马紫萱</w:t>
            </w:r>
          </w:p>
        </w:tc>
        <w:tc>
          <w:tcPr>
            <w:tcW w:w="252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兴安镇人民政府</w:t>
            </w:r>
          </w:p>
        </w:tc>
        <w:tc>
          <w:tcPr>
            <w:tcW w:w="3037"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财政所</w:t>
            </w:r>
            <w:r>
              <w:rPr>
                <w:rFonts w:hint="eastAsia" w:ascii="仿宋_GB2312" w:eastAsia="仿宋_GB2312"/>
                <w:sz w:val="32"/>
                <w:szCs w:val="32"/>
                <w:lang w:val="en-US" w:eastAsia="zh-CN"/>
              </w:rPr>
              <w:t>会计</w:t>
            </w:r>
          </w:p>
        </w:tc>
        <w:tc>
          <w:tcPr>
            <w:tcW w:w="1808"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eastAsia="仿宋_GB2312"/>
                <w:sz w:val="32"/>
                <w:szCs w:val="32"/>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Cambria">
    <w:panose1 w:val="02040503050406030204"/>
    <w:charset w:val="00"/>
    <w:family w:val="auto"/>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F4889E"/>
    <w:multiLevelType w:val="singleLevel"/>
    <w:tmpl w:val="EFF4889E"/>
    <w:lvl w:ilvl="0" w:tentative="0">
      <w:start w:val="2"/>
      <w:numFmt w:val="chineseCounting"/>
      <w:suff w:val="nothing"/>
      <w:lvlText w:val="（%1）"/>
      <w:lvlJc w:val="left"/>
      <w:rPr>
        <w:rFonts w:hint="eastAsia"/>
      </w:rPr>
    </w:lvl>
  </w:abstractNum>
  <w:abstractNum w:abstractNumId="1">
    <w:nsid w:val="F1630D43"/>
    <w:multiLevelType w:val="singleLevel"/>
    <w:tmpl w:val="F1630D43"/>
    <w:lvl w:ilvl="0" w:tentative="0">
      <w:start w:val="2"/>
      <w:numFmt w:val="chineseCounting"/>
      <w:suff w:val="nothing"/>
      <w:lvlText w:val="（%1）"/>
      <w:lvlJc w:val="left"/>
      <w:rPr>
        <w:rFonts w:hint="eastAsia"/>
      </w:rPr>
    </w:lvl>
  </w:abstractNum>
  <w:abstractNum w:abstractNumId="2">
    <w:nsid w:val="F54B1E74"/>
    <w:multiLevelType w:val="singleLevel"/>
    <w:tmpl w:val="F54B1E74"/>
    <w:lvl w:ilvl="0" w:tentative="0">
      <w:start w:val="1"/>
      <w:numFmt w:val="decimal"/>
      <w:suff w:val="nothing"/>
      <w:lvlText w:val="%1、"/>
      <w:lvlJc w:val="left"/>
    </w:lvl>
  </w:abstractNum>
  <w:abstractNum w:abstractNumId="3">
    <w:nsid w:val="FC2DF1A2"/>
    <w:multiLevelType w:val="singleLevel"/>
    <w:tmpl w:val="FC2DF1A2"/>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4OWZkNTcwMTdkNTBjMGY0MjA3Zjg3NWZlZGZmZmM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A3B21A2"/>
    <w:rsid w:val="1BAF1154"/>
    <w:rsid w:val="1C655171"/>
    <w:rsid w:val="20276775"/>
    <w:rsid w:val="26B75F6B"/>
    <w:rsid w:val="297B112B"/>
    <w:rsid w:val="2F2C2A40"/>
    <w:rsid w:val="344704E1"/>
    <w:rsid w:val="39744C0B"/>
    <w:rsid w:val="3AEF6FE7"/>
    <w:rsid w:val="441F3676"/>
    <w:rsid w:val="493B718D"/>
    <w:rsid w:val="53A42ADD"/>
    <w:rsid w:val="563B01B4"/>
    <w:rsid w:val="56604927"/>
    <w:rsid w:val="590F0BE0"/>
    <w:rsid w:val="5C4A315B"/>
    <w:rsid w:val="661D3074"/>
    <w:rsid w:val="6B1C1E0E"/>
    <w:rsid w:val="6BDE71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606</Words>
  <Characters>625</Characters>
  <Lines>3</Lines>
  <Paragraphs>1</Paragraphs>
  <TotalTime>10</TotalTime>
  <ScaleCrop>false</ScaleCrop>
  <LinksUpToDate>false</LinksUpToDate>
  <CharactersWithSpaces>625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马紫萱</cp:lastModifiedBy>
  <cp:lastPrinted>2021-02-24T05:43:00Z</cp:lastPrinted>
  <dcterms:modified xsi:type="dcterms:W3CDTF">2024-05-31T08:55:54Z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