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中共石家庄市藁城区委办公室</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则，对区委办公室部门202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按照财政通知要求，我单位成立了财政预算绩效评价领导小组，并依照全区财政预算绩效考评指标对我单位202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度财政预算情况开展了考评。通过核实数据、查阅资料、实地查看、归纳汇总等环节，对绩效执行情况、资金的来源和使用情况以及绩效目标的实现程度进行了分析评价。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通过自评，202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年我单位自评绩效项目共</w:t>
      </w:r>
      <w:r>
        <w:rPr>
          <w:rFonts w:hint="eastAsia" w:ascii="仿宋_GB2312" w:hAnsi="仿宋_GB2312" w:eastAsia="仿宋_GB2312" w:cs="仿宋_GB2312"/>
          <w:sz w:val="32"/>
          <w:szCs w:val="32"/>
          <w:highlight w:val="none"/>
          <w:lang w:val="en-US" w:eastAsia="zh-CN"/>
        </w:rPr>
        <w:t>21</w:t>
      </w:r>
      <w:r>
        <w:rPr>
          <w:rFonts w:hint="eastAsia" w:ascii="仿宋_GB2312" w:hAnsi="仿宋_GB2312" w:eastAsia="仿宋_GB2312" w:cs="仿宋_GB2312"/>
          <w:sz w:val="32"/>
          <w:szCs w:val="32"/>
          <w:highlight w:val="none"/>
          <w:lang w:eastAsia="zh-CN"/>
        </w:rPr>
        <w:t>个，均为财政资金，自评绩效项目资金执行为</w:t>
      </w:r>
      <w:r>
        <w:rPr>
          <w:rFonts w:hint="eastAsia" w:ascii="仿宋_GB2312" w:hAnsi="仿宋_GB2312" w:eastAsia="仿宋_GB2312" w:cs="仿宋_GB2312"/>
          <w:sz w:val="32"/>
          <w:szCs w:val="32"/>
          <w:highlight w:val="none"/>
          <w:lang w:val="en-US" w:eastAsia="zh-CN"/>
        </w:rPr>
        <w:t>71.89392</w:t>
      </w:r>
      <w:r>
        <w:rPr>
          <w:rFonts w:hint="eastAsia" w:ascii="仿宋_GB2312" w:hAnsi="仿宋_GB2312" w:eastAsia="仿宋_GB2312" w:cs="仿宋_GB2312"/>
          <w:sz w:val="32"/>
          <w:szCs w:val="32"/>
          <w:highlight w:val="none"/>
          <w:lang w:eastAsia="zh-CN"/>
        </w:rPr>
        <w:t>万元。其中，市级应急值守平台运营费</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万元，“纠风”活动经费</w:t>
      </w:r>
      <w:r>
        <w:rPr>
          <w:rFonts w:hint="eastAsia" w:ascii="仿宋_GB2312" w:hAnsi="仿宋_GB2312" w:eastAsia="仿宋_GB2312" w:cs="仿宋_GB2312"/>
          <w:sz w:val="32"/>
          <w:szCs w:val="32"/>
          <w:highlight w:val="none"/>
          <w:lang w:val="en-US" w:eastAsia="zh-CN"/>
        </w:rPr>
        <w:t>4.5万元，省委应急值守综合指挥调度平台运营费5万元，档案管理经费5万元，三重四创五优化办公经费5万元，深化改革管理系统维护费5万元，地方志年鉴编纂经费（地方志编纂经费）23.65万元，招商引资专项经费1.5866万元，</w:t>
      </w:r>
      <w:r>
        <w:rPr>
          <w:rFonts w:hint="default" w:ascii="仿宋_GB2312" w:hAnsi="仿宋_GB2312" w:eastAsia="仿宋_GB2312" w:cs="仿宋_GB2312"/>
          <w:sz w:val="32"/>
          <w:szCs w:val="32"/>
          <w:highlight w:val="none"/>
          <w:lang w:val="en-US" w:eastAsia="zh-CN"/>
        </w:rPr>
        <w:t>石家庄市二季度项目观摩专项活动经费</w:t>
      </w:r>
      <w:r>
        <w:rPr>
          <w:rFonts w:hint="eastAsia" w:ascii="仿宋_GB2312" w:hAnsi="仿宋_GB2312" w:eastAsia="仿宋_GB2312" w:cs="仿宋_GB2312"/>
          <w:sz w:val="32"/>
          <w:szCs w:val="32"/>
          <w:highlight w:val="none"/>
          <w:lang w:val="en-US" w:eastAsia="zh-CN"/>
        </w:rPr>
        <w:t>2.936万元，住房保障费用4.38502万元，省委第十一巡视组对藁城区巡视期间配合保障工作的费用13.0363万元，其他项目均涉密，不予公开。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年部门决算收支完成情况如下：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1.全年收入为</w:t>
      </w:r>
      <w:r>
        <w:rPr>
          <w:rFonts w:hint="eastAsia" w:ascii="仿宋_GB2312" w:hAnsi="仿宋_GB2312" w:eastAsia="仿宋_GB2312" w:cs="仿宋_GB2312"/>
          <w:sz w:val="32"/>
          <w:szCs w:val="32"/>
          <w:highlight w:val="none"/>
          <w:lang w:val="en-US" w:eastAsia="zh-CN"/>
        </w:rPr>
        <w:t>10764280.93</w:t>
      </w:r>
      <w:r>
        <w:rPr>
          <w:rFonts w:hint="eastAsia" w:ascii="仿宋_GB2312" w:hAnsi="仿宋_GB2312" w:eastAsia="仿宋_GB2312" w:cs="仿宋_GB2312"/>
          <w:sz w:val="32"/>
          <w:szCs w:val="32"/>
          <w:highlight w:val="none"/>
          <w:lang w:eastAsia="zh-CN"/>
        </w:rPr>
        <w:t>万元，其中：财政拔款收入</w:t>
      </w:r>
      <w:r>
        <w:rPr>
          <w:rFonts w:hint="eastAsia" w:ascii="仿宋_GB2312" w:hAnsi="仿宋_GB2312" w:eastAsia="仿宋_GB2312" w:cs="仿宋_GB2312"/>
          <w:sz w:val="32"/>
          <w:szCs w:val="32"/>
          <w:highlight w:val="none"/>
          <w:lang w:val="en-US" w:eastAsia="zh-CN"/>
        </w:rPr>
        <w:t>10764280.93</w:t>
      </w:r>
      <w:r>
        <w:rPr>
          <w:rFonts w:hint="eastAsia" w:ascii="仿宋_GB2312" w:hAnsi="仿宋_GB2312" w:eastAsia="仿宋_GB2312" w:cs="仿宋_GB2312"/>
          <w:sz w:val="32"/>
          <w:szCs w:val="32"/>
          <w:highlight w:val="none"/>
          <w:lang w:eastAsia="zh-CN"/>
        </w:rPr>
        <w:t>元，非财政补助收入0元。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2.全年支出为</w:t>
      </w:r>
      <w:r>
        <w:rPr>
          <w:rFonts w:hint="eastAsia" w:ascii="仿宋_GB2312" w:hAnsi="仿宋_GB2312" w:eastAsia="仿宋_GB2312" w:cs="仿宋_GB2312"/>
          <w:sz w:val="32"/>
          <w:szCs w:val="32"/>
          <w:highlight w:val="none"/>
          <w:lang w:val="en-US" w:eastAsia="zh-CN"/>
        </w:rPr>
        <w:t>10764280.93</w:t>
      </w:r>
      <w:r>
        <w:rPr>
          <w:rFonts w:hint="eastAsia" w:ascii="仿宋_GB2312" w:hAnsi="仿宋_GB2312" w:eastAsia="仿宋_GB2312" w:cs="仿宋_GB2312"/>
          <w:sz w:val="32"/>
          <w:szCs w:val="32"/>
          <w:highlight w:val="none"/>
          <w:lang w:eastAsia="zh-CN"/>
        </w:rPr>
        <w:t>万元，其中：行政支出：</w:t>
      </w:r>
      <w:r>
        <w:rPr>
          <w:rFonts w:hint="eastAsia" w:ascii="仿宋_GB2312" w:hAnsi="仿宋_GB2312" w:eastAsia="仿宋_GB2312" w:cs="仿宋_GB2312"/>
          <w:sz w:val="32"/>
          <w:szCs w:val="32"/>
          <w:highlight w:val="none"/>
          <w:lang w:val="en-US" w:eastAsia="zh-CN"/>
        </w:rPr>
        <w:t>9494915.83</w:t>
      </w:r>
      <w:r>
        <w:rPr>
          <w:rFonts w:hint="eastAsia" w:ascii="仿宋_GB2312" w:hAnsi="仿宋_GB2312" w:eastAsia="仿宋_GB2312" w:cs="仿宋_GB2312"/>
          <w:sz w:val="32"/>
          <w:szCs w:val="32"/>
          <w:highlight w:val="none"/>
          <w:lang w:eastAsia="zh-CN"/>
        </w:rPr>
        <w:t>万元，项目支出</w:t>
      </w:r>
      <w:r>
        <w:rPr>
          <w:rFonts w:hint="eastAsia" w:ascii="仿宋_GB2312" w:hAnsi="仿宋_GB2312" w:eastAsia="仿宋_GB2312" w:cs="仿宋_GB2312"/>
          <w:sz w:val="32"/>
          <w:szCs w:val="32"/>
          <w:highlight w:val="none"/>
          <w:lang w:val="en-US" w:eastAsia="zh-CN"/>
        </w:rPr>
        <w:t>1269365.1</w:t>
      </w:r>
      <w:bookmarkStart w:id="0" w:name="_GoBack"/>
      <w:bookmarkEnd w:id="0"/>
      <w:r>
        <w:rPr>
          <w:rFonts w:hint="eastAsia" w:ascii="仿宋_GB2312" w:hAnsi="仿宋_GB2312" w:eastAsia="仿宋_GB2312" w:cs="仿宋_GB2312"/>
          <w:sz w:val="32"/>
          <w:szCs w:val="32"/>
          <w:highlight w:val="none"/>
          <w:lang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highlight w:val="none"/>
          <w:lang w:eastAsia="zh-CN"/>
        </w:rPr>
        <w:t>3.资金结存情况：财政拨款结转结余0元，其中财政拨款结转（项目结转）0元，财政结余0元，非财政拨款收入0元。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1、部门总目标：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坚持以习近平新时代中国特色社会主义思想为指导，紧紧围绕区委要求开展工作，各部门团结一致，高标准完成各项活动，快速完成各项绩效指标。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、内部管理制度建设：</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在严格执行上级精神的前提下，针对我办工作实际情况，制定完善预算绩效管理制度、资金管理办法、工作保障制度等，为全年预算绩效目标的实现奠定制度基础。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 xml:space="preserve">、项目绩效总目标完成情况：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我部门今年</w:t>
      </w:r>
      <w:r>
        <w:rPr>
          <w:rFonts w:hint="eastAsia" w:ascii="仿宋_GB2312" w:hAnsi="仿宋_GB2312" w:eastAsia="仿宋_GB2312" w:cs="仿宋_GB2312"/>
          <w:sz w:val="32"/>
          <w:szCs w:val="32"/>
          <w:highlight w:val="none"/>
          <w:lang w:val="en-US" w:eastAsia="zh-CN"/>
        </w:rPr>
        <w:t>21</w:t>
      </w:r>
      <w:r>
        <w:rPr>
          <w:rFonts w:hint="eastAsia" w:ascii="仿宋_GB2312" w:hAnsi="仿宋_GB2312" w:eastAsia="仿宋_GB2312" w:cs="仿宋_GB2312"/>
          <w:sz w:val="32"/>
          <w:szCs w:val="32"/>
          <w:highlight w:val="none"/>
          <w:lang w:eastAsia="zh-CN"/>
        </w:rPr>
        <w:t>个项目，</w:t>
      </w:r>
      <w:r>
        <w:rPr>
          <w:rFonts w:hint="eastAsia" w:ascii="仿宋_GB2312" w:hAnsi="仿宋_GB2312" w:eastAsia="仿宋_GB2312" w:cs="仿宋_GB2312"/>
          <w:sz w:val="32"/>
          <w:szCs w:val="32"/>
          <w:highlight w:val="none"/>
          <w:lang w:val="en-US" w:eastAsia="zh-CN"/>
        </w:rPr>
        <w:t>10</w:t>
      </w:r>
      <w:r>
        <w:rPr>
          <w:rFonts w:hint="eastAsia" w:ascii="仿宋_GB2312" w:hAnsi="仿宋_GB2312" w:eastAsia="仿宋_GB2312" w:cs="仿宋_GB2312"/>
          <w:sz w:val="32"/>
          <w:szCs w:val="32"/>
          <w:highlight w:val="none"/>
          <w:lang w:eastAsia="zh-CN"/>
        </w:rPr>
        <w:t>个涉密项目，</w:t>
      </w:r>
      <w:r>
        <w:rPr>
          <w:rFonts w:hint="eastAsia" w:ascii="仿宋_GB2312" w:hAnsi="仿宋_GB2312" w:eastAsia="仿宋_GB2312" w:cs="仿宋_GB2312"/>
          <w:sz w:val="32"/>
          <w:szCs w:val="32"/>
          <w:highlight w:val="none"/>
          <w:lang w:val="en-US" w:eastAsia="zh-CN"/>
        </w:rPr>
        <w:t>11</w:t>
      </w:r>
      <w:r>
        <w:rPr>
          <w:rFonts w:hint="eastAsia" w:ascii="仿宋_GB2312" w:hAnsi="仿宋_GB2312" w:eastAsia="仿宋_GB2312" w:cs="仿宋_GB2312"/>
          <w:sz w:val="32"/>
          <w:szCs w:val="32"/>
          <w:highlight w:val="none"/>
          <w:lang w:eastAsia="zh-CN"/>
        </w:rPr>
        <w:t>个非涉密项目，部门总体工作开展情况、专项资金和具体预算支出全部按预期绩效完成，对项目存在问题分析并说明原因。</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本次自查采取成立本单位绩效自评工作组等形式，本着客观、公正、公开的原则开展自评工作。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sz w:val="32"/>
          <w:szCs w:val="32"/>
          <w:lang w:eastAsia="zh-CN"/>
        </w:rPr>
      </w:pPr>
      <w:r>
        <w:rPr>
          <w:rFonts w:hint="eastAsia" w:ascii="仿宋_GB2312" w:hAnsi="仿宋_GB2312" w:eastAsia="仿宋_GB2312" w:cs="仿宋_GB2312"/>
          <w:sz w:val="32"/>
          <w:szCs w:val="32"/>
          <w:highlight w:val="none"/>
          <w:lang w:eastAsia="zh-CN"/>
        </w:rPr>
        <w:t>所有项目的绩效自评均设计了合理、明晰、可考核的、关键性产出指标和效果指标；自评结果真实可靠。</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设定是预算绩效管理的第一个环节。编制准确合理的绩效目标，有利于预算执行中绩效监控的实施，也能够使预算执行结束后的绩效评价有所遵循。绩效目标设定比较清晰准确，绩效指标比较全面完整、科学合理，绩效标准比较恰当适宜、易于评价。但是由于缺乏行业标准，加之未参加过专业培训，对绩效目标设定有一定的局限性，后期我们将通过不断学习，逐步完善绩效目标各项产出目标、效益指标及满意度指标等。</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部门和单位就改革重要问题进行研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（一）省委应急值守综合指挥调度平台运营费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绩效目标：各类突发事件得到及时妥善处置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绩效指标：文件登记、分送、传阅、整理、归档办结率、值班保障全勤率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（二）地方志年鉴编纂经费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绩效目标：印制本地区地方志年鉴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绩效指标：印制本数</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（三）市级应急值守平台运营费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绩效目标：各类突发事件得到及时妥善处置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绩效指标：文件登记、分送、传阅、整理、归档办结率、值班保障全勤率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（三）市级应急值守平台运营费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绩效目标：各类突发事件得到及时妥善处置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绩效指标：文件登记、分送、传阅、整理、归档办结率、值班保障全勤率</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根据部门职责定位和各项工作履职情况进行综合评价，市级应急值守平台运营费、“纠风”活动经费</w:t>
      </w:r>
      <w:r>
        <w:rPr>
          <w:rFonts w:hint="eastAsia" w:ascii="仿宋_GB2312" w:hAnsi="仿宋_GB2312" w:eastAsia="仿宋_GB2312" w:cs="仿宋_GB2312"/>
          <w:sz w:val="32"/>
          <w:szCs w:val="32"/>
          <w:highlight w:val="none"/>
          <w:lang w:val="en-US" w:eastAsia="zh-CN"/>
        </w:rPr>
        <w:t>、省委应急值守综合指挥调度平台运营费、档案管理经费、三重四创五优化办公经费、深化改革管理系统维护费、地方志年鉴编纂经费（地方志编纂经费）、招商引资专项经费、</w:t>
      </w:r>
      <w:r>
        <w:rPr>
          <w:rFonts w:hint="default" w:ascii="仿宋_GB2312" w:hAnsi="仿宋_GB2312" w:eastAsia="仿宋_GB2312" w:cs="仿宋_GB2312"/>
          <w:sz w:val="32"/>
          <w:szCs w:val="32"/>
          <w:highlight w:val="none"/>
          <w:lang w:val="en-US" w:eastAsia="zh-CN"/>
        </w:rPr>
        <w:t>石家庄市二季度项目观摩专项活动经费</w:t>
      </w:r>
      <w:r>
        <w:rPr>
          <w:rFonts w:hint="eastAsia" w:ascii="仿宋_GB2312" w:hAnsi="仿宋_GB2312" w:eastAsia="仿宋_GB2312" w:cs="仿宋_GB2312"/>
          <w:sz w:val="32"/>
          <w:szCs w:val="32"/>
          <w:highlight w:val="none"/>
          <w:lang w:val="en-US" w:eastAsia="zh-CN"/>
        </w:rPr>
        <w:t>、住房保障费用、省委第十一巡视组对藁城区巡视期间配合保障工作的费用等项目产出和效益指标良好，满分均为100分，绩效自评为优秀。</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部门之间沟通不够频繁，绩效意识应进一步提高；内控建设不够完善；预算执行力有待提升。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针对存在问题及我单位整体支出管理工作的需要，拟实施改进措施如下：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加强部门之间的沟通，提高绩效意识。加强财务部门和业务科室之间的沟通，明确整体绩效管理不仅仅是财务部门的工作，所有专业均有涉及，财务部门仅仅是资金预算与安排，资金支出的实际绩效成果是由使用资金的部门来完成的；做好宣传工作，切实提高全员绩效意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（二）健全内控建设。一是按财政要求完善内部控制规范建设；二是继续按要求做好整体支出绩效评价和预决算公开工作；三是进一步巩固国有资产清查工作的成果，规范固定资产购置和处置程序。</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仿宋_GB2312" w:hAnsi="仿宋_GB2312" w:eastAsia="仿宋_GB2312" w:cs="仿宋_GB2312"/>
          <w:sz w:val="32"/>
          <w:szCs w:val="32"/>
          <w:highlight w:val="none"/>
          <w:lang w:val="en-US" w:eastAsia="zh-CN"/>
        </w:rPr>
        <w:t>（三）提高预算执行力。一是进一步规范经费支出，并严格按预算科目和金额执行，切实提高预算执行力；二是及时调度预算执行情况，提高预算执行的前瞻性和预见性。</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pPr w:leftFromText="180" w:rightFromText="180" w:vertAnchor="text" w:horzAnchor="margin" w:tblpXSpec="center" w:tblpY="51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
        <w:gridCol w:w="1922"/>
        <w:gridCol w:w="199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序号</w:t>
            </w:r>
          </w:p>
        </w:tc>
        <w:tc>
          <w:tcPr>
            <w:tcW w:w="1922"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姓名</w:t>
            </w:r>
          </w:p>
        </w:tc>
        <w:tc>
          <w:tcPr>
            <w:tcW w:w="1991"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单位</w:t>
            </w:r>
          </w:p>
        </w:tc>
        <w:tc>
          <w:tcPr>
            <w:tcW w:w="2268"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1</w:t>
            </w:r>
          </w:p>
        </w:tc>
        <w:tc>
          <w:tcPr>
            <w:tcW w:w="1922" w:type="dxa"/>
            <w:noWrap/>
          </w:tcPr>
          <w:p>
            <w:pPr>
              <w:jc w:val="center"/>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于增辉</w:t>
            </w:r>
          </w:p>
        </w:tc>
        <w:tc>
          <w:tcPr>
            <w:tcW w:w="1991"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区</w:t>
            </w:r>
            <w:r>
              <w:rPr>
                <w:rFonts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rPr>
              <w:t>办</w:t>
            </w:r>
          </w:p>
        </w:tc>
        <w:tc>
          <w:tcPr>
            <w:tcW w:w="2268"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常务副主任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2</w:t>
            </w:r>
          </w:p>
        </w:tc>
        <w:tc>
          <w:tcPr>
            <w:tcW w:w="1922"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王哲</w:t>
            </w:r>
          </w:p>
        </w:tc>
        <w:tc>
          <w:tcPr>
            <w:tcW w:w="1991"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区</w:t>
            </w:r>
            <w:r>
              <w:rPr>
                <w:rFonts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rPr>
              <w:t>办</w:t>
            </w:r>
          </w:p>
        </w:tc>
        <w:tc>
          <w:tcPr>
            <w:tcW w:w="2268"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trPr>
        <w:tc>
          <w:tcPr>
            <w:tcW w:w="873"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3</w:t>
            </w:r>
          </w:p>
        </w:tc>
        <w:tc>
          <w:tcPr>
            <w:tcW w:w="1922"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魏建生</w:t>
            </w:r>
          </w:p>
        </w:tc>
        <w:tc>
          <w:tcPr>
            <w:tcW w:w="1991" w:type="dxa"/>
            <w:noWrap/>
          </w:tcPr>
          <w:p>
            <w:pPr>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区</w:t>
            </w:r>
            <w:r>
              <w:rPr>
                <w:rFonts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rPr>
              <w:t>办</w:t>
            </w:r>
          </w:p>
        </w:tc>
        <w:tc>
          <w:tcPr>
            <w:tcW w:w="2268" w:type="dxa"/>
            <w:noWrap/>
          </w:tcPr>
          <w:p>
            <w:pPr>
              <w:jc w:val="cente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政工股股长</w:t>
            </w: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true">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j3XTWoAQAAVQMAAA4AAABkcnMv&#10;ZTJvRG9jLnhtbK1T247bIBB9r9R/QLw3OFmpjaw4q61WW1WqetG2H0AwxEjAoAHHzt93IHG2l7eq&#10;L2SYmZw55wze3c/esZPGZCF0fL1qONNBQW/DseM/vj+92XKWsgy9dBB0x8868fv961e7KbZ6AwO4&#10;XiMjkJDaKXZ8yDm2QiQ1aC/TCqIOVDSAXma64lH0KCdC905smuatmAD7iKB0SpR9vBT5vuIbo1X+&#10;YkzSmbmOE7dcT6znoZxiv5PtEWUcrLrSkP/AwksbaOgN6lFmyUa0f0F5qxASmLxS4AUYY5WuGkjN&#10;uvlDzfMgo65ayJwUbzal/werPp++IrM97Y6zID2t6Nsoe/aACBO7a97dFYummFrqfI7Um+f3MHc8&#10;46iXUqJ8ET8b9OWXZDFqIb/PN4/1nJmi5Hq72W4bKimqLRcaIV7+HjHlDxo8K0HHkZZYvZWnTylf&#10;WpeWMi3Ak3WuLtKF3xKEWTKi0L9wLFGeD/NV0wH6M0maaP8dD/RAOXMfA9lbnsoS4BIclmCMaI8D&#10;UasmlJEpPoyZeFR6ZcgF+TqbdlcFXt9ZeRy/3mvXy9ew/w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2PddNagBAABVAwAADgAAAAAAAAABACAAAAA0AQAAZHJzL2Uyb0RvYy54bWxQSwUGAAAA&#10;AAYABgBZAQAAT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FDEA586"/>
    <w:rsid w:val="12BBE449"/>
    <w:rsid w:val="13B61930"/>
    <w:rsid w:val="1A3B21A2"/>
    <w:rsid w:val="1B8F1751"/>
    <w:rsid w:val="1BAF1154"/>
    <w:rsid w:val="1C655171"/>
    <w:rsid w:val="20276775"/>
    <w:rsid w:val="26B75F6B"/>
    <w:rsid w:val="2ED76872"/>
    <w:rsid w:val="2EF6EAB4"/>
    <w:rsid w:val="2F2C2A40"/>
    <w:rsid w:val="344704E1"/>
    <w:rsid w:val="37F76552"/>
    <w:rsid w:val="39744C0B"/>
    <w:rsid w:val="3AEF6FE7"/>
    <w:rsid w:val="3F6F15B6"/>
    <w:rsid w:val="441F3676"/>
    <w:rsid w:val="493B718D"/>
    <w:rsid w:val="4FF1135C"/>
    <w:rsid w:val="52FD59C6"/>
    <w:rsid w:val="53A42ADD"/>
    <w:rsid w:val="563B01B4"/>
    <w:rsid w:val="56604927"/>
    <w:rsid w:val="571F92DE"/>
    <w:rsid w:val="590F0BE0"/>
    <w:rsid w:val="5C4A315B"/>
    <w:rsid w:val="5FD764DB"/>
    <w:rsid w:val="661D3074"/>
    <w:rsid w:val="67D32CD1"/>
    <w:rsid w:val="6B1C1E0E"/>
    <w:rsid w:val="6BDE7164"/>
    <w:rsid w:val="6CEFAA35"/>
    <w:rsid w:val="6FD772C5"/>
    <w:rsid w:val="6FDB9612"/>
    <w:rsid w:val="6FDF6527"/>
    <w:rsid w:val="6FFC7BCD"/>
    <w:rsid w:val="77BFEACB"/>
    <w:rsid w:val="78BBCADA"/>
    <w:rsid w:val="799FD10C"/>
    <w:rsid w:val="7BDE4494"/>
    <w:rsid w:val="7BF69519"/>
    <w:rsid w:val="7D7EA988"/>
    <w:rsid w:val="7DFF1851"/>
    <w:rsid w:val="7FDE7E07"/>
    <w:rsid w:val="7FF3D986"/>
    <w:rsid w:val="7FFFFFAD"/>
    <w:rsid w:val="9C7F1033"/>
    <w:rsid w:val="9FAB6DAB"/>
    <w:rsid w:val="AB4F9743"/>
    <w:rsid w:val="B1D35844"/>
    <w:rsid w:val="B9FB2D51"/>
    <w:rsid w:val="BD9F72F7"/>
    <w:rsid w:val="C6DF73D7"/>
    <w:rsid w:val="CF9B841F"/>
    <w:rsid w:val="D3CD8709"/>
    <w:rsid w:val="DEA3A9D8"/>
    <w:rsid w:val="E1FFF5F9"/>
    <w:rsid w:val="E7730DA8"/>
    <w:rsid w:val="E7F59B3E"/>
    <w:rsid w:val="EBEBF333"/>
    <w:rsid w:val="EDDFCC69"/>
    <w:rsid w:val="EE37A230"/>
    <w:rsid w:val="EE6F42CE"/>
    <w:rsid w:val="EF5F58B0"/>
    <w:rsid w:val="EFB9EB2D"/>
    <w:rsid w:val="F2EBCA3A"/>
    <w:rsid w:val="F3DF9B85"/>
    <w:rsid w:val="FCFD5DD5"/>
    <w:rsid w:val="FEFECB53"/>
    <w:rsid w:val="FEFFC46F"/>
    <w:rsid w:val="FF762761"/>
    <w:rsid w:val="FFFB7273"/>
    <w:rsid w:val="FFFBA56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24</TotalTime>
  <ScaleCrop>false</ScaleCrop>
  <LinksUpToDate>false</LinksUpToDate>
  <CharactersWithSpaces>373</CharactersWithSpaces>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2019-11-15T16:58:00Z</dcterms:created>
  <dc:creator>user</dc:creator>
  <cp:lastModifiedBy>uos</cp:lastModifiedBy>
  <cp:lastPrinted>2021-02-25T21:43:00Z</cp:lastPrinted>
  <dcterms:modified xsi:type="dcterms:W3CDTF">2024-05-31T09:09:21Z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y fmtid="{D5CDD505-2E9C-101B-9397-08002B2CF9AE}" pid="3" name="ICV">
    <vt:lpwstr>28C64EFCB758481798A31117B3E7B5E3</vt:lpwstr>
  </property>
</Properties>
</file>