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藁城区退役军人事务局</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部门202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则，对藁城区退役军人事务局部门202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spacing w:before="0" w:after="0" w:line="240" w:lineRule="auto"/>
        <w:ind w:firstLine="640"/>
        <w:jc w:val="left"/>
        <w:outlineLvl w:val="9"/>
        <w:rPr>
          <w:b/>
          <w:bCs/>
        </w:rPr>
      </w:pPr>
      <w:r>
        <w:rPr>
          <w:rFonts w:hint="eastAsia" w:ascii="仿宋" w:hAnsi="仿宋" w:eastAsia="仿宋" w:cs="仿宋"/>
          <w:b/>
          <w:bCs/>
          <w:sz w:val="32"/>
          <w:szCs w:val="32"/>
          <w:lang w:val="en-US" w:eastAsia="zh-CN"/>
        </w:rPr>
        <w:t>部门职责：</w:t>
      </w:r>
    </w:p>
    <w:p>
      <w:pPr>
        <w:pStyle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1、双拥优抚安置政策及管理 组指导全市拥军优属活动。组织对优抚对象的优待、抚恤的政策落实，负责全市转业士官、退役士官及军队离退休干部、退休士官和无军籍退休退职职工接收安置工作。解决优抚对象的生活、住房、医疗困难，做好义务兵家庭优待和烈士褒扬工作。推行阳光安置，保障退役士兵合法权益；加强职业教育和技能培训，提高退役士兵参与社会竞争能力；按时足额发放各类经济补助。做好军队离退休干部、退休士官和军队无军籍退休退职职工接收安置工作，全面落实军休干部政治生活待遇。</w:t>
      </w:r>
    </w:p>
    <w:p>
      <w:pPr>
        <w:pStyle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2、优抚事业单位运行</w:t>
      </w:r>
    </w:p>
    <w:p>
      <w:pPr>
        <w:pStyle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收养参加战争的无子女赡养的残疾军人，老复员军人，参战烈属。为革命老人服务，将光荣院建成革命教育基地和社会文明窗口，保障光荣院正常运行。</w:t>
      </w:r>
    </w:p>
    <w:p>
      <w:pPr>
        <w:pStyle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3、优抚事业单位建设</w:t>
      </w:r>
    </w:p>
    <w:p>
      <w:pPr>
        <w:pStyle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负责园区内烈士纪念建筑物维护、管理工作：1、烈士纪念建筑物日常及定期维修、维护；2、园区内安全保卫、保洁工作；3、临时聘用人员工资支出等。确保烈士纪念建筑物整肃穆，为社会提供良好的瞻仰和教育的常场所，充分发挥爱国主义教育基地的作用。根据中华人民共和国国务院令第601号《烈士褒扬条例》，达到烈士纪念建筑物整洁、肃穆，为社会提供良好的瞻仰和教育的常场所，充分发挥爱国主义教育基地的作用。</w:t>
      </w:r>
    </w:p>
    <w:p>
      <w:pPr>
        <w:pStyle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4、军休干部服务管理</w:t>
      </w:r>
    </w:p>
    <w:p>
      <w:pPr>
        <w:pStyle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参加政治学习、参观考察、发放补贴、重大节日走访慰问、开展文体活动，去世后丧葬事宜，落实各项政治待遇和生活待遇。</w:t>
      </w:r>
    </w:p>
    <w:p>
      <w:pPr>
        <w:pStyle w:val="9"/>
        <w:rPr>
          <w:rFonts w:hint="eastAsia" w:ascii="仿宋" w:hAnsi="仿宋" w:eastAsia="仿宋" w:cs="仿宋"/>
          <w:b/>
          <w:bCs/>
          <w:kern w:val="2"/>
          <w:sz w:val="32"/>
          <w:szCs w:val="32"/>
          <w:lang w:val="en-US" w:eastAsia="zh-CN" w:bidi="ar-SA"/>
        </w:rPr>
      </w:pPr>
    </w:p>
    <w:p>
      <w:pPr>
        <w:pStyle w:val="9"/>
        <w:rPr>
          <w:rFonts w:hint="eastAsia" w:ascii="仿宋" w:hAnsi="仿宋" w:eastAsia="仿宋" w:cs="仿宋"/>
          <w:kern w:val="2"/>
          <w:sz w:val="32"/>
          <w:szCs w:val="32"/>
          <w:lang w:val="en-US" w:eastAsia="zh-CN" w:bidi="ar-SA"/>
        </w:rPr>
      </w:pPr>
      <w:r>
        <w:rPr>
          <w:rFonts w:hint="eastAsia" w:ascii="仿宋" w:hAnsi="仿宋" w:eastAsia="仿宋" w:cs="仿宋"/>
          <w:b/>
          <w:bCs/>
          <w:kern w:val="2"/>
          <w:sz w:val="32"/>
          <w:szCs w:val="32"/>
          <w:lang w:val="en-US" w:eastAsia="zh-CN" w:bidi="ar-SA"/>
        </w:rPr>
        <w:t>组织机构</w:t>
      </w:r>
      <w:r>
        <w:rPr>
          <w:rFonts w:hint="eastAsia" w:ascii="仿宋" w:hAnsi="仿宋" w:eastAsia="仿宋" w:cs="仿宋"/>
          <w:kern w:val="2"/>
          <w:sz w:val="32"/>
          <w:szCs w:val="32"/>
          <w:lang w:val="en-US" w:eastAsia="zh-CN" w:bidi="ar-SA"/>
        </w:rPr>
        <w:t>：</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48"/>
        <w:gridCol w:w="1221"/>
        <w:gridCol w:w="1509"/>
        <w:gridCol w:w="30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4048" w:type="dxa"/>
            <w:vAlign w:val="center"/>
          </w:tcPr>
          <w:p>
            <w:pPr>
              <w:pStyle w:val="10"/>
            </w:pPr>
            <w:r>
              <w:t>单位名称</w:t>
            </w:r>
          </w:p>
        </w:tc>
        <w:tc>
          <w:tcPr>
            <w:tcW w:w="1221" w:type="dxa"/>
            <w:vAlign w:val="center"/>
          </w:tcPr>
          <w:p>
            <w:pPr>
              <w:pStyle w:val="10"/>
            </w:pPr>
            <w:r>
              <w:t>单位性质</w:t>
            </w:r>
          </w:p>
        </w:tc>
        <w:tc>
          <w:tcPr>
            <w:tcW w:w="1509" w:type="dxa"/>
            <w:vAlign w:val="center"/>
          </w:tcPr>
          <w:p>
            <w:pPr>
              <w:pStyle w:val="10"/>
            </w:pPr>
            <w:r>
              <w:t>单位规格</w:t>
            </w:r>
          </w:p>
        </w:tc>
        <w:tc>
          <w:tcPr>
            <w:tcW w:w="3078"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8" w:type="dxa"/>
            <w:vAlign w:val="center"/>
          </w:tcPr>
          <w:p>
            <w:pPr>
              <w:pStyle w:val="11"/>
            </w:pPr>
            <w:r>
              <w:t>石家庄市藁城区退役军人事务局本级</w:t>
            </w:r>
          </w:p>
        </w:tc>
        <w:tc>
          <w:tcPr>
            <w:tcW w:w="1221" w:type="dxa"/>
            <w:vAlign w:val="center"/>
          </w:tcPr>
          <w:p>
            <w:pPr>
              <w:pStyle w:val="12"/>
            </w:pPr>
            <w:r>
              <w:t>行政</w:t>
            </w:r>
          </w:p>
        </w:tc>
        <w:tc>
          <w:tcPr>
            <w:tcW w:w="1509" w:type="dxa"/>
            <w:vAlign w:val="center"/>
          </w:tcPr>
          <w:p>
            <w:pPr>
              <w:pStyle w:val="12"/>
            </w:pPr>
            <w:r>
              <w:t>正科级</w:t>
            </w:r>
          </w:p>
        </w:tc>
        <w:tc>
          <w:tcPr>
            <w:tcW w:w="3078" w:type="dxa"/>
            <w:vAlign w:val="center"/>
          </w:tcPr>
          <w:p>
            <w:pPr>
              <w:pStyle w:val="12"/>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8" w:type="dxa"/>
            <w:vAlign w:val="center"/>
          </w:tcPr>
          <w:p>
            <w:pPr>
              <w:pStyle w:val="11"/>
            </w:pPr>
            <w:r>
              <w:t>石家庄市藁城区光荣院</w:t>
            </w:r>
          </w:p>
        </w:tc>
        <w:tc>
          <w:tcPr>
            <w:tcW w:w="1221" w:type="dxa"/>
            <w:vAlign w:val="center"/>
          </w:tcPr>
          <w:p>
            <w:pPr>
              <w:pStyle w:val="12"/>
            </w:pPr>
            <w:r>
              <w:t>事业</w:t>
            </w:r>
          </w:p>
        </w:tc>
        <w:tc>
          <w:tcPr>
            <w:tcW w:w="1509" w:type="dxa"/>
            <w:vAlign w:val="center"/>
          </w:tcPr>
          <w:p>
            <w:pPr>
              <w:pStyle w:val="12"/>
            </w:pPr>
            <w:r>
              <w:t>副科级</w:t>
            </w:r>
          </w:p>
        </w:tc>
        <w:tc>
          <w:tcPr>
            <w:tcW w:w="3078" w:type="dxa"/>
            <w:vAlign w:val="center"/>
          </w:tcPr>
          <w:p>
            <w:pPr>
              <w:pStyle w:val="12"/>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8" w:type="dxa"/>
            <w:vAlign w:val="center"/>
          </w:tcPr>
          <w:p>
            <w:pPr>
              <w:pStyle w:val="11"/>
            </w:pPr>
            <w:r>
              <w:t>石家庄市藁城区烈士陵园</w:t>
            </w:r>
          </w:p>
        </w:tc>
        <w:tc>
          <w:tcPr>
            <w:tcW w:w="1221" w:type="dxa"/>
            <w:vAlign w:val="center"/>
          </w:tcPr>
          <w:p>
            <w:pPr>
              <w:pStyle w:val="12"/>
            </w:pPr>
            <w:r>
              <w:t>事业</w:t>
            </w:r>
          </w:p>
        </w:tc>
        <w:tc>
          <w:tcPr>
            <w:tcW w:w="1509" w:type="dxa"/>
            <w:vAlign w:val="center"/>
          </w:tcPr>
          <w:p>
            <w:pPr>
              <w:pStyle w:val="12"/>
            </w:pPr>
            <w:r>
              <w:t>副科级</w:t>
            </w:r>
          </w:p>
        </w:tc>
        <w:tc>
          <w:tcPr>
            <w:tcW w:w="3078" w:type="dxa"/>
            <w:vAlign w:val="center"/>
          </w:tcPr>
          <w:p>
            <w:pPr>
              <w:pStyle w:val="12"/>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8" w:type="dxa"/>
            <w:vAlign w:val="center"/>
          </w:tcPr>
          <w:p>
            <w:pPr>
              <w:pStyle w:val="11"/>
            </w:pPr>
            <w:r>
              <w:t>石家庄市藁城区退役军人服务中心</w:t>
            </w:r>
          </w:p>
        </w:tc>
        <w:tc>
          <w:tcPr>
            <w:tcW w:w="1221" w:type="dxa"/>
            <w:vAlign w:val="center"/>
          </w:tcPr>
          <w:p>
            <w:pPr>
              <w:pStyle w:val="12"/>
            </w:pPr>
            <w:r>
              <w:t>事业</w:t>
            </w:r>
          </w:p>
        </w:tc>
        <w:tc>
          <w:tcPr>
            <w:tcW w:w="1509" w:type="dxa"/>
            <w:vAlign w:val="center"/>
          </w:tcPr>
          <w:p>
            <w:pPr>
              <w:pStyle w:val="12"/>
            </w:pPr>
            <w:r>
              <w:t>副科级</w:t>
            </w:r>
          </w:p>
        </w:tc>
        <w:tc>
          <w:tcPr>
            <w:tcW w:w="3078" w:type="dxa"/>
            <w:vAlign w:val="center"/>
          </w:tcPr>
          <w:p>
            <w:pPr>
              <w:pStyle w:val="12"/>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8" w:type="dxa"/>
            <w:vAlign w:val="center"/>
          </w:tcPr>
          <w:p>
            <w:pPr>
              <w:pStyle w:val="11"/>
            </w:pPr>
            <w:r>
              <w:t>石家庄市藁城区军队离休退休干部休养所</w:t>
            </w:r>
          </w:p>
        </w:tc>
        <w:tc>
          <w:tcPr>
            <w:tcW w:w="1221" w:type="dxa"/>
            <w:vAlign w:val="center"/>
          </w:tcPr>
          <w:p>
            <w:pPr>
              <w:pStyle w:val="12"/>
            </w:pPr>
            <w:r>
              <w:t>事业</w:t>
            </w:r>
          </w:p>
        </w:tc>
        <w:tc>
          <w:tcPr>
            <w:tcW w:w="1509" w:type="dxa"/>
            <w:vAlign w:val="center"/>
          </w:tcPr>
          <w:p>
            <w:pPr>
              <w:pStyle w:val="12"/>
            </w:pPr>
            <w:r>
              <w:t>股级</w:t>
            </w:r>
          </w:p>
        </w:tc>
        <w:tc>
          <w:tcPr>
            <w:tcW w:w="3078" w:type="dxa"/>
            <w:vAlign w:val="center"/>
          </w:tcPr>
          <w:p>
            <w:pPr>
              <w:pStyle w:val="12"/>
            </w:pPr>
            <w:r>
              <w:t>财政性资金基本保证</w:t>
            </w:r>
          </w:p>
        </w:tc>
      </w:tr>
    </w:tbl>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楷体_GB2312" w:hAnsi="楷体_GB2312" w:eastAsia="楷体_GB2312" w:cs="楷体_GB2312"/>
          <w:bCs/>
          <w:sz w:val="32"/>
          <w:szCs w:val="32"/>
        </w:rPr>
      </w:pP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ascii="Times New Roman" w:hAnsi="Times New Roman" w:eastAsia="仿宋" w:cs="Times New Roman"/>
          <w:sz w:val="32"/>
          <w:szCs w:val="32"/>
        </w:rPr>
      </w:pPr>
      <w:r>
        <w:rPr>
          <w:rFonts w:hint="eastAsia" w:ascii="仿宋" w:hAnsi="仿宋" w:eastAsia="仿宋" w:cs="仿宋"/>
          <w:sz w:val="32"/>
          <w:szCs w:val="32"/>
          <w:lang w:val="en-US" w:eastAsia="zh-CN"/>
        </w:rPr>
        <w:t>本部门2023年预算收入15862.89万元，其中：一般公共预算收</w:t>
      </w:r>
      <w:r>
        <w:rPr>
          <w:rFonts w:hint="eastAsia" w:ascii="Times New Roman" w:hAnsi="Times New Roman" w:eastAsia="仿宋" w:cs="Times New Roman"/>
          <w:sz w:val="32"/>
          <w:szCs w:val="32"/>
        </w:rPr>
        <w:t>入</w:t>
      </w:r>
      <w:r>
        <w:rPr>
          <w:rFonts w:hint="eastAsia" w:eastAsia="仿宋" w:cs="Times New Roman"/>
          <w:sz w:val="32"/>
          <w:szCs w:val="32"/>
          <w:lang w:val="en-US" w:eastAsia="zh-CN"/>
        </w:rPr>
        <w:t>15862.89</w:t>
      </w:r>
      <w:r>
        <w:rPr>
          <w:rFonts w:hint="eastAsia" w:ascii="Times New Roman" w:hAnsi="Times New Roman" w:eastAsia="仿宋" w:cs="Times New Roman"/>
          <w:sz w:val="32"/>
          <w:szCs w:val="32"/>
        </w:rPr>
        <w:t>万元，基金预算收入0万元，财政专户核拨收入0万元，其他来源收入0万元。</w:t>
      </w:r>
    </w:p>
    <w:p>
      <w:pPr>
        <w:numPr>
          <w:ilvl w:val="0"/>
          <w:numId w:val="0"/>
        </w:numPr>
        <w:spacing w:line="460" w:lineRule="exact"/>
        <w:ind w:firstLine="640" w:firstLineChars="200"/>
        <w:rPr>
          <w:rFonts w:hint="eastAsia" w:ascii="楷体_GB2312" w:hAnsi="楷体_GB2312" w:eastAsia="楷体_GB2312" w:cs="楷体_GB2312"/>
          <w:bCs/>
          <w:sz w:val="32"/>
          <w:szCs w:val="32"/>
        </w:rPr>
      </w:pPr>
      <w:r>
        <w:rPr>
          <w:rFonts w:hint="eastAsia" w:ascii="仿宋" w:hAnsi="仿宋" w:eastAsia="仿宋" w:cs="仿宋"/>
          <w:sz w:val="32"/>
          <w:szCs w:val="32"/>
          <w:lang w:val="en-US" w:eastAsia="zh-CN"/>
        </w:rPr>
        <w:t>本部门2023年决算收入支出为18252.6万元，</w:t>
      </w:r>
      <w:r>
        <w:rPr>
          <w:rFonts w:hint="eastAsia" w:ascii="Times New Roman" w:hAnsi="Times New Roman" w:eastAsia="仿宋" w:cs="Times New Roman"/>
          <w:sz w:val="32"/>
          <w:szCs w:val="32"/>
        </w:rPr>
        <w:t>其中：一般公共预算收入</w:t>
      </w:r>
      <w:r>
        <w:rPr>
          <w:rFonts w:hint="eastAsia" w:ascii="Times New Roman" w:hAnsi="Times New Roman" w:eastAsia="仿宋" w:cs="Times New Roman"/>
          <w:sz w:val="32"/>
          <w:szCs w:val="32"/>
          <w:lang w:eastAsia="zh-CN"/>
        </w:rPr>
        <w:t>支出</w:t>
      </w:r>
      <w:r>
        <w:rPr>
          <w:rFonts w:hint="eastAsia" w:eastAsia="仿宋" w:cs="Times New Roman"/>
          <w:sz w:val="32"/>
          <w:szCs w:val="32"/>
          <w:lang w:val="en-US" w:eastAsia="zh-CN"/>
        </w:rPr>
        <w:t>18252.6</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eastAsia="zh-CN"/>
        </w:rPr>
        <w:t>支出</w:t>
      </w:r>
      <w:r>
        <w:rPr>
          <w:rFonts w:hint="eastAsia" w:ascii="Times New Roman" w:hAnsi="Times New Roman" w:eastAsia="仿宋" w:cs="Times New Roman"/>
          <w:sz w:val="32"/>
          <w:szCs w:val="32"/>
        </w:rPr>
        <w:t>0万元，财政专户核拨收入</w:t>
      </w:r>
      <w:r>
        <w:rPr>
          <w:rFonts w:hint="eastAsia" w:ascii="Times New Roman" w:hAnsi="Times New Roman" w:eastAsia="仿宋" w:cs="Times New Roman"/>
          <w:sz w:val="32"/>
          <w:szCs w:val="32"/>
          <w:lang w:eastAsia="zh-CN"/>
        </w:rPr>
        <w:t>支出</w:t>
      </w:r>
      <w:r>
        <w:rPr>
          <w:rFonts w:hint="eastAsia" w:ascii="Times New Roman" w:hAnsi="Times New Roman" w:eastAsia="仿宋" w:cs="Times New Roman"/>
          <w:sz w:val="32"/>
          <w:szCs w:val="32"/>
        </w:rPr>
        <w:t>0万元，其他来源收入</w:t>
      </w:r>
      <w:r>
        <w:rPr>
          <w:rFonts w:hint="eastAsia" w:ascii="Times New Roman" w:hAnsi="Times New Roman" w:eastAsia="仿宋" w:cs="Times New Roman"/>
          <w:sz w:val="32"/>
          <w:szCs w:val="32"/>
          <w:lang w:eastAsia="zh-CN"/>
        </w:rPr>
        <w:t>支出</w:t>
      </w:r>
      <w:r>
        <w:rPr>
          <w:rFonts w:hint="eastAsia" w:ascii="Times New Roman" w:hAnsi="Times New Roman" w:eastAsia="仿宋" w:cs="Times New Roman"/>
          <w:sz w:val="32"/>
          <w:szCs w:val="32"/>
        </w:rPr>
        <w:t>0万元。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Calibri" w:hAnsi="Calibri" w:cs="Calibri"/>
          <w:b w:val="0"/>
          <w:i w:val="0"/>
          <w:caps w:val="0"/>
          <w:color w:val="000000"/>
          <w:spacing w:val="0"/>
          <w:sz w:val="22"/>
          <w:szCs w:val="22"/>
        </w:rPr>
      </w:pPr>
      <w:r>
        <w:rPr>
          <w:rFonts w:hint="eastAsia" w:ascii="楷体_GB2312" w:hAnsi="楷体_GB2312" w:eastAsia="楷体_GB2312" w:cs="楷体_GB2312"/>
          <w:bCs/>
          <w:sz w:val="32"/>
          <w:szCs w:val="32"/>
        </w:rPr>
        <w:t>（三）部门整体支出绩效目标、指标</w:t>
      </w:r>
    </w:p>
    <w:p>
      <w:pPr>
        <w:numPr>
          <w:ilvl w:val="0"/>
          <w:numId w:val="0"/>
        </w:numPr>
        <w:spacing w:line="460" w:lineRule="exact"/>
        <w:ind w:firstLine="640" w:firstLineChars="200"/>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val="en-US" w:eastAsia="zh-CN"/>
        </w:rPr>
        <w:t>以习近平总书记关于退役军人事务工作的重要指示为依据，全面深入贯彻中央、省市区退役军人事务的决策部署，以“让退役军人和优抚对象满意”为目标，实现区镇村三级退役军人服务站全覆盖，推进“两站一中心”建设，建立健全各级退役军人就业、退役军人信息保障、党员管理台账等；突出做好来访接待，权益保障工作，退役军人信访接待稳步推进，争取达到零上访，加大政策欠账保障工作，保障退役军人合法权益；做好退役军人就业创业工作，保障不超过150人进行职业技能教育培训，培训合格率达到95%以上；开展党建工作，提升退役军人党员教育管理水平，推进思想政治教育；救助困难退役军人；推行“阳光安置”政策安置率达到95%以上。推进光荣院，烈士陵园环境提升，“两节”对各类优抚对象、驻藁部队走访慰问，解决退役军人生活困难，营造拥军优属的社会氛围。</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widowControl w:val="0"/>
        <w:wordWrap/>
        <w:adjustRightInd/>
        <w:snapToGrid w:val="0"/>
        <w:spacing w:line="560" w:lineRule="exact"/>
        <w:ind w:left="0" w:leftChars="0" w:right="0"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lang w:eastAsia="zh-CN"/>
        </w:rPr>
        <w:t>由财务室牵头，设立专门绩效工作评价小组，专人负责。</w:t>
      </w:r>
      <w:r>
        <w:rPr>
          <w:rFonts w:hint="eastAsia" w:ascii="仿宋" w:hAnsi="仿宋" w:eastAsia="仿宋" w:cs="仿宋"/>
          <w:sz w:val="32"/>
          <w:szCs w:val="32"/>
        </w:rPr>
        <w:t>通过绩效自评结果</w:t>
      </w:r>
      <w:r>
        <w:rPr>
          <w:rFonts w:hint="eastAsia" w:ascii="仿宋" w:hAnsi="仿宋" w:eastAsia="仿宋" w:cs="仿宋"/>
          <w:sz w:val="32"/>
          <w:szCs w:val="32"/>
          <w:lang w:eastAsia="zh-CN"/>
        </w:rPr>
        <w:t>与</w:t>
      </w:r>
      <w:r>
        <w:rPr>
          <w:rFonts w:hint="eastAsia" w:ascii="仿宋" w:hAnsi="仿宋" w:eastAsia="仿宋" w:cs="仿宋"/>
          <w:sz w:val="32"/>
          <w:szCs w:val="32"/>
        </w:rPr>
        <w:t>年初绩效目标设定质量</w:t>
      </w:r>
      <w:r>
        <w:rPr>
          <w:rFonts w:hint="eastAsia" w:ascii="仿宋" w:hAnsi="仿宋" w:eastAsia="仿宋" w:cs="仿宋"/>
          <w:sz w:val="32"/>
          <w:szCs w:val="32"/>
          <w:lang w:eastAsia="zh-CN"/>
        </w:rPr>
        <w:t>进行对比</w:t>
      </w:r>
      <w:r>
        <w:rPr>
          <w:rFonts w:hint="eastAsia" w:ascii="仿宋" w:hAnsi="仿宋" w:eastAsia="仿宋" w:cs="仿宋"/>
          <w:sz w:val="32"/>
          <w:szCs w:val="32"/>
        </w:rPr>
        <w:t>，</w:t>
      </w:r>
      <w:r>
        <w:rPr>
          <w:rFonts w:hint="eastAsia" w:ascii="仿宋" w:hAnsi="仿宋" w:eastAsia="仿宋" w:cs="仿宋"/>
          <w:sz w:val="32"/>
          <w:szCs w:val="32"/>
          <w:lang w:eastAsia="zh-CN"/>
        </w:rPr>
        <w:t>我部门设置的数量指标、质量指标、成本指标、社会效益指标、可持续影响指标等绩效目标均已完成，并且</w:t>
      </w:r>
      <w:r>
        <w:rPr>
          <w:rFonts w:hint="eastAsia" w:ascii="仿宋" w:hAnsi="仿宋" w:eastAsia="仿宋" w:cs="仿宋"/>
          <w:sz w:val="32"/>
          <w:szCs w:val="32"/>
        </w:rPr>
        <w:t>绩效目标设定清晰准确，全面完整、科学合理，</w:t>
      </w:r>
      <w:r>
        <w:rPr>
          <w:rFonts w:hint="eastAsia" w:ascii="仿宋" w:hAnsi="仿宋" w:eastAsia="仿宋" w:cs="仿宋"/>
          <w:sz w:val="32"/>
          <w:szCs w:val="32"/>
          <w:lang w:eastAsia="zh-CN"/>
        </w:rPr>
        <w:t>涉及产出指标、效益指标、满意度指标等，</w:t>
      </w:r>
      <w:r>
        <w:rPr>
          <w:rFonts w:hint="eastAsia" w:ascii="仿宋" w:hAnsi="仿宋" w:eastAsia="仿宋" w:cs="仿宋"/>
          <w:sz w:val="32"/>
          <w:szCs w:val="32"/>
        </w:rPr>
        <w:t>绩效标准恰当适宜、易于评价。</w:t>
      </w:r>
    </w:p>
    <w:p>
      <w:pPr>
        <w:keepNext w:val="0"/>
        <w:keepLines w:val="0"/>
        <w:pageBreakBefore w:val="0"/>
        <w:widowControl w:val="0"/>
        <w:numPr>
          <w:ilvl w:val="0"/>
          <w:numId w:val="1"/>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pPr>
        <w:keepNext w:val="0"/>
        <w:keepLines w:val="0"/>
        <w:pageBreakBefore w:val="0"/>
        <w:widowControl w:val="0"/>
        <w:numPr>
          <w:ilvl w:val="0"/>
          <w:numId w:val="0"/>
        </w:numPr>
        <w:kinsoku/>
        <w:overflowPunct/>
        <w:topLinePunct w:val="0"/>
        <w:autoSpaceDE/>
        <w:autoSpaceDN/>
        <w:bidi w:val="0"/>
        <w:spacing w:line="560" w:lineRule="exact"/>
        <w:ind w:firstLine="640" w:firstLineChars="200"/>
        <w:jc w:val="both"/>
        <w:textAlignment w:val="auto"/>
        <w:rPr>
          <w:rFonts w:hint="eastAsia" w:ascii="楷体_GB2312" w:hAnsi="楷体_GB2312" w:eastAsia="楷体_GB2312" w:cs="楷体_GB2312"/>
          <w:bCs/>
          <w:sz w:val="32"/>
          <w:szCs w:val="32"/>
        </w:rPr>
      </w:pPr>
      <w:r>
        <w:rPr>
          <w:rFonts w:hint="eastAsia" w:ascii="仿宋_GB2312" w:eastAsia="仿宋_GB2312"/>
          <w:sz w:val="32"/>
          <w:szCs w:val="32"/>
          <w:lang w:val="en-US" w:eastAsia="zh-CN"/>
        </w:rPr>
        <w:t>按照财政系统中的收支记录，对资金来源去向做到了解，按照支出的实际情况对支出进度、金额进行总结评价，最终完成绩效自评。</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numPr>
          <w:ilvl w:val="0"/>
          <w:numId w:val="0"/>
        </w:numPr>
        <w:kinsoku/>
        <w:overflowPunct/>
        <w:topLinePunct w:val="0"/>
        <w:autoSpaceDE/>
        <w:autoSpaceDN/>
        <w:bidi w:val="0"/>
        <w:spacing w:line="560" w:lineRule="exact"/>
        <w:ind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完成优抚对象抚恤及其他补助发放工作，补助人数达到100%；做好退役军人就业创业工作，保障不超过150人进行职业技能教育培训，培训合格率达到95%以上；推行“阳光安置”政策安置率达到95%以上，及时发放待安置期间生活补助、补缴养老医疗保险等。推进光荣院，烈士陵园环境提升，“两节”对各类优抚对象、驻藁部队走访慰问，解决退役军人生活困难，营造拥军优属的社会氛围。</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绩效目标：深入开展政策落实“回头看”，突出矛盾化解，切实维护</w:t>
      </w:r>
      <w:r>
        <w:rPr>
          <w:rFonts w:hint="eastAsia" w:ascii="仿宋_GB2312" w:hAnsi="仿宋_GB2312" w:eastAsia="仿宋_GB2312" w:cs="仿宋_GB2312"/>
          <w:sz w:val="32"/>
          <w:szCs w:val="32"/>
          <w:highlight w:val="none"/>
          <w:lang w:val="en-US" w:eastAsia="zh-CN"/>
        </w:rPr>
        <w:t>不超过43名安排至各单位</w:t>
      </w:r>
      <w:r>
        <w:rPr>
          <w:rFonts w:hint="eastAsia" w:ascii="仿宋_GB2312" w:hAnsi="仿宋_GB2312" w:eastAsia="仿宋_GB2312" w:cs="仿宋_GB2312"/>
          <w:sz w:val="32"/>
          <w:szCs w:val="32"/>
          <w:highlight w:val="none"/>
          <w:lang w:eastAsia="zh-CN"/>
        </w:rPr>
        <w:t>退役军人合法权益。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绩效指标：统筹推进区直各单位、各部门实行“单位领导包干、区领导整体推进”的办法，</w:t>
      </w:r>
      <w:r>
        <w:rPr>
          <w:rFonts w:hint="eastAsia" w:ascii="仿宋_GB2312" w:hAnsi="仿宋_GB2312" w:eastAsia="仿宋_GB2312" w:cs="仿宋_GB2312"/>
          <w:sz w:val="32"/>
          <w:szCs w:val="32"/>
          <w:highlight w:val="none"/>
          <w:lang w:val="en-US" w:eastAsia="zh-CN"/>
        </w:rPr>
        <w:t>保障</w:t>
      </w:r>
      <w:r>
        <w:rPr>
          <w:rFonts w:hint="eastAsia" w:ascii="仿宋_GB2312" w:hAnsi="仿宋_GB2312" w:eastAsia="仿宋_GB2312" w:cs="仿宋_GB2312"/>
          <w:sz w:val="32"/>
          <w:szCs w:val="32"/>
          <w:highlight w:val="none"/>
          <w:lang w:eastAsia="zh-CN"/>
        </w:rPr>
        <w:t>率到达95％以上。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完成情况：及时解决退役士兵遗留问题，保障退役军人合法权益，预算执行率达到88.54%，绩效评分94分。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绩效目标：做好</w:t>
      </w:r>
      <w:r>
        <w:rPr>
          <w:rFonts w:hint="eastAsia" w:ascii="仿宋_GB2312" w:hAnsi="仿宋_GB2312" w:eastAsia="仿宋_GB2312" w:cs="仿宋_GB2312"/>
          <w:sz w:val="32"/>
          <w:szCs w:val="32"/>
          <w:highlight w:val="none"/>
          <w:lang w:val="en-US" w:eastAsia="zh-CN"/>
        </w:rPr>
        <w:t>不超过150人</w:t>
      </w:r>
      <w:r>
        <w:rPr>
          <w:rFonts w:hint="eastAsia" w:ascii="仿宋_GB2312" w:hAnsi="仿宋_GB2312" w:eastAsia="仿宋_GB2312" w:cs="仿宋_GB2312"/>
          <w:sz w:val="32"/>
          <w:szCs w:val="32"/>
          <w:highlight w:val="none"/>
          <w:lang w:eastAsia="zh-CN"/>
        </w:rPr>
        <w:t>退役军人</w:t>
      </w:r>
      <w:r>
        <w:rPr>
          <w:rFonts w:hint="eastAsia" w:ascii="仿宋_GB2312" w:hAnsi="仿宋_GB2312" w:eastAsia="仿宋_GB2312" w:cs="仿宋_GB2312"/>
          <w:sz w:val="32"/>
          <w:szCs w:val="32"/>
          <w:highlight w:val="none"/>
          <w:lang w:val="en-US" w:eastAsia="zh-CN"/>
        </w:rPr>
        <w:t>职业教育</w:t>
      </w:r>
      <w:r>
        <w:rPr>
          <w:rFonts w:hint="eastAsia" w:ascii="仿宋_GB2312" w:hAnsi="仿宋_GB2312" w:eastAsia="仿宋_GB2312" w:cs="仿宋_GB2312"/>
          <w:sz w:val="32"/>
          <w:szCs w:val="32"/>
          <w:highlight w:val="none"/>
          <w:lang w:eastAsia="zh-CN"/>
        </w:rPr>
        <w:t>培训，进一步提升自主就业退役士兵职业技能帮助自主就业退役士兵提升综合能力和竞争力，实现高质量就业，保障退役士兵满意、社会和谐。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w:t>
      </w:r>
      <w:r>
        <w:rPr>
          <w:rFonts w:hint="eastAsia" w:ascii="仿宋_GB2312" w:hAnsi="仿宋_GB2312" w:eastAsia="仿宋_GB2312" w:cs="仿宋_GB2312"/>
          <w:sz w:val="32"/>
          <w:szCs w:val="32"/>
          <w:highlight w:val="none"/>
          <w:lang w:val="en-US" w:eastAsia="zh-CN"/>
        </w:rPr>
        <w:t>不超过150人</w:t>
      </w:r>
      <w:r>
        <w:rPr>
          <w:rFonts w:hint="eastAsia" w:ascii="仿宋_GB2312" w:hAnsi="仿宋_GB2312" w:eastAsia="仿宋_GB2312" w:cs="仿宋_GB2312"/>
          <w:sz w:val="32"/>
          <w:szCs w:val="32"/>
          <w:highlight w:val="none"/>
          <w:lang w:eastAsia="zh-CN"/>
        </w:rPr>
        <w:t>退役军人培训，</w:t>
      </w:r>
      <w:r>
        <w:rPr>
          <w:rFonts w:hint="eastAsia" w:ascii="仿宋_GB2312" w:hAnsi="仿宋_GB2312" w:eastAsia="仿宋_GB2312" w:cs="仿宋_GB2312"/>
          <w:sz w:val="32"/>
          <w:szCs w:val="32"/>
          <w:highlight w:val="none"/>
          <w:lang w:val="en-US" w:eastAsia="zh-CN"/>
        </w:rPr>
        <w:t>培训</w:t>
      </w:r>
      <w:r>
        <w:rPr>
          <w:rFonts w:hint="eastAsia" w:ascii="仿宋_GB2312" w:hAnsi="仿宋_GB2312" w:eastAsia="仿宋_GB2312" w:cs="仿宋_GB2312"/>
          <w:sz w:val="32"/>
          <w:szCs w:val="32"/>
          <w:highlight w:val="none"/>
          <w:lang w:eastAsia="zh-CN"/>
        </w:rPr>
        <w:t>率达到80％以上；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完成情况：培训退役士兵25人，合格率100%，预算执行16.1%，及时培训退役士兵，提升就业竞争力，绩效评分93分。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完善退役军人信访工作制度，按照《藁城区退役军人事务工作来访接待处置预案（试行）》及配套制度，规范来访接待和信访事项受理、交办、转办、反馈和督办工作；落实好领导接访约访制度，每周有1名县级领导到退役军人事务部门接访，区每天有1名党政领导班子成员在信访部门接访，每天有1名事务局领导在区退役服务中心接访；坚持落实领导带班接访和约访制度，各级接待退役军人要突出做好政策解释和矛盾化解工作，及时回应退役军人的诉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 xml:space="preserve"> 绩效指标：退役军人来访接待率达到100％，信访接待、答复、满意率达到95％以上；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完成情况：每年至少接访</w:t>
      </w:r>
      <w:r>
        <w:rPr>
          <w:rFonts w:hint="eastAsia" w:ascii="仿宋_GB2312" w:hAnsi="仿宋_GB2312" w:eastAsia="仿宋_GB2312" w:cs="仿宋_GB2312"/>
          <w:sz w:val="32"/>
          <w:szCs w:val="32"/>
          <w:highlight w:val="none"/>
          <w:lang w:val="en-US" w:eastAsia="zh-CN"/>
        </w:rPr>
        <w:t>5次，保障我区退役军人事务上访“零登记”，群众满意度95%以上，预算执行率97.9%，绩效评分100分。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绩效目标：落实好中央、省、市区退役军人政策，在加持原则的基础上，充分考虑退役军人的实际困难，将政策最大化的惠及广大退役军人，在窗口单位实行退役军人和现役军人优先政策，坚持好为退役军人送喜报和悬挂光荣牌工作。</w:t>
      </w:r>
      <w:r>
        <w:rPr>
          <w:rFonts w:hint="eastAsia" w:ascii="仿宋_GB2312" w:hAnsi="仿宋_GB2312" w:eastAsia="仿宋_GB2312" w:cs="仿宋_GB2312"/>
          <w:sz w:val="32"/>
          <w:szCs w:val="32"/>
          <w:highlight w:val="none"/>
          <w:lang w:val="en-US" w:eastAsia="zh-CN"/>
        </w:rPr>
        <w:t>慰问不少于5个驻藁部队，每年两次走访慰问各类优抚对象，使其感受党和国家的关怀。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 xml:space="preserve"> 绩效指标：</w:t>
      </w:r>
      <w:r>
        <w:rPr>
          <w:rFonts w:hint="eastAsia" w:ascii="仿宋_GB2312" w:hAnsi="仿宋_GB2312" w:eastAsia="仿宋_GB2312" w:cs="仿宋_GB2312"/>
          <w:sz w:val="32"/>
          <w:szCs w:val="32"/>
          <w:highlight w:val="none"/>
          <w:lang w:val="en-US" w:eastAsia="zh-CN"/>
        </w:rPr>
        <w:t>慰问不少于5个驻藁部队，每年两次走访慰问各类优抚对象</w:t>
      </w:r>
      <w:r>
        <w:rPr>
          <w:rFonts w:hint="eastAsia" w:ascii="仿宋_GB2312" w:hAnsi="仿宋_GB2312" w:eastAsia="仿宋_GB2312" w:cs="仿宋_GB2312"/>
          <w:sz w:val="32"/>
          <w:szCs w:val="32"/>
          <w:highlight w:val="none"/>
          <w:lang w:eastAsia="zh-CN"/>
        </w:rPr>
        <w:t>、悬挂光荣牌、送喜报覆盖率达到100％；保障入住光荣院</w:t>
      </w:r>
      <w:r>
        <w:rPr>
          <w:rFonts w:hint="eastAsia" w:ascii="仿宋_GB2312" w:hAnsi="仿宋_GB2312" w:eastAsia="仿宋_GB2312" w:cs="仿宋_GB2312"/>
          <w:sz w:val="32"/>
          <w:szCs w:val="32"/>
          <w:highlight w:val="none"/>
          <w:lang w:val="en-US" w:eastAsia="zh-CN"/>
        </w:rPr>
        <w:t>7位老人基本生活</w:t>
      </w:r>
      <w:r>
        <w:rPr>
          <w:rFonts w:hint="eastAsia" w:ascii="仿宋_GB2312" w:hAnsi="仿宋_GB2312" w:eastAsia="仿宋_GB2312" w:cs="仿宋_GB2312"/>
          <w:sz w:val="32"/>
          <w:szCs w:val="32"/>
          <w:highlight w:val="none"/>
          <w:lang w:eastAsia="zh-CN"/>
        </w:rPr>
        <w:t>；烈士陵园每年开展少于</w:t>
      </w:r>
      <w:r>
        <w:rPr>
          <w:rFonts w:hint="eastAsia" w:ascii="仿宋_GB2312" w:hAnsi="仿宋_GB2312" w:eastAsia="仿宋_GB2312" w:cs="仿宋_GB2312"/>
          <w:sz w:val="32"/>
          <w:szCs w:val="32"/>
          <w:highlight w:val="none"/>
          <w:lang w:val="en-US" w:eastAsia="zh-CN"/>
        </w:rPr>
        <w:t>1次烈士公祭活动，营造红色基地教育氛围</w:t>
      </w:r>
      <w:r>
        <w:rPr>
          <w:rFonts w:hint="eastAsia" w:ascii="仿宋_GB2312" w:hAnsi="仿宋_GB2312" w:eastAsia="仿宋_GB2312" w:cs="仿宋_GB2312"/>
          <w:sz w:val="32"/>
          <w:szCs w:val="32"/>
          <w:highlight w:val="none"/>
          <w:lang w:eastAsia="zh-CN"/>
        </w:rPr>
        <w:t>；落实保障军休干部</w:t>
      </w:r>
      <w:r>
        <w:rPr>
          <w:rFonts w:hint="eastAsia" w:ascii="仿宋_GB2312" w:hAnsi="仿宋_GB2312" w:eastAsia="仿宋_GB2312" w:cs="仿宋_GB2312"/>
          <w:sz w:val="32"/>
          <w:szCs w:val="32"/>
          <w:highlight w:val="none"/>
          <w:lang w:val="en-US" w:eastAsia="zh-CN"/>
        </w:rPr>
        <w:t>24人，遗属12人、无军籍职工4人</w:t>
      </w:r>
      <w:r>
        <w:rPr>
          <w:rFonts w:hint="eastAsia" w:ascii="仿宋_GB2312" w:hAnsi="仿宋_GB2312" w:eastAsia="仿宋_GB2312" w:cs="仿宋_GB2312"/>
          <w:sz w:val="32"/>
          <w:szCs w:val="32"/>
          <w:highlight w:val="none"/>
          <w:lang w:eastAsia="zh-CN"/>
        </w:rPr>
        <w:t>政治生活待遇。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完成情况：慰问</w:t>
      </w:r>
      <w:r>
        <w:rPr>
          <w:rFonts w:hint="eastAsia" w:ascii="仿宋_GB2312" w:hAnsi="仿宋_GB2312" w:eastAsia="仿宋_GB2312" w:cs="仿宋_GB2312"/>
          <w:sz w:val="32"/>
          <w:szCs w:val="32"/>
          <w:highlight w:val="none"/>
          <w:lang w:val="en-US" w:eastAsia="zh-CN"/>
        </w:rPr>
        <w:t>5个部队，走访慰问优抚对象，举办3次烈士公祭活动，营造双拥氛围，保障军休干部遗属无军籍40人，预算执行率达到95%以上，服务对象满意度95%以上，绩效评分100分。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绩效目标：大力推行符合政策退役军人“阳光安置”</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lang w:eastAsia="zh-CN"/>
        </w:rPr>
        <w:t>对安置方法、安置程序、岗位设置、福利待遇等问题进行系统研究，针对档案评分、考试得分、次序排列、岗位公示、选岗过程、移交落岗等6个安置环节，全程实行“四个透明”，暨：成绩透明、排名透明、公示透明、选岗透明。为了把安置政策落到实处，不晃虚枪，按照退役军人移交安置“三明确、两落实、一公示”的思路，即任务明确、对象明确、岗位明确，做到“人员编制落实、工资待遇落实”，“社会公示及时”的办法，提前做好各种准备工作，真正做到“公开、公平、公正”。及时拨付待安置期间生活补助及医疗保险补助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绩效指标：符合条件退役军人安置</w:t>
      </w:r>
      <w:r>
        <w:rPr>
          <w:rFonts w:hint="eastAsia" w:ascii="仿宋_GB2312" w:hAnsi="仿宋_GB2312" w:eastAsia="仿宋_GB2312" w:cs="仿宋_GB2312"/>
          <w:sz w:val="32"/>
          <w:szCs w:val="32"/>
          <w:highlight w:val="none"/>
          <w:lang w:val="en-US" w:eastAsia="zh-CN"/>
        </w:rPr>
        <w:t>人数不超过50人，安置</w:t>
      </w:r>
      <w:r>
        <w:rPr>
          <w:rFonts w:hint="eastAsia" w:ascii="仿宋_GB2312" w:hAnsi="仿宋_GB2312" w:eastAsia="仿宋_GB2312" w:cs="仿宋_GB2312"/>
          <w:sz w:val="32"/>
          <w:szCs w:val="32"/>
          <w:highlight w:val="none"/>
          <w:lang w:eastAsia="zh-CN"/>
        </w:rPr>
        <w:t>率达到95％，及时拨付生活补助及保险补助；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完成情况：安置退役军人</w:t>
      </w:r>
      <w:r>
        <w:rPr>
          <w:rFonts w:hint="eastAsia" w:ascii="仿宋_GB2312" w:hAnsi="仿宋_GB2312" w:eastAsia="仿宋_GB2312" w:cs="仿宋_GB2312"/>
          <w:sz w:val="32"/>
          <w:szCs w:val="32"/>
          <w:highlight w:val="none"/>
          <w:lang w:val="en-US" w:eastAsia="zh-CN"/>
        </w:rPr>
        <w:t>42人，逐月发放待安置期间生活费及缴纳医疗保险，安置率达到100%，预算执行率为43.43%，退役士兵满意度95%以上，绩效评分98分。</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 w:hAnsi="仿宋" w:eastAsia="仿宋" w:cs="仿宋"/>
          <w:sz w:val="32"/>
          <w:szCs w:val="32"/>
          <w:lang w:eastAsia="zh-CN"/>
        </w:rPr>
        <w:t>我部门全年项目包括</w:t>
      </w:r>
      <w:r>
        <w:rPr>
          <w:rFonts w:hint="eastAsia" w:ascii="仿宋" w:hAnsi="仿宋" w:eastAsia="仿宋" w:cs="仿宋"/>
          <w:sz w:val="32"/>
          <w:szCs w:val="32"/>
          <w:lang w:val="en-US" w:eastAsia="zh-CN"/>
        </w:rPr>
        <w:t>86项，其总体绩效目标为</w:t>
      </w:r>
      <w:r>
        <w:rPr>
          <w:rFonts w:hint="eastAsia" w:ascii="Times New Roman" w:hAnsi="Times New Roman" w:eastAsia="仿宋" w:cs="Times New Roman"/>
          <w:sz w:val="32"/>
          <w:szCs w:val="32"/>
        </w:rPr>
        <w:t>建立健全各级退役军人</w:t>
      </w:r>
      <w:r>
        <w:rPr>
          <w:rFonts w:hint="eastAsia" w:ascii="Times New Roman" w:hAnsi="Times New Roman" w:eastAsia="仿宋" w:cs="Times New Roman"/>
          <w:sz w:val="32"/>
          <w:szCs w:val="32"/>
          <w:lang w:eastAsia="zh-CN"/>
        </w:rPr>
        <w:t>就业、退役军人信息保障、党员管理</w:t>
      </w:r>
      <w:r>
        <w:rPr>
          <w:rFonts w:hint="eastAsia" w:ascii="Times New Roman" w:hAnsi="Times New Roman" w:eastAsia="仿宋" w:cs="Times New Roman"/>
          <w:sz w:val="32"/>
          <w:szCs w:val="32"/>
        </w:rPr>
        <w:t>台账</w:t>
      </w:r>
      <w:r>
        <w:rPr>
          <w:rFonts w:hint="eastAsia" w:ascii="Times New Roman" w:hAnsi="Times New Roman" w:eastAsia="仿宋" w:cs="Times New Roman"/>
          <w:sz w:val="32"/>
          <w:szCs w:val="32"/>
          <w:lang w:eastAsia="zh-CN"/>
        </w:rPr>
        <w:t>等</w:t>
      </w:r>
      <w:r>
        <w:rPr>
          <w:rFonts w:hint="eastAsia" w:ascii="Times New Roman" w:hAnsi="Times New Roman" w:eastAsia="仿宋" w:cs="Times New Roman"/>
          <w:sz w:val="32"/>
          <w:szCs w:val="32"/>
        </w:rPr>
        <w:t>；突出做好来访接待，权益保障工作，退役军人信访接待稳步推进</w:t>
      </w:r>
      <w:r>
        <w:rPr>
          <w:rFonts w:hint="eastAsia" w:ascii="Times New Roman" w:hAnsi="Times New Roman" w:eastAsia="仿宋" w:cs="Times New Roman"/>
          <w:sz w:val="32"/>
          <w:szCs w:val="32"/>
          <w:lang w:eastAsia="zh-CN"/>
        </w:rPr>
        <w:t>，争取达到零上访</w:t>
      </w:r>
      <w:r>
        <w:rPr>
          <w:rFonts w:hint="eastAsia" w:ascii="Times New Roman" w:hAnsi="Times New Roman" w:eastAsia="仿宋" w:cs="Times New Roman"/>
          <w:sz w:val="32"/>
          <w:szCs w:val="32"/>
        </w:rPr>
        <w:t>，加大政策欠账</w:t>
      </w:r>
      <w:r>
        <w:rPr>
          <w:rFonts w:hint="eastAsia" w:ascii="Times New Roman" w:hAnsi="Times New Roman" w:eastAsia="仿宋" w:cs="Times New Roman"/>
          <w:sz w:val="32"/>
          <w:szCs w:val="32"/>
          <w:lang w:eastAsia="zh-CN"/>
        </w:rPr>
        <w:t>保障</w:t>
      </w:r>
      <w:r>
        <w:rPr>
          <w:rFonts w:hint="eastAsia" w:ascii="Times New Roman" w:hAnsi="Times New Roman" w:eastAsia="仿宋" w:cs="Times New Roman"/>
          <w:sz w:val="32"/>
          <w:szCs w:val="32"/>
        </w:rPr>
        <w:t>工作，保障退役军人合法权益；做好退役军人就业创业工作，</w:t>
      </w:r>
      <w:r>
        <w:rPr>
          <w:rFonts w:hint="eastAsia" w:ascii="Times New Roman" w:hAnsi="Times New Roman" w:eastAsia="仿宋" w:cs="Times New Roman"/>
          <w:sz w:val="32"/>
          <w:szCs w:val="32"/>
          <w:lang w:eastAsia="zh-CN"/>
        </w:rPr>
        <w:t>保障不超过</w:t>
      </w:r>
      <w:r>
        <w:rPr>
          <w:rFonts w:hint="eastAsia" w:ascii="Times New Roman" w:hAnsi="Times New Roman" w:eastAsia="仿宋" w:cs="Times New Roman"/>
          <w:sz w:val="32"/>
          <w:szCs w:val="32"/>
          <w:lang w:val="en-US" w:eastAsia="zh-CN"/>
        </w:rPr>
        <w:t>150人进行职业技能教育培训，培训合格率达到95%以上；</w:t>
      </w:r>
      <w:r>
        <w:rPr>
          <w:rFonts w:hint="eastAsia" w:ascii="Times New Roman" w:hAnsi="Times New Roman" w:eastAsia="仿宋" w:cs="Times New Roman"/>
          <w:sz w:val="32"/>
          <w:szCs w:val="32"/>
        </w:rPr>
        <w:t>救助困难退役军人；推行“阳光安置”政策</w:t>
      </w:r>
      <w:r>
        <w:rPr>
          <w:rFonts w:hint="eastAsia" w:ascii="Times New Roman" w:hAnsi="Times New Roman" w:eastAsia="仿宋" w:cs="Times New Roman"/>
          <w:sz w:val="32"/>
          <w:szCs w:val="32"/>
          <w:lang w:eastAsia="zh-CN"/>
        </w:rPr>
        <w:t>安置率达到</w:t>
      </w:r>
      <w:r>
        <w:rPr>
          <w:rFonts w:hint="eastAsia" w:ascii="Times New Roman" w:hAnsi="Times New Roman" w:eastAsia="仿宋" w:cs="Times New Roman"/>
          <w:sz w:val="32"/>
          <w:szCs w:val="32"/>
          <w:lang w:val="en-US" w:eastAsia="zh-CN"/>
        </w:rPr>
        <w:t>95%以上</w:t>
      </w:r>
      <w:r>
        <w:rPr>
          <w:rFonts w:hint="eastAsia" w:ascii="Times New Roman" w:hAnsi="Times New Roman" w:eastAsia="仿宋" w:cs="Times New Roman"/>
          <w:sz w:val="32"/>
          <w:szCs w:val="32"/>
        </w:rPr>
        <w:t>。推进光荣院，烈士陵园环境提升，</w:t>
      </w:r>
      <w:r>
        <w:rPr>
          <w:rFonts w:hint="eastAsia" w:ascii="Times New Roman" w:hAnsi="Times New Roman" w:eastAsia="仿宋" w:cs="Times New Roman"/>
          <w:sz w:val="32"/>
          <w:szCs w:val="32"/>
          <w:lang w:eastAsia="zh-CN"/>
        </w:rPr>
        <w:t>“两节”对各类优抚对象、驻藁部队走访慰问，解决退役军人生活困难，</w:t>
      </w:r>
      <w:r>
        <w:rPr>
          <w:rFonts w:hint="eastAsia" w:ascii="Times New Roman" w:hAnsi="Times New Roman" w:eastAsia="仿宋" w:cs="Times New Roman"/>
          <w:sz w:val="32"/>
          <w:szCs w:val="32"/>
        </w:rPr>
        <w:t>营造拥军优属的社会氛围。</w:t>
      </w:r>
      <w:r>
        <w:rPr>
          <w:rFonts w:hint="eastAsia" w:ascii="Times New Roman" w:hAnsi="Times New Roman" w:eastAsia="仿宋" w:cs="Times New Roman"/>
          <w:sz w:val="32"/>
          <w:szCs w:val="32"/>
          <w:lang w:eastAsia="zh-CN"/>
        </w:rPr>
        <w:t>数量指标为全区优抚对象人数及符合相关政策退役军人人数，已全部保障，质量指标为资金应发放额占总金额比例，此项目标已达成，资金全额发放，所占比例</w:t>
      </w:r>
      <w:r>
        <w:rPr>
          <w:rFonts w:hint="eastAsia" w:ascii="Times New Roman" w:hAnsi="Times New Roman" w:eastAsia="仿宋" w:cs="Times New Roman"/>
          <w:sz w:val="32"/>
          <w:szCs w:val="32"/>
          <w:lang w:val="en-US" w:eastAsia="zh-CN"/>
        </w:rPr>
        <w:t>100%，时效指标为资金发放时间，已全在时间节点内全部发放，成本指标为预算金额数，小于等于全年预算数，严格控制成本，社会效益指标为保障退役军人合法权益，营造爱国拥军社会氛围，此项目标完成率100%，服务对象满意度达到90%以上。部门综合得分9</w:t>
      </w:r>
      <w:r>
        <w:rPr>
          <w:rFonts w:hint="eastAsia" w:eastAsia="仿宋" w:cs="Times New Roman"/>
          <w:sz w:val="32"/>
          <w:szCs w:val="32"/>
          <w:lang w:val="en-US" w:eastAsia="zh-CN"/>
        </w:rPr>
        <w:t>5</w:t>
      </w:r>
      <w:r>
        <w:rPr>
          <w:rFonts w:hint="eastAsia" w:ascii="Times New Roman" w:hAnsi="Times New Roman" w:eastAsia="仿宋" w:cs="Times New Roman"/>
          <w:sz w:val="32"/>
          <w:szCs w:val="32"/>
          <w:lang w:val="en-US" w:eastAsia="zh-CN"/>
        </w:rPr>
        <w:t>分，评价等级优秀。</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widowControl w:val="0"/>
        <w:wordWrap/>
        <w:adjustRightInd/>
        <w:snapToGrid w:val="0"/>
        <w:spacing w:line="560" w:lineRule="exact"/>
        <w:ind w:left="0" w:leftChars="0" w:right="0" w:firstLine="640" w:firstLineChars="200"/>
        <w:textAlignment w:val="auto"/>
        <w:outlineLvl w:val="9"/>
        <w:rPr>
          <w:rFonts w:hint="eastAsia" w:ascii="楷体_GB2312" w:hAnsi="楷体_GB2312" w:eastAsia="楷体_GB2312" w:cs="楷体_GB2312"/>
          <w:bCs/>
          <w:sz w:val="32"/>
          <w:szCs w:val="32"/>
        </w:rPr>
      </w:pPr>
      <w:r>
        <w:rPr>
          <w:rFonts w:hint="eastAsia" w:ascii="仿宋" w:hAnsi="仿宋" w:eastAsia="仿宋" w:cs="仿宋"/>
          <w:sz w:val="32"/>
          <w:szCs w:val="32"/>
          <w:lang w:val="en-US" w:eastAsia="zh-CN"/>
        </w:rPr>
        <w:t>目前，我部门无存在问题。下一步工作将继续健全绩效自评制度，落实相关政策，与各科室及时沟通，掌握绩效自评最新工作进程，严格按照时间节点上报。并根据相关业务要求，及时调整项目设立，优化资金用途，提高资金利用率</w:t>
      </w:r>
      <w:r>
        <w:rPr>
          <w:rFonts w:hint="eastAsia" w:ascii="仿宋" w:hAnsi="仿宋" w:eastAsia="仿宋" w:cs="仿宋"/>
          <w:sz w:val="32"/>
          <w:szCs w:val="32"/>
        </w:rPr>
        <w:t>。</w:t>
      </w:r>
    </w:p>
    <w:p>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hint="eastAsia"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 xml:space="preserve">  无</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tbl>
      <w:tblPr>
        <w:tblStyle w:val="6"/>
        <w:tblpPr w:leftFromText="180" w:rightFromText="180" w:vertAnchor="text" w:horzAnchor="page" w:tblpX="1994" w:tblpY="372"/>
        <w:tblOverlap w:val="never"/>
        <w:tblW w:w="876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6"/>
        <w:gridCol w:w="1550"/>
        <w:gridCol w:w="2867"/>
        <w:gridCol w:w="1820"/>
        <w:gridCol w:w="13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1" w:hRule="atLeast"/>
        </w:trPr>
        <w:tc>
          <w:tcPr>
            <w:tcW w:w="1136" w:type="dxa"/>
          </w:tcPr>
          <w:p>
            <w:pPr>
              <w:numPr>
                <w:numId w:val="0"/>
              </w:numPr>
              <w:adjustRightInd w:val="0"/>
              <w:snapToGrid w:val="0"/>
              <w:spacing w:line="360" w:lineRule="auto"/>
              <w:ind w:leftChars="0"/>
              <w:jc w:val="center"/>
              <w:rPr>
                <w:rFonts w:hint="eastAsia" w:ascii="仿宋_GB2312" w:eastAsia="仿宋_GB2312"/>
                <w:sz w:val="30"/>
                <w:szCs w:val="30"/>
                <w:lang w:val="en-US" w:eastAsia="zh-CN"/>
              </w:rPr>
            </w:pPr>
            <w:r>
              <w:rPr>
                <w:rFonts w:hint="eastAsia" w:ascii="仿宋_GB2312" w:eastAsia="仿宋_GB2312"/>
                <w:sz w:val="30"/>
                <w:szCs w:val="30"/>
                <w:lang w:val="en-US" w:eastAsia="zh-CN"/>
              </w:rPr>
              <w:t>序号</w:t>
            </w:r>
          </w:p>
        </w:tc>
        <w:tc>
          <w:tcPr>
            <w:tcW w:w="1550" w:type="dxa"/>
          </w:tcPr>
          <w:p>
            <w:pPr>
              <w:numPr>
                <w:numId w:val="0"/>
              </w:numPr>
              <w:adjustRightInd w:val="0"/>
              <w:snapToGrid w:val="0"/>
              <w:spacing w:line="360" w:lineRule="auto"/>
              <w:ind w:leftChars="0"/>
              <w:jc w:val="center"/>
              <w:rPr>
                <w:rFonts w:hint="eastAsia" w:ascii="仿宋_GB2312" w:eastAsia="仿宋_GB2312"/>
                <w:sz w:val="30"/>
                <w:szCs w:val="30"/>
                <w:lang w:val="en-US" w:eastAsia="zh-CN"/>
              </w:rPr>
            </w:pPr>
            <w:r>
              <w:rPr>
                <w:rFonts w:hint="eastAsia" w:ascii="仿宋_GB2312" w:eastAsia="仿宋_GB2312"/>
                <w:sz w:val="30"/>
                <w:szCs w:val="30"/>
                <w:lang w:val="en-US" w:eastAsia="zh-CN"/>
              </w:rPr>
              <w:t>姓名</w:t>
            </w:r>
          </w:p>
        </w:tc>
        <w:tc>
          <w:tcPr>
            <w:tcW w:w="2867" w:type="dxa"/>
          </w:tcPr>
          <w:p>
            <w:pPr>
              <w:numPr>
                <w:numId w:val="0"/>
              </w:numPr>
              <w:adjustRightInd w:val="0"/>
              <w:snapToGrid w:val="0"/>
              <w:spacing w:line="360" w:lineRule="auto"/>
              <w:ind w:leftChars="0"/>
              <w:jc w:val="center"/>
              <w:rPr>
                <w:rFonts w:hint="default" w:ascii="仿宋_GB2312" w:eastAsia="仿宋_GB2312"/>
                <w:sz w:val="30"/>
                <w:szCs w:val="30"/>
                <w:lang w:val="en-US" w:eastAsia="zh-CN"/>
              </w:rPr>
            </w:pPr>
            <w:r>
              <w:rPr>
                <w:rFonts w:hint="eastAsia" w:ascii="仿宋_GB2312" w:eastAsia="仿宋_GB2312"/>
                <w:sz w:val="30"/>
                <w:szCs w:val="30"/>
                <w:lang w:val="en-US" w:eastAsia="zh-CN"/>
              </w:rPr>
              <w:t>工作单位</w:t>
            </w:r>
          </w:p>
        </w:tc>
        <w:tc>
          <w:tcPr>
            <w:tcW w:w="1820" w:type="dxa"/>
          </w:tcPr>
          <w:p>
            <w:pPr>
              <w:numPr>
                <w:numId w:val="0"/>
              </w:numPr>
              <w:adjustRightInd w:val="0"/>
              <w:snapToGrid w:val="0"/>
              <w:spacing w:line="360" w:lineRule="auto"/>
              <w:ind w:left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职务</w:t>
            </w:r>
          </w:p>
        </w:tc>
        <w:tc>
          <w:tcPr>
            <w:tcW w:w="1396" w:type="dxa"/>
          </w:tcPr>
          <w:p>
            <w:pPr>
              <w:numPr>
                <w:numId w:val="0"/>
              </w:numPr>
              <w:adjustRightInd w:val="0"/>
              <w:snapToGrid w:val="0"/>
              <w:spacing w:line="360" w:lineRule="auto"/>
              <w:ind w:left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4" w:hRule="atLeast"/>
        </w:trPr>
        <w:tc>
          <w:tcPr>
            <w:tcW w:w="1136" w:type="dxa"/>
          </w:tcPr>
          <w:p>
            <w:pPr>
              <w:adjustRightInd w:val="0"/>
              <w:snapToGrid w:val="0"/>
              <w:spacing w:line="360" w:lineRule="auto"/>
              <w:ind w:firstLine="320" w:firstLineChars="10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1</w:t>
            </w:r>
          </w:p>
        </w:tc>
        <w:tc>
          <w:tcPr>
            <w:tcW w:w="1550" w:type="dxa"/>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张英强</w:t>
            </w:r>
          </w:p>
        </w:tc>
        <w:tc>
          <w:tcPr>
            <w:tcW w:w="2867" w:type="dxa"/>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退役军人事务局</w:t>
            </w:r>
          </w:p>
        </w:tc>
        <w:tc>
          <w:tcPr>
            <w:tcW w:w="1820" w:type="dxa"/>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局长</w:t>
            </w:r>
          </w:p>
        </w:tc>
        <w:tc>
          <w:tcPr>
            <w:tcW w:w="1396" w:type="dxa"/>
          </w:tcPr>
          <w:p>
            <w:pPr>
              <w:adjustRightInd w:val="0"/>
              <w:snapToGrid w:val="0"/>
              <w:spacing w:line="360" w:lineRule="auto"/>
              <w:ind w:firstLine="640" w:firstLineChars="200"/>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6" w:hRule="atLeast"/>
        </w:trPr>
        <w:tc>
          <w:tcPr>
            <w:tcW w:w="1136" w:type="dxa"/>
          </w:tcPr>
          <w:p>
            <w:pPr>
              <w:adjustRightInd w:val="0"/>
              <w:snapToGrid w:val="0"/>
              <w:spacing w:line="360" w:lineRule="auto"/>
              <w:ind w:firstLine="320" w:firstLineChars="100"/>
              <w:jc w:val="center"/>
              <w:rPr>
                <w:rFonts w:hint="eastAsia" w:ascii="仿宋_GB2312" w:eastAsia="仿宋_GB2312"/>
                <w:sz w:val="32"/>
                <w:szCs w:val="32"/>
                <w:lang w:val="en-US" w:eastAsia="zh-CN"/>
              </w:rPr>
            </w:pPr>
            <w:bookmarkStart w:id="0" w:name="_GoBack"/>
            <w:bookmarkEnd w:id="0"/>
            <w:r>
              <w:rPr>
                <w:rFonts w:hint="eastAsia" w:ascii="仿宋_GB2312" w:eastAsia="仿宋_GB2312"/>
                <w:sz w:val="32"/>
                <w:szCs w:val="32"/>
                <w:lang w:val="en-US" w:eastAsia="zh-CN"/>
              </w:rPr>
              <w:t>2</w:t>
            </w:r>
          </w:p>
        </w:tc>
        <w:tc>
          <w:tcPr>
            <w:tcW w:w="1550" w:type="dxa"/>
            <w:vAlign w:val="top"/>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苏灿辉</w:t>
            </w:r>
          </w:p>
        </w:tc>
        <w:tc>
          <w:tcPr>
            <w:tcW w:w="2867" w:type="dxa"/>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退役军人事务局</w:t>
            </w:r>
          </w:p>
        </w:tc>
        <w:tc>
          <w:tcPr>
            <w:tcW w:w="1820" w:type="dxa"/>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办公室主任</w:t>
            </w:r>
          </w:p>
        </w:tc>
        <w:tc>
          <w:tcPr>
            <w:tcW w:w="1396" w:type="dxa"/>
          </w:tcPr>
          <w:p>
            <w:pPr>
              <w:adjustRightInd w:val="0"/>
              <w:snapToGrid w:val="0"/>
              <w:spacing w:line="360" w:lineRule="auto"/>
              <w:ind w:firstLine="640" w:firstLineChars="200"/>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6" w:type="dxa"/>
            <w:vAlign w:val="top"/>
          </w:tcPr>
          <w:p>
            <w:pPr>
              <w:adjustRightInd w:val="0"/>
              <w:snapToGrid w:val="0"/>
              <w:spacing w:line="360" w:lineRule="auto"/>
              <w:ind w:firstLine="320" w:firstLineChars="10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3</w:t>
            </w:r>
          </w:p>
        </w:tc>
        <w:tc>
          <w:tcPr>
            <w:tcW w:w="1550" w:type="dxa"/>
            <w:vAlign w:val="top"/>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李静</w:t>
            </w:r>
          </w:p>
        </w:tc>
        <w:tc>
          <w:tcPr>
            <w:tcW w:w="2867" w:type="dxa"/>
            <w:vAlign w:val="top"/>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退役军人事务局</w:t>
            </w:r>
          </w:p>
        </w:tc>
        <w:tc>
          <w:tcPr>
            <w:tcW w:w="1820" w:type="dxa"/>
            <w:vAlign w:val="top"/>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股长</w:t>
            </w:r>
          </w:p>
        </w:tc>
        <w:tc>
          <w:tcPr>
            <w:tcW w:w="1396" w:type="dxa"/>
          </w:tcPr>
          <w:p>
            <w:pPr>
              <w:adjustRightInd w:val="0"/>
              <w:snapToGrid w:val="0"/>
              <w:spacing w:line="360" w:lineRule="auto"/>
              <w:ind w:firstLine="640" w:firstLineChars="200"/>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6" w:type="dxa"/>
          </w:tcPr>
          <w:p>
            <w:pPr>
              <w:adjustRightInd w:val="0"/>
              <w:snapToGrid w:val="0"/>
              <w:spacing w:line="360" w:lineRule="auto"/>
              <w:ind w:firstLine="320" w:firstLineChars="100"/>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4</w:t>
            </w:r>
          </w:p>
        </w:tc>
        <w:tc>
          <w:tcPr>
            <w:tcW w:w="1550" w:type="dxa"/>
            <w:vAlign w:val="top"/>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徐文静</w:t>
            </w:r>
          </w:p>
        </w:tc>
        <w:tc>
          <w:tcPr>
            <w:tcW w:w="2867" w:type="dxa"/>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退役军人服务中心</w:t>
            </w:r>
          </w:p>
        </w:tc>
        <w:tc>
          <w:tcPr>
            <w:tcW w:w="1820" w:type="dxa"/>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职员</w:t>
            </w:r>
          </w:p>
        </w:tc>
        <w:tc>
          <w:tcPr>
            <w:tcW w:w="1396" w:type="dxa"/>
          </w:tcPr>
          <w:p>
            <w:pPr>
              <w:adjustRightInd w:val="0"/>
              <w:snapToGrid w:val="0"/>
              <w:spacing w:line="360" w:lineRule="auto"/>
              <w:ind w:firstLine="640" w:firstLineChars="200"/>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36" w:type="dxa"/>
          </w:tcPr>
          <w:p>
            <w:pPr>
              <w:adjustRightInd w:val="0"/>
              <w:snapToGrid w:val="0"/>
              <w:spacing w:line="360" w:lineRule="auto"/>
              <w:ind w:firstLine="320" w:firstLineChars="10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5</w:t>
            </w:r>
          </w:p>
        </w:tc>
        <w:tc>
          <w:tcPr>
            <w:tcW w:w="1550" w:type="dxa"/>
            <w:vAlign w:val="top"/>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李静</w:t>
            </w:r>
          </w:p>
        </w:tc>
        <w:tc>
          <w:tcPr>
            <w:tcW w:w="2867" w:type="dxa"/>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藁城区烈士陵园</w:t>
            </w:r>
          </w:p>
        </w:tc>
        <w:tc>
          <w:tcPr>
            <w:tcW w:w="1820" w:type="dxa"/>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职员</w:t>
            </w:r>
          </w:p>
        </w:tc>
        <w:tc>
          <w:tcPr>
            <w:tcW w:w="1396" w:type="dxa"/>
          </w:tcPr>
          <w:p>
            <w:pPr>
              <w:adjustRightInd w:val="0"/>
              <w:snapToGrid w:val="0"/>
              <w:spacing w:line="360" w:lineRule="auto"/>
              <w:ind w:firstLine="640" w:firstLineChars="200"/>
              <w:jc w:val="center"/>
              <w:rPr>
                <w:rFonts w:hint="eastAsia" w:ascii="仿宋_GB2312" w:eastAsia="仿宋_GB2312"/>
                <w:sz w:val="32"/>
                <w:szCs w:val="32"/>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jc w:val="center"/>
        <w:textAlignment w:val="auto"/>
        <w:outlineLvl w:val="9"/>
        <w:rPr>
          <w:rFonts w:hint="eastAsia" w:ascii="黑体" w:hAnsi="黑体" w:eastAsia="黑体"/>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简体">
    <w:altName w:val="微软雅黑"/>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FA12F4A6"/>
    <w:multiLevelType w:val="singleLevel"/>
    <w:tmpl w:val="FA12F4A6"/>
    <w:lvl w:ilvl="0" w:tentative="0">
      <w:start w:val="2"/>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abstractNum w:abstractNumId="3">
    <w:nsid w:val="5261D470"/>
    <w:multiLevelType w:val="singleLevel"/>
    <w:tmpl w:val="5261D470"/>
    <w:lvl w:ilvl="0" w:tentative="0">
      <w:start w:val="1"/>
      <w:numFmt w:val="chineseCounting"/>
      <w:suff w:val="nothing"/>
      <w:lvlText w:val="（%1）"/>
      <w:lvlJc w:val="left"/>
      <w:rPr>
        <w:rFonts w:hint="eastAsia"/>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2ZDVhYjFkNzNmZjA0ZTExM2M2ODcxZGVjNWRjNG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05AA5CBE"/>
    <w:rsid w:val="09EA6AE5"/>
    <w:rsid w:val="13B61930"/>
    <w:rsid w:val="1A3B21A2"/>
    <w:rsid w:val="1BAF1154"/>
    <w:rsid w:val="1C655171"/>
    <w:rsid w:val="20276775"/>
    <w:rsid w:val="2627080C"/>
    <w:rsid w:val="26B75F6B"/>
    <w:rsid w:val="2CA54AF2"/>
    <w:rsid w:val="2F2C2A40"/>
    <w:rsid w:val="344704E1"/>
    <w:rsid w:val="39744C0B"/>
    <w:rsid w:val="3AEF6FE7"/>
    <w:rsid w:val="441F3676"/>
    <w:rsid w:val="493B718D"/>
    <w:rsid w:val="53A42ADD"/>
    <w:rsid w:val="563B01B4"/>
    <w:rsid w:val="56604927"/>
    <w:rsid w:val="590F0BE0"/>
    <w:rsid w:val="5C4A315B"/>
    <w:rsid w:val="6355418B"/>
    <w:rsid w:val="661D3074"/>
    <w:rsid w:val="667D5476"/>
    <w:rsid w:val="6B1C1E0E"/>
    <w:rsid w:val="6BDE716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页眉 Char"/>
    <w:basedOn w:val="4"/>
    <w:link w:val="3"/>
    <w:qFormat/>
    <w:uiPriority w:val="99"/>
    <w:rPr>
      <w:sz w:val="18"/>
      <w:szCs w:val="18"/>
    </w:rPr>
  </w:style>
  <w:style w:type="character" w:customStyle="1" w:styleId="8">
    <w:name w:val="页脚 Char"/>
    <w:basedOn w:val="4"/>
    <w:link w:val="2"/>
    <w:qFormat/>
    <w:uiPriority w:val="99"/>
    <w:rPr>
      <w:sz w:val="18"/>
      <w:szCs w:val="18"/>
    </w:rPr>
  </w:style>
  <w:style w:type="paragraph" w:customStyle="1" w:styleId="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373</Words>
  <Characters>373</Characters>
  <Lines>3</Lines>
  <Paragraphs>1</Paragraphs>
  <TotalTime>3</TotalTime>
  <ScaleCrop>false</ScaleCrop>
  <LinksUpToDate>false</LinksUpToDate>
  <CharactersWithSpaces>373</CharactersWithSpaces>
  <Application>WPS Office_11.1.0.7989_F1E327BC-269C-435d-A152-05C5408002CA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2021-02-24T05:43:00Z</cp:lastPrinted>
  <dcterms:modified xsi:type="dcterms:W3CDTF">2024-05-21T07:40:15Z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2052-11.1.0.7989</vt:lpwstr>
  </property>
  <property fmtid="{D5CDD505-2E9C-101B-9397-08002B2CF9AE}" pid="3" name="ICV">
    <vt:lpwstr>28C64EFCB758481798A31117B3E7B5E3</vt:lpwstr>
  </property>
</Properties>
</file>