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4</w:t>
      </w:r>
    </w:p>
    <w:p>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lang w:val="en-US" w:eastAsia="zh-CN"/>
        </w:rPr>
        <w:t>石家庄市生态环境局藁城区分局</w:t>
      </w:r>
      <w:r>
        <w:rPr>
          <w:rFonts w:hint="eastAsia" w:ascii="方正小标宋简体" w:hAnsi="方正小标宋简体" w:eastAsia="方正小标宋简体" w:cs="方正小标宋简体"/>
          <w:b w:val="0"/>
          <w:bCs w:val="0"/>
          <w:sz w:val="44"/>
          <w:szCs w:val="44"/>
        </w:rPr>
        <w:t>部门</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202</w:t>
      </w:r>
      <w:r>
        <w:rPr>
          <w:rFonts w:hint="eastAsia" w:ascii="方正小标宋简体" w:hAnsi="方正小标宋简体" w:eastAsia="方正小标宋简体" w:cs="方正小标宋简体"/>
          <w:b w:val="0"/>
          <w:bCs w:val="0"/>
          <w:sz w:val="44"/>
          <w:szCs w:val="44"/>
          <w:lang w:val="en-US" w:eastAsia="zh-CN"/>
        </w:rPr>
        <w:t>3</w:t>
      </w:r>
      <w:r>
        <w:rPr>
          <w:rFonts w:hint="eastAsia" w:ascii="方正小标宋简体" w:hAnsi="方正小标宋简体" w:eastAsia="方正小标宋简体" w:cs="方正小标宋简体"/>
          <w:b w:val="0"/>
          <w:bCs w:val="0"/>
          <w:sz w:val="44"/>
          <w:szCs w:val="44"/>
        </w:rPr>
        <w:t>年度整体支出绩效自评工作报告</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lang w:eastAsia="zh-CN"/>
        </w:rPr>
        <w:t>贯彻落实</w:t>
      </w:r>
      <w:r>
        <w:rPr>
          <w:rFonts w:hint="eastAsia" w:ascii="仿宋_GB2312" w:hAnsi="仿宋_GB2312" w:eastAsia="仿宋_GB2312" w:cs="仿宋_GB2312"/>
          <w:sz w:val="32"/>
          <w:szCs w:val="32"/>
          <w:highlight w:val="none"/>
          <w:lang w:eastAsia="zh-CN"/>
        </w:rPr>
        <w:t>区委区政府</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关于全面落实预算绩效管理的实施意见</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藁发</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2019</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9</w:t>
      </w:r>
      <w:r>
        <w:rPr>
          <w:rFonts w:hint="eastAsia" w:ascii="仿宋_GB2312" w:hAnsi="仿宋_GB2312" w:eastAsia="仿宋_GB2312" w:cs="仿宋_GB2312"/>
          <w:sz w:val="32"/>
          <w:szCs w:val="32"/>
          <w:highlight w:val="none"/>
        </w:rPr>
        <w:t>号）</w:t>
      </w:r>
      <w:r>
        <w:rPr>
          <w:rFonts w:hint="eastAsia" w:ascii="仿宋_GB2312" w:hAnsi="仿宋_GB2312" w:eastAsia="仿宋_GB2312" w:cs="仿宋_GB2312"/>
          <w:sz w:val="32"/>
          <w:szCs w:val="32"/>
          <w:highlight w:val="none"/>
          <w:lang w:eastAsia="zh-CN"/>
        </w:rPr>
        <w:t>文件精神</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rPr>
        <w:t>遵循“科学性、规范性、客观性和公正性”的原</w:t>
      </w:r>
      <w:r>
        <w:rPr>
          <w:rFonts w:hint="eastAsia" w:ascii="仿宋_GB2312" w:hAnsi="仿宋_GB2312" w:eastAsia="仿宋_GB2312" w:cs="仿宋_GB2312"/>
          <w:sz w:val="32"/>
          <w:szCs w:val="32"/>
          <w:highlight w:val="none"/>
          <w:lang w:eastAsia="zh-CN"/>
        </w:rPr>
        <w:t>则，对石家庄市生态环境局藁城区分局部门202</w:t>
      </w:r>
      <w:r>
        <w:rPr>
          <w:rFonts w:hint="eastAsia" w:ascii="仿宋_GB2312" w:hAnsi="仿宋_GB2312" w:eastAsia="仿宋_GB2312" w:cs="仿宋_GB2312"/>
          <w:sz w:val="32"/>
          <w:szCs w:val="32"/>
          <w:highlight w:val="none"/>
          <w:lang w:val="en-US" w:eastAsia="zh-CN"/>
        </w:rPr>
        <w:t>3</w:t>
      </w:r>
      <w:r>
        <w:rPr>
          <w:rFonts w:hint="eastAsia" w:ascii="仿宋_GB2312" w:hAnsi="仿宋_GB2312" w:eastAsia="仿宋_GB2312" w:cs="仿宋_GB2312"/>
          <w:sz w:val="32"/>
          <w:szCs w:val="32"/>
          <w:highlight w:val="none"/>
          <w:lang w:eastAsia="zh-CN"/>
        </w:rPr>
        <w:t>年整体支出情况实施了财政支出绩效自评价，形成本评价报告。</w:t>
      </w:r>
    </w:p>
    <w:p>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rPr>
        <w:t>一、</w:t>
      </w:r>
      <w:r>
        <w:rPr>
          <w:rFonts w:hint="eastAsia" w:ascii="黑体" w:hAnsi="黑体" w:eastAsia="黑体" w:cs="黑体"/>
          <w:sz w:val="32"/>
          <w:szCs w:val="32"/>
          <w:lang w:eastAsia="zh-CN"/>
        </w:rPr>
        <w:t>部门基本情况</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（一）部门概况</w:t>
      </w:r>
    </w:p>
    <w:p>
      <w:pPr>
        <w:pStyle w:val="9"/>
        <w:keepNext w:val="0"/>
        <w:keepLines w:val="0"/>
        <w:pageBreakBefore w:val="0"/>
        <w:kinsoku/>
        <w:wordWrap/>
        <w:overflowPunct/>
        <w:topLinePunct w:val="0"/>
        <w:autoSpaceDE/>
        <w:autoSpaceDN/>
        <w:bidi w:val="0"/>
        <w:spacing w:line="560" w:lineRule="exact"/>
        <w:ind w:firstLine="642" w:firstLineChars="200"/>
        <w:jc w:val="both"/>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机构设置：</w:t>
      </w:r>
    </w:p>
    <w:p>
      <w:pPr>
        <w:pStyle w:val="9"/>
        <w:keepNext w:val="0"/>
        <w:keepLines w:val="0"/>
        <w:pageBreakBefore w:val="0"/>
        <w:kinsoku/>
        <w:wordWrap/>
        <w:overflowPunct/>
        <w:topLinePunct w:val="0"/>
        <w:autoSpaceDE/>
        <w:autoSpaceDN/>
        <w:bidi w:val="0"/>
        <w:spacing w:line="560" w:lineRule="exact"/>
        <w:ind w:firstLine="640" w:firstLineChars="200"/>
        <w:jc w:val="both"/>
        <w:textAlignment w:val="auto"/>
        <w:rPr>
          <w:rFonts w:hint="default" w:ascii="仿宋_GB2312" w:hAnsi="Times New Roman" w:eastAsia="仿宋_GB2312" w:cs="Wingdings"/>
          <w:color w:val="000000" w:themeColor="text1"/>
          <w:kern w:val="2"/>
          <w:sz w:val="32"/>
          <w:szCs w:val="32"/>
          <w:lang w:val="en-US" w:eastAsia="zh-CN" w:bidi="ar-SA"/>
          <w14:textFill>
            <w14:solidFill>
              <w14:schemeClr w14:val="tx1"/>
            </w14:solidFill>
          </w14:textFill>
        </w:rPr>
      </w:pPr>
      <w:r>
        <w:rPr>
          <w:rFonts w:hint="eastAsia" w:ascii="仿宋_GB2312" w:hAnsi="Times New Roman" w:eastAsia="仿宋_GB2312" w:cs="Wingdings"/>
          <w:color w:val="000000" w:themeColor="text1"/>
          <w:kern w:val="2"/>
          <w:sz w:val="32"/>
          <w:szCs w:val="32"/>
          <w:lang w:val="en-US" w:eastAsia="zh-CN" w:bidi="ar-SA"/>
          <w14:textFill>
            <w14:solidFill>
              <w14:schemeClr w14:val="tx1"/>
            </w14:solidFill>
          </w14:textFill>
        </w:rPr>
        <w:t>“局队合一”体制改革后，我局共有12个内设机构，分别为综合股、管理股、大气股、水股、机动中队、督导中队、1-5中队，以及直属事业单位石家庄市藁城环境监控中心。</w:t>
      </w:r>
    </w:p>
    <w:p>
      <w:pPr>
        <w:pStyle w:val="9"/>
        <w:keepNext w:val="0"/>
        <w:keepLines w:val="0"/>
        <w:pageBreakBefore w:val="0"/>
        <w:kinsoku/>
        <w:wordWrap/>
        <w:overflowPunct/>
        <w:topLinePunct w:val="0"/>
        <w:autoSpaceDE/>
        <w:autoSpaceDN/>
        <w:bidi w:val="0"/>
        <w:spacing w:line="560" w:lineRule="exact"/>
        <w:ind w:firstLine="642" w:firstLineChars="200"/>
        <w:jc w:val="both"/>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人员统计：</w:t>
      </w:r>
    </w:p>
    <w:p>
      <w:pPr>
        <w:pStyle w:val="9"/>
        <w:keepNext w:val="0"/>
        <w:keepLines w:val="0"/>
        <w:pageBreakBefore w:val="0"/>
        <w:kinsoku/>
        <w:wordWrap/>
        <w:overflowPunct/>
        <w:topLinePunct w:val="0"/>
        <w:autoSpaceDE/>
        <w:autoSpaceDN/>
        <w:bidi w:val="0"/>
        <w:spacing w:line="560" w:lineRule="exact"/>
        <w:ind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截止到2023年12月31日，我单位共有在编人员49人，其中行政编制10人，事业编制39人。共有退休人员32人。</w:t>
      </w:r>
    </w:p>
    <w:p>
      <w:pPr>
        <w:pStyle w:val="9"/>
        <w:keepNext w:val="0"/>
        <w:keepLines w:val="0"/>
        <w:pageBreakBefore w:val="0"/>
        <w:kinsoku/>
        <w:wordWrap/>
        <w:overflowPunct/>
        <w:topLinePunct w:val="0"/>
        <w:autoSpaceDE/>
        <w:autoSpaceDN/>
        <w:bidi w:val="0"/>
        <w:spacing w:line="560" w:lineRule="exact"/>
        <w:ind w:firstLine="642" w:firstLineChars="200"/>
        <w:jc w:val="both"/>
        <w:textAlignment w:val="auto"/>
        <w:rPr>
          <w:rFonts w:hint="eastAsia" w:ascii="仿宋_GB2312" w:hAnsi="Times New Roman" w:eastAsia="仿宋_GB2312" w:cs="Wingdings"/>
          <w:color w:val="000000" w:themeColor="text1"/>
          <w:kern w:val="2"/>
          <w:sz w:val="32"/>
          <w:szCs w:val="32"/>
          <w:lang w:val="en-US" w:eastAsia="zh-CN" w:bidi="ar-SA"/>
          <w14:textFill>
            <w14:solidFill>
              <w14:schemeClr w14:val="tx1"/>
            </w14:solidFill>
          </w14:textFill>
        </w:rPr>
      </w:pPr>
      <w:r>
        <w:rPr>
          <w:rFonts w:hint="eastAsia" w:ascii="仿宋_GB2312" w:hAnsi="Times New Roman" w:eastAsia="仿宋_GB2312" w:cs="Wingdings"/>
          <w:b/>
          <w:bCs/>
          <w:color w:val="000000" w:themeColor="text1"/>
          <w:kern w:val="2"/>
          <w:sz w:val="32"/>
          <w:szCs w:val="32"/>
          <w:lang w:val="en-US" w:eastAsia="zh-CN" w:bidi="ar-SA"/>
          <w14:textFill>
            <w14:solidFill>
              <w14:schemeClr w14:val="tx1"/>
            </w14:solidFill>
          </w14:textFill>
        </w:rPr>
        <w:t>职责职能</w:t>
      </w:r>
      <w:r>
        <w:rPr>
          <w:rFonts w:hint="eastAsia" w:ascii="仿宋_GB2312" w:hAnsi="Times New Roman" w:eastAsia="仿宋_GB2312" w:cs="Wingdings"/>
          <w:color w:val="000000" w:themeColor="text1"/>
          <w:kern w:val="2"/>
          <w:sz w:val="32"/>
          <w:szCs w:val="32"/>
          <w:lang w:val="en-US" w:eastAsia="zh-CN" w:bidi="ar-SA"/>
          <w14:textFill>
            <w14:solidFill>
              <w14:schemeClr w14:val="tx1"/>
            </w14:solidFill>
          </w14:textFill>
        </w:rPr>
        <w:t>：</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仿宋_GB2312" w:hAnsi="仿宋_GB2312" w:eastAsia="仿宋_GB2312" w:cs="仿宋_GB2312"/>
          <w:sz w:val="32"/>
          <w:szCs w:val="32"/>
          <w:lang w:val="en-US" w:eastAsia="zh-CN"/>
        </w:rPr>
        <w:t xml:space="preserve">负责建立健全全区生态环境基本制度；负责全区重大环境问题的统筹协调和监督管理；负责监督管理全区减排目标的落实；负责提出全区生态环境领域固定资产投资规模和方向，区级财政性资金安排的意见；负责全区环境污染防治的监督管理；指导协调和监督全区生态保护修复工作；负责核安全和辐射安全的监督管理工作；负责全区生态环境准入的监督管理；负责全区生态环境监测工作；负责全区应对气候变化工作；统一负责全区生态环境监督执法；组织、指导和协调全区生态环境宣传教育工作，推动社会组织和公众参与生态环境保护；参与处理涉外生态环境事务；完成区委、区政府和石家庄市生态环境局交办的其他任务。          </w:t>
      </w:r>
      <w:r>
        <w:rPr>
          <w:rFonts w:hint="eastAsia" w:ascii="楷体_GB2312" w:hAnsi="楷体_GB2312" w:eastAsia="楷体_GB2312" w:cs="楷体_GB2312"/>
          <w:bCs/>
          <w:sz w:val="32"/>
          <w:szCs w:val="32"/>
        </w:rPr>
        <w:t>（二）部门收支预决算情况</w:t>
      </w:r>
    </w:p>
    <w:p>
      <w:pPr>
        <w:pStyle w:val="10"/>
      </w:pPr>
      <w:r>
        <w:t>1、</w:t>
      </w:r>
      <w:r>
        <w:rPr>
          <w:rFonts w:hint="eastAsia"/>
          <w:lang w:eastAsia="zh-CN"/>
        </w:rPr>
        <w:t>预算</w:t>
      </w:r>
      <w:r>
        <w:t>收入说明</w:t>
      </w:r>
    </w:p>
    <w:p>
      <w:pPr>
        <w:pStyle w:val="10"/>
      </w:pPr>
      <w:r>
        <w:t>反映本部门当年全部收入。2023年预算收入2069.06万元，其中：一般公共预算收入2069.06万元，基金预算收入0万元，财政专户核拨收入0万元，其他来源收入0万元。</w:t>
      </w:r>
    </w:p>
    <w:p>
      <w:pPr>
        <w:pStyle w:val="10"/>
      </w:pPr>
      <w:r>
        <w:t>2、</w:t>
      </w:r>
      <w:r>
        <w:rPr>
          <w:rFonts w:hint="eastAsia"/>
          <w:lang w:eastAsia="zh-CN"/>
        </w:rPr>
        <w:t>预算</w:t>
      </w:r>
      <w:r>
        <w:t>支出说明</w:t>
      </w:r>
    </w:p>
    <w:p>
      <w:pPr>
        <w:pStyle w:val="10"/>
      </w:pPr>
      <w:r>
        <w:t>2023年部门支出预算为2069.06万元，其中基本支出394.24万元，包括人员经费394.24万元和日常公用经费0万元；项目支出1674.82万元，主要为大气污染防治资金支出1104.92万元，环境监测与监察支出569.9万元；其他支出0万元。</w:t>
      </w:r>
    </w:p>
    <w:p>
      <w:pPr>
        <w:pStyle w:val="10"/>
        <w:rPr>
          <w:rFonts w:hint="eastAsia" w:eastAsia="方正仿宋_GBK"/>
          <w:lang w:val="en-US" w:eastAsia="zh-CN"/>
        </w:rPr>
      </w:pPr>
      <w:r>
        <w:rPr>
          <w:rFonts w:hint="eastAsia"/>
          <w:lang w:val="en-US" w:eastAsia="zh-CN"/>
        </w:rPr>
        <w:t>3、决算情况说明</w:t>
      </w:r>
    </w:p>
    <w:p>
      <w:pPr>
        <w:pStyle w:val="10"/>
        <w:rPr>
          <w:rFonts w:hint="eastAsia" w:eastAsia="方正仿宋_GBK"/>
          <w:lang w:eastAsia="zh-CN"/>
        </w:rPr>
      </w:pPr>
      <w:r>
        <w:t>2023年部门支出预算为</w:t>
      </w:r>
      <w:r>
        <w:rPr>
          <w:rFonts w:hint="eastAsia"/>
          <w:lang w:val="en-US" w:eastAsia="zh-CN"/>
        </w:rPr>
        <w:t>2459.95</w:t>
      </w:r>
      <w:r>
        <w:t>万元，</w:t>
      </w:r>
      <w:r>
        <w:rPr>
          <w:rFonts w:hint="eastAsia"/>
          <w:lang w:eastAsia="zh-CN"/>
        </w:rPr>
        <w:t>比预算支出增加的原因是项目支出增加，</w:t>
      </w:r>
      <w:bookmarkStart w:id="0" w:name="_GoBack"/>
      <w:bookmarkEnd w:id="0"/>
      <w:r>
        <w:t>其中基本支出3</w:t>
      </w:r>
      <w:r>
        <w:rPr>
          <w:rFonts w:hint="eastAsia"/>
          <w:lang w:val="en-US" w:eastAsia="zh-CN"/>
        </w:rPr>
        <w:t>64.97</w:t>
      </w:r>
      <w:r>
        <w:t>万元，包括人员经费</w:t>
      </w:r>
      <w:r>
        <w:rPr>
          <w:rFonts w:hint="eastAsia"/>
          <w:lang w:val="en-US" w:eastAsia="zh-CN"/>
        </w:rPr>
        <w:t>364.97</w:t>
      </w:r>
      <w:r>
        <w:t>万元和日常公用经费0万元；项目支出</w:t>
      </w:r>
      <w:r>
        <w:rPr>
          <w:rFonts w:hint="eastAsia"/>
          <w:lang w:val="en-US" w:eastAsia="zh-CN"/>
        </w:rPr>
        <w:t>2094.97</w:t>
      </w:r>
      <w:r>
        <w:t>万元</w:t>
      </w:r>
      <w:r>
        <w:rPr>
          <w:rFonts w:hint="eastAsia"/>
          <w:lang w:eastAsia="zh-CN"/>
        </w:rPr>
        <w:t>。</w:t>
      </w:r>
    </w:p>
    <w:p>
      <w:pPr>
        <w:keepNext w:val="0"/>
        <w:keepLines w:val="0"/>
        <w:pageBreakBefore w:val="0"/>
        <w:widowControl w:val="0"/>
        <w:numPr>
          <w:ilvl w:val="0"/>
          <w:numId w:val="1"/>
        </w:numPr>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部门整体支出绩效目标、指标</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认真贯彻执行国家、省环境保护的方针、政策、法律，明确职责分工，提升环保部门的履</w:t>
      </w:r>
      <w:r>
        <w:rPr>
          <w:rFonts w:hint="default" w:ascii="仿宋_GB2312" w:hAnsi="仿宋_GB2312" w:eastAsia="仿宋_GB2312" w:cs="仿宋_GB2312"/>
          <w:sz w:val="32"/>
          <w:szCs w:val="32"/>
          <w:lang w:val="en-US" w:eastAsia="zh-CN"/>
        </w:rPr>
        <w:t>行职责能力，强化对辖区内环境保护的统一监督管理；组织制定并监督实施环境保护规划、计划；编制环境功能区划；制订污染物排放总量控制及相关政策；监督管理大气、水体、土壤、固体废物、有毒化学品、噪声、振动、辐射放射以及机动车等的污染防治工作；负责重污染天气预警工作；有效整合全市生态环境保护领域执法职责和队伍，理顺执法体制，创新执法机制，优化资源配置，强化执法监管，科学合理设置执法机构，强化生态环境保护综合执法体系和能力建设；承担法律、法规、规章和规范性文件规定的其他职责，以及上级环保部门、本局委托和交办的其他工作任务。</w:t>
      </w:r>
    </w:p>
    <w:p>
      <w:pPr>
        <w:keepNext w:val="0"/>
        <w:keepLines w:val="0"/>
        <w:pageBreakBefore w:val="0"/>
        <w:widowControl w:val="0"/>
        <w:numPr>
          <w:ilvl w:val="0"/>
          <w:numId w:val="2"/>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rPr>
        <w:t>绩效</w:t>
      </w:r>
      <w:r>
        <w:rPr>
          <w:rFonts w:hint="eastAsia" w:ascii="黑体" w:hAnsi="黑体" w:eastAsia="黑体" w:cs="黑体"/>
          <w:sz w:val="32"/>
          <w:szCs w:val="32"/>
          <w:lang w:eastAsia="zh-CN"/>
        </w:rPr>
        <w:t>自评工作开展</w:t>
      </w:r>
      <w:r>
        <w:rPr>
          <w:rFonts w:hint="eastAsia" w:ascii="黑体" w:hAnsi="黑体" w:eastAsia="黑体" w:cs="黑体"/>
          <w:sz w:val="32"/>
          <w:szCs w:val="32"/>
        </w:rPr>
        <w:t>情况</w:t>
      </w:r>
    </w:p>
    <w:p>
      <w:pPr>
        <w:keepNext w:val="0"/>
        <w:keepLines w:val="0"/>
        <w:pageBreakBefore w:val="0"/>
        <w:widowControl w:val="0"/>
        <w:numPr>
          <w:ilvl w:val="0"/>
          <w:numId w:val="3"/>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自评的组织工作</w:t>
      </w:r>
    </w:p>
    <w:p>
      <w:pPr>
        <w:snapToGrid w:val="0"/>
        <w:spacing w:line="360" w:lineRule="auto"/>
        <w:ind w:firstLine="640" w:firstLineChars="200"/>
        <w:rPr>
          <w:rFonts w:hint="eastAsia" w:ascii="仿宋" w:hAnsi="仿宋" w:eastAsia="仿宋" w:cs="仿宋"/>
          <w:sz w:val="32"/>
          <w:szCs w:val="32"/>
        </w:rPr>
      </w:pPr>
      <w:r>
        <w:rPr>
          <w:rFonts w:ascii="仿宋" w:hAnsi="仿宋" w:eastAsia="仿宋" w:cs="仿宋"/>
          <w:sz w:val="32"/>
          <w:szCs w:val="32"/>
        </w:rPr>
        <w:t>为加强财政支出管理，提高财政资金使用效益，根据《</w:t>
      </w:r>
      <w:r>
        <w:rPr>
          <w:rFonts w:hint="eastAsia" w:ascii="仿宋" w:hAnsi="仿宋" w:eastAsia="仿宋" w:cs="仿宋"/>
          <w:sz w:val="32"/>
          <w:szCs w:val="32"/>
        </w:rPr>
        <w:t>藁城区区级部门预算绩效管理工作考核办法（试行）</w:t>
      </w:r>
      <w:r>
        <w:rPr>
          <w:rFonts w:ascii="仿宋" w:hAnsi="仿宋" w:eastAsia="仿宋" w:cs="仿宋"/>
          <w:sz w:val="32"/>
          <w:szCs w:val="32"/>
        </w:rPr>
        <w:t>》（</w:t>
      </w:r>
      <w:r>
        <w:rPr>
          <w:rFonts w:hint="eastAsia" w:ascii="仿宋" w:hAnsi="仿宋" w:eastAsia="仿宋" w:cs="仿宋"/>
          <w:sz w:val="32"/>
          <w:szCs w:val="32"/>
        </w:rPr>
        <w:t>藁</w:t>
      </w:r>
      <w:r>
        <w:rPr>
          <w:rFonts w:ascii="仿宋" w:hAnsi="仿宋" w:eastAsia="仿宋" w:cs="仿宋"/>
          <w:sz w:val="32"/>
          <w:szCs w:val="32"/>
        </w:rPr>
        <w:t>财</w:t>
      </w:r>
      <w:r>
        <w:rPr>
          <w:rFonts w:hint="eastAsia" w:ascii="仿宋" w:hAnsi="仿宋" w:eastAsia="仿宋" w:cs="仿宋"/>
          <w:sz w:val="32"/>
          <w:szCs w:val="32"/>
        </w:rPr>
        <w:t>字</w:t>
      </w:r>
      <w:r>
        <w:rPr>
          <w:rFonts w:ascii="仿宋" w:hAnsi="仿宋" w:eastAsia="仿宋" w:cs="仿宋"/>
          <w:sz w:val="32"/>
          <w:szCs w:val="32"/>
        </w:rPr>
        <w:t>〔20</w:t>
      </w:r>
      <w:r>
        <w:rPr>
          <w:rFonts w:hint="eastAsia" w:ascii="仿宋" w:hAnsi="仿宋" w:eastAsia="仿宋" w:cs="仿宋"/>
          <w:sz w:val="32"/>
          <w:szCs w:val="32"/>
        </w:rPr>
        <w:t>20</w:t>
      </w:r>
      <w:r>
        <w:rPr>
          <w:rFonts w:ascii="仿宋" w:hAnsi="仿宋" w:eastAsia="仿宋" w:cs="仿宋"/>
          <w:sz w:val="32"/>
          <w:szCs w:val="32"/>
        </w:rPr>
        <w:t>〕25号）、《</w:t>
      </w:r>
      <w:r>
        <w:rPr>
          <w:rFonts w:hint="eastAsia" w:ascii="仿宋" w:hAnsi="仿宋" w:eastAsia="仿宋" w:cs="仿宋"/>
          <w:sz w:val="32"/>
          <w:szCs w:val="32"/>
        </w:rPr>
        <w:t>藁城区区级部门预算绩效目标设定规范</w:t>
      </w:r>
      <w:r>
        <w:rPr>
          <w:rFonts w:ascii="仿宋" w:hAnsi="仿宋" w:eastAsia="仿宋" w:cs="仿宋"/>
          <w:sz w:val="32"/>
          <w:szCs w:val="32"/>
        </w:rPr>
        <w:t>》（</w:t>
      </w:r>
      <w:r>
        <w:rPr>
          <w:rFonts w:hint="eastAsia" w:ascii="仿宋" w:hAnsi="仿宋" w:eastAsia="仿宋" w:cs="仿宋"/>
          <w:sz w:val="32"/>
          <w:szCs w:val="32"/>
        </w:rPr>
        <w:t>藁</w:t>
      </w:r>
      <w:r>
        <w:rPr>
          <w:rFonts w:ascii="仿宋" w:hAnsi="仿宋" w:eastAsia="仿宋" w:cs="仿宋"/>
          <w:sz w:val="32"/>
          <w:szCs w:val="32"/>
        </w:rPr>
        <w:t>财</w:t>
      </w:r>
      <w:r>
        <w:rPr>
          <w:rFonts w:hint="eastAsia" w:ascii="仿宋" w:hAnsi="仿宋" w:eastAsia="仿宋" w:cs="仿宋"/>
          <w:sz w:val="32"/>
          <w:szCs w:val="32"/>
        </w:rPr>
        <w:t>字</w:t>
      </w:r>
      <w:r>
        <w:rPr>
          <w:rFonts w:ascii="仿宋" w:hAnsi="仿宋" w:eastAsia="仿宋" w:cs="仿宋"/>
          <w:sz w:val="32"/>
          <w:szCs w:val="32"/>
        </w:rPr>
        <w:t>〔20</w:t>
      </w:r>
      <w:r>
        <w:rPr>
          <w:rFonts w:hint="eastAsia" w:ascii="仿宋" w:hAnsi="仿宋" w:eastAsia="仿宋" w:cs="仿宋"/>
          <w:sz w:val="32"/>
          <w:szCs w:val="32"/>
        </w:rPr>
        <w:t>20</w:t>
      </w:r>
      <w:r>
        <w:rPr>
          <w:rFonts w:ascii="仿宋" w:hAnsi="仿宋" w:eastAsia="仿宋" w:cs="仿宋"/>
          <w:sz w:val="32"/>
          <w:szCs w:val="32"/>
        </w:rPr>
        <w:t>〕2</w:t>
      </w:r>
      <w:r>
        <w:rPr>
          <w:rFonts w:hint="eastAsia" w:ascii="仿宋" w:hAnsi="仿宋" w:eastAsia="仿宋" w:cs="仿宋"/>
          <w:sz w:val="32"/>
          <w:szCs w:val="32"/>
        </w:rPr>
        <w:t>4</w:t>
      </w:r>
      <w:r>
        <w:rPr>
          <w:rFonts w:ascii="仿宋" w:hAnsi="仿宋" w:eastAsia="仿宋" w:cs="仿宋"/>
          <w:sz w:val="32"/>
          <w:szCs w:val="32"/>
        </w:rPr>
        <w:t>号）、《</w:t>
      </w:r>
      <w:r>
        <w:rPr>
          <w:rFonts w:hint="eastAsia" w:ascii="仿宋" w:hAnsi="仿宋" w:eastAsia="仿宋" w:cs="仿宋"/>
          <w:sz w:val="32"/>
          <w:szCs w:val="32"/>
        </w:rPr>
        <w:t>全面推进预算绩效管理工作实施方案</w:t>
      </w:r>
      <w:r>
        <w:rPr>
          <w:rFonts w:ascii="仿宋" w:hAnsi="仿宋" w:eastAsia="仿宋" w:cs="仿宋"/>
          <w:sz w:val="32"/>
          <w:szCs w:val="32"/>
        </w:rPr>
        <w:t>》（</w:t>
      </w:r>
      <w:r>
        <w:rPr>
          <w:rFonts w:hint="eastAsia" w:ascii="仿宋" w:hAnsi="仿宋" w:eastAsia="仿宋" w:cs="仿宋"/>
          <w:sz w:val="32"/>
          <w:szCs w:val="32"/>
        </w:rPr>
        <w:t>藁</w:t>
      </w:r>
      <w:r>
        <w:rPr>
          <w:rFonts w:ascii="仿宋" w:hAnsi="仿宋" w:eastAsia="仿宋" w:cs="仿宋"/>
          <w:sz w:val="32"/>
          <w:szCs w:val="32"/>
        </w:rPr>
        <w:t>财</w:t>
      </w:r>
      <w:r>
        <w:rPr>
          <w:rFonts w:hint="eastAsia" w:ascii="仿宋" w:hAnsi="仿宋" w:eastAsia="仿宋" w:cs="仿宋"/>
          <w:sz w:val="32"/>
          <w:szCs w:val="32"/>
        </w:rPr>
        <w:t>字</w:t>
      </w:r>
      <w:r>
        <w:rPr>
          <w:rFonts w:ascii="仿宋" w:hAnsi="仿宋" w:eastAsia="仿宋" w:cs="仿宋"/>
          <w:sz w:val="32"/>
          <w:szCs w:val="32"/>
        </w:rPr>
        <w:t>〔20</w:t>
      </w:r>
      <w:r>
        <w:rPr>
          <w:rFonts w:hint="eastAsia" w:ascii="仿宋" w:hAnsi="仿宋" w:eastAsia="仿宋" w:cs="仿宋"/>
          <w:sz w:val="32"/>
          <w:szCs w:val="32"/>
        </w:rPr>
        <w:t>20</w:t>
      </w:r>
      <w:r>
        <w:rPr>
          <w:rFonts w:ascii="仿宋" w:hAnsi="仿宋" w:eastAsia="仿宋" w:cs="仿宋"/>
          <w:sz w:val="32"/>
          <w:szCs w:val="32"/>
        </w:rPr>
        <w:t>〕2</w:t>
      </w:r>
      <w:r>
        <w:rPr>
          <w:rFonts w:hint="eastAsia" w:ascii="仿宋" w:hAnsi="仿宋" w:eastAsia="仿宋" w:cs="仿宋"/>
          <w:sz w:val="32"/>
          <w:szCs w:val="32"/>
        </w:rPr>
        <w:t>9</w:t>
      </w:r>
      <w:r>
        <w:rPr>
          <w:rFonts w:ascii="仿宋" w:hAnsi="仿宋" w:eastAsia="仿宋" w:cs="仿宋"/>
          <w:sz w:val="32"/>
          <w:szCs w:val="32"/>
        </w:rPr>
        <w:t>号）等文件精神，结合实际，我单位</w:t>
      </w:r>
      <w:r>
        <w:rPr>
          <w:rFonts w:hint="eastAsia" w:ascii="仿宋" w:hAnsi="仿宋" w:eastAsia="仿宋"/>
          <w:sz w:val="32"/>
          <w:szCs w:val="32"/>
        </w:rPr>
        <w:t>遵循“科学性、规范性、客观性和公正性”的原则，</w:t>
      </w:r>
      <w:r>
        <w:rPr>
          <w:rFonts w:ascii="仿宋" w:hAnsi="仿宋" w:eastAsia="仿宋" w:cs="仿宋"/>
          <w:sz w:val="32"/>
          <w:szCs w:val="32"/>
        </w:rPr>
        <w:t>组织成立了绩效评价工作小组</w:t>
      </w:r>
      <w:r>
        <w:rPr>
          <w:rFonts w:hint="eastAsia" w:ascii="仿宋" w:hAnsi="仿宋" w:eastAsia="仿宋" w:cs="仿宋"/>
          <w:sz w:val="32"/>
          <w:szCs w:val="32"/>
        </w:rPr>
        <w:t>。</w:t>
      </w:r>
    </w:p>
    <w:p>
      <w:pPr>
        <w:keepNext w:val="0"/>
        <w:keepLines w:val="0"/>
        <w:pageBreakBefore w:val="0"/>
        <w:widowControl w:val="0"/>
        <w:numPr>
          <w:ilvl w:val="0"/>
          <w:numId w:val="4"/>
        </w:numPr>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自评的方法和过程</w:t>
      </w:r>
    </w:p>
    <w:p>
      <w:pPr>
        <w:snapToGrid w:val="0"/>
        <w:spacing w:line="360" w:lineRule="auto"/>
        <w:ind w:firstLine="420" w:firstLineChars="200"/>
        <w:rPr>
          <w:rFonts w:hint="eastAsia" w:ascii="仿宋" w:hAnsi="仿宋" w:eastAsia="仿宋" w:cs="仿宋"/>
          <w:sz w:val="21"/>
          <w:szCs w:val="21"/>
        </w:rPr>
      </w:pPr>
    </w:p>
    <w:p>
      <w:pPr>
        <w:snapToGrid w:val="0"/>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联系相关项目科室负责人召开专门工作会议，分发给各科室需填报项目资料，包括需填报项目清单、财政预算项目库绩效目标表、项目支出绩效评价共性指标体系框架、省住建厅绩效指标规范、绩效共性指标规范等。在会议中明确了绩效自评的工作要求，由各科室负责本科室的需绩效自评项目填报内容，保证填报效果。各科室按要求时间</w:t>
      </w:r>
      <w:r>
        <w:rPr>
          <w:rFonts w:ascii="仿宋" w:hAnsi="仿宋" w:eastAsia="仿宋" w:cs="仿宋"/>
          <w:sz w:val="32"/>
          <w:szCs w:val="32"/>
        </w:rPr>
        <w:t>报送项目绩效自评报告、自评表及相关资料。</w:t>
      </w:r>
    </w:p>
    <w:p>
      <w:pPr>
        <w:snapToGrid w:val="0"/>
        <w:spacing w:line="360" w:lineRule="auto"/>
        <w:ind w:firstLine="640" w:firstLineChars="200"/>
        <w:rPr>
          <w:rFonts w:ascii="仿宋" w:hAnsi="仿宋" w:eastAsia="仿宋" w:cs="仿宋"/>
          <w:sz w:val="32"/>
          <w:szCs w:val="32"/>
        </w:rPr>
      </w:pPr>
      <w:r>
        <w:rPr>
          <w:rFonts w:ascii="仿宋" w:hAnsi="仿宋" w:eastAsia="仿宋" w:cs="仿宋"/>
          <w:sz w:val="32"/>
          <w:szCs w:val="32"/>
        </w:rPr>
        <w:t>评价小组采取座谈等方式听取情况，检查</w:t>
      </w:r>
      <w:r>
        <w:rPr>
          <w:rFonts w:hint="eastAsia" w:ascii="仿宋" w:hAnsi="仿宋" w:eastAsia="仿宋" w:cs="仿宋"/>
          <w:sz w:val="32"/>
          <w:szCs w:val="32"/>
        </w:rPr>
        <w:t>项目</w:t>
      </w:r>
      <w:r>
        <w:rPr>
          <w:rFonts w:ascii="仿宋" w:hAnsi="仿宋" w:eastAsia="仿宋" w:cs="仿宋"/>
          <w:sz w:val="32"/>
          <w:szCs w:val="32"/>
        </w:rPr>
        <w:t>支出有关账目，收集整理支出相关资料，并根据各部门报送的绩效自评材料进行分析、总结</w:t>
      </w:r>
      <w:r>
        <w:rPr>
          <w:rFonts w:hint="eastAsia" w:ascii="仿宋" w:hAnsi="仿宋" w:eastAsia="仿宋" w:cs="仿宋"/>
          <w:sz w:val="32"/>
          <w:szCs w:val="32"/>
        </w:rPr>
        <w:t>，</w:t>
      </w:r>
      <w:r>
        <w:rPr>
          <w:rFonts w:ascii="仿宋" w:hAnsi="仿宋" w:eastAsia="仿宋" w:cs="仿宋"/>
          <w:sz w:val="32"/>
          <w:szCs w:val="32"/>
        </w:rPr>
        <w:t>开展绩效评价工作。</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三、部门整体支出绩效目标实现情况及指标分析</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（一）</w:t>
      </w:r>
      <w:r>
        <w:rPr>
          <w:rFonts w:hint="eastAsia" w:ascii="楷体_GB2312" w:hAnsi="楷体_GB2312" w:eastAsia="楷体_GB2312" w:cs="楷体_GB2312"/>
          <w:bCs/>
          <w:sz w:val="32"/>
          <w:szCs w:val="32"/>
        </w:rPr>
        <w:t>总体绩效目标实现情况</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rPr>
        <w:t>部门总体工作正常开展，</w:t>
      </w:r>
      <w:r>
        <w:rPr>
          <w:rFonts w:ascii="仿宋" w:hAnsi="仿宋" w:eastAsia="仿宋" w:cs="仿宋"/>
          <w:sz w:val="32"/>
          <w:szCs w:val="32"/>
        </w:rPr>
        <w:t>从自评情况可以看出，</w:t>
      </w:r>
      <w:r>
        <w:rPr>
          <w:rFonts w:hint="eastAsia" w:ascii="Times New Roman" w:hAnsi="Times New Roman" w:eastAsia="方正仿宋_GBK" w:cs="Times New Roman"/>
          <w:sz w:val="32"/>
          <w:szCs w:val="32"/>
          <w:lang w:eastAsia="zh-CN"/>
        </w:rPr>
        <w:t>所有预算项目均已纳入绩效评价范围</w:t>
      </w:r>
      <w:r>
        <w:rPr>
          <w:rFonts w:hint="eastAsia" w:eastAsia="方正仿宋_GBK" w:cs="Times New Roman"/>
          <w:sz w:val="32"/>
          <w:szCs w:val="32"/>
          <w:lang w:eastAsia="zh-CN"/>
        </w:rPr>
        <w:t>，</w:t>
      </w:r>
      <w:r>
        <w:rPr>
          <w:rFonts w:ascii="仿宋" w:hAnsi="仿宋" w:eastAsia="仿宋" w:cs="仿宋"/>
          <w:sz w:val="32"/>
          <w:szCs w:val="32"/>
        </w:rPr>
        <w:t>较好的完成了年初的目标，</w:t>
      </w:r>
      <w:r>
        <w:rPr>
          <w:rFonts w:hint="eastAsia" w:ascii="仿宋" w:hAnsi="仿宋" w:eastAsia="仿宋" w:cs="仿宋"/>
          <w:sz w:val="32"/>
          <w:szCs w:val="32"/>
        </w:rPr>
        <w:t>专项资金和具体预算支出项目</w:t>
      </w:r>
      <w:r>
        <w:rPr>
          <w:rFonts w:ascii="仿宋" w:hAnsi="仿宋" w:eastAsia="仿宋" w:cs="仿宋"/>
          <w:sz w:val="32"/>
          <w:szCs w:val="32"/>
        </w:rPr>
        <w:t>各项指标也基本达到了预期指标值</w:t>
      </w:r>
      <w:r>
        <w:rPr>
          <w:rFonts w:hint="eastAsia" w:ascii="仿宋" w:hAnsi="仿宋" w:eastAsia="仿宋" w:cs="仿宋"/>
          <w:sz w:val="32"/>
          <w:szCs w:val="32"/>
        </w:rPr>
        <w:t>。</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楷体" w:hAnsi="楷体" w:eastAsia="楷体"/>
          <w:bCs/>
          <w:sz w:val="32"/>
          <w:szCs w:val="32"/>
        </w:rPr>
      </w:pPr>
      <w:r>
        <w:rPr>
          <w:rFonts w:hint="eastAsia" w:ascii="楷体_GB2312" w:hAnsi="楷体_GB2312" w:eastAsia="楷体_GB2312" w:cs="楷体_GB2312"/>
          <w:bCs/>
          <w:sz w:val="32"/>
          <w:szCs w:val="32"/>
        </w:rPr>
        <w:t>（二）分项绩效目标实现情况及指标分析</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15" w:lineRule="atLeast"/>
        <w:ind w:left="0" w:right="0" w:firstLine="640" w:firstLineChars="200"/>
        <w:jc w:val="left"/>
        <w:textAlignment w:val="auto"/>
        <w:rPr>
          <w:rFonts w:hint="default" w:ascii="仿宋" w:hAnsi="仿宋" w:eastAsia="仿宋" w:cs="仿宋"/>
          <w:sz w:val="32"/>
          <w:szCs w:val="32"/>
          <w:lang w:eastAsia="zh-CN"/>
        </w:rPr>
      </w:pPr>
      <w:r>
        <w:rPr>
          <w:rFonts w:ascii="仿宋" w:hAnsi="仿宋" w:eastAsia="仿宋" w:cs="仿宋"/>
          <w:sz w:val="32"/>
          <w:szCs w:val="32"/>
        </w:rPr>
        <w:t>从自评情况可以看出</w:t>
      </w:r>
      <w:r>
        <w:rPr>
          <w:rFonts w:hint="eastAsia" w:ascii="仿宋" w:hAnsi="仿宋" w:eastAsia="仿宋" w:cs="仿宋"/>
          <w:sz w:val="32"/>
          <w:szCs w:val="32"/>
          <w:lang w:eastAsia="zh-CN"/>
        </w:rPr>
        <w:t>，分项绩效目标和指标从</w:t>
      </w:r>
      <w:r>
        <w:rPr>
          <w:rFonts w:hint="eastAsia" w:ascii="仿宋_GB2312" w:hAnsi="仿宋_GB2312" w:eastAsia="仿宋_GB2312" w:cs="仿宋_GB2312"/>
          <w:sz w:val="32"/>
          <w:szCs w:val="32"/>
          <w:highlight w:val="none"/>
          <w:lang w:eastAsia="zh-CN"/>
        </w:rPr>
        <w:t>完成数量、质量、时效、成本效益等方面</w:t>
      </w:r>
      <w:r>
        <w:rPr>
          <w:rFonts w:hint="eastAsia" w:ascii="仿宋" w:hAnsi="仿宋" w:eastAsia="仿宋" w:cs="仿宋"/>
          <w:sz w:val="32"/>
          <w:szCs w:val="32"/>
          <w:lang w:eastAsia="zh-CN"/>
        </w:rPr>
        <w:t>较好的完成了年初的目标：</w:t>
      </w:r>
      <w:r>
        <w:rPr>
          <w:rFonts w:hint="default" w:ascii="仿宋" w:hAnsi="仿宋" w:eastAsia="仿宋" w:cs="仿宋"/>
          <w:sz w:val="32"/>
          <w:szCs w:val="32"/>
          <w:lang w:val="en-US" w:eastAsia="zh-CN"/>
        </w:rPr>
        <w:t>及时发放劳务派遣人员工资、完成对辅勤人员的体检，完成对三个点位的维护，保障工作正常进行。</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四、评价结论和评价等级</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绩效目标设定基本准确，绩效指标全面完整、科学合理，绩效标准恰当适宜、易于评价。在开展预算自评工作时，针对具体绩效评价对象的特点，设计了能够体现项目特点绩效评价指标体系。绩效指标权重由本部门根据评价对象实际情况确定，总分设定为100分。原则上一级指标权重统一设置为：产出指标40分（包含数量、质量、时效、成本）、预算执行率指标10分、效益指标40分（包含经济效益、社会效益、生态效益、可持续影响）、满意度指标10分。如某一类指标未设定，其分值调整至其他指标。若被评价项目不涉及服务对象满意度内容或因服务对象满意度获取难度较大、成本较高而未能获取，则服务对象满意度的10分调入效益考核事项。</w:t>
      </w:r>
    </w:p>
    <w:p>
      <w:pPr>
        <w:keepNext w:val="0"/>
        <w:keepLines w:val="0"/>
        <w:pageBreakBefore w:val="0"/>
        <w:widowControl w:val="0"/>
        <w:numPr>
          <w:ilvl w:val="0"/>
          <w:numId w:val="5"/>
        </w:numPr>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存在的问题及改进措施</w:t>
      </w:r>
    </w:p>
    <w:p>
      <w:pPr>
        <w:keepNext w:val="0"/>
        <w:keepLines w:val="0"/>
        <w:pageBreakBefore w:val="0"/>
        <w:widowControl w:val="0"/>
        <w:numPr>
          <w:ilvl w:val="0"/>
          <w:numId w:val="6"/>
        </w:numPr>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存在的主要问题</w:t>
      </w:r>
    </w:p>
    <w:p>
      <w:pPr>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default" w:ascii="楷体_GB2312" w:hAnsi="楷体_GB2312" w:eastAsia="楷体_GB2312" w:cs="楷体_GB2312"/>
          <w:bCs/>
          <w:sz w:val="32"/>
          <w:szCs w:val="32"/>
          <w:lang w:val="en-US" w:eastAsia="zh-CN"/>
        </w:rPr>
      </w:pPr>
      <w:r>
        <w:rPr>
          <w:rFonts w:hint="eastAsia" w:ascii="楷体_GB2312" w:hAnsi="楷体_GB2312" w:eastAsia="楷体_GB2312" w:cs="楷体_GB2312"/>
          <w:bCs/>
          <w:sz w:val="32"/>
          <w:szCs w:val="32"/>
          <w:lang w:val="en-US" w:eastAsia="zh-CN"/>
        </w:rPr>
        <w:t xml:space="preserve">    无</w:t>
      </w:r>
    </w:p>
    <w:p>
      <w:pPr>
        <w:keepNext w:val="0"/>
        <w:keepLines w:val="0"/>
        <w:pageBreakBefore w:val="0"/>
        <w:widowControl w:val="0"/>
        <w:numPr>
          <w:ilvl w:val="0"/>
          <w:numId w:val="6"/>
        </w:numPr>
        <w:kinsoku/>
        <w:wordWrap/>
        <w:overflowPunct/>
        <w:topLinePunct w:val="0"/>
        <w:autoSpaceDE/>
        <w:autoSpaceDN/>
        <w:bidi w:val="0"/>
        <w:spacing w:line="560" w:lineRule="exact"/>
        <w:ind w:left="0" w:leftChars="0"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针对问题提出具体的改进措施或建议</w:t>
      </w:r>
    </w:p>
    <w:p>
      <w:pPr>
        <w:keepNext w:val="0"/>
        <w:keepLines w:val="0"/>
        <w:pageBreakBefore w:val="0"/>
        <w:widowControl w:val="0"/>
        <w:numPr>
          <w:ilvl w:val="0"/>
          <w:numId w:val="0"/>
        </w:numPr>
        <w:kinsoku/>
        <w:wordWrap/>
        <w:overflowPunct/>
        <w:topLinePunct w:val="0"/>
        <w:autoSpaceDE/>
        <w:autoSpaceDN/>
        <w:bidi w:val="0"/>
        <w:spacing w:line="560" w:lineRule="exact"/>
        <w:ind w:leftChars="200"/>
        <w:textAlignment w:val="auto"/>
        <w:rPr>
          <w:rFonts w:hint="eastAsia" w:ascii="楷体_GB2312" w:hAnsi="楷体_GB2312" w:eastAsia="楷体_GB2312" w:cs="楷体_GB2312"/>
          <w:bCs/>
          <w:sz w:val="32"/>
          <w:szCs w:val="32"/>
          <w:lang w:val="en-US" w:eastAsia="zh-CN"/>
        </w:rPr>
      </w:pPr>
      <w:r>
        <w:rPr>
          <w:rFonts w:hint="eastAsia" w:ascii="楷体_GB2312" w:hAnsi="楷体_GB2312" w:eastAsia="楷体_GB2312" w:cs="楷体_GB2312"/>
          <w:bCs/>
          <w:sz w:val="32"/>
          <w:szCs w:val="32"/>
          <w:lang w:val="en-US" w:eastAsia="zh-CN"/>
        </w:rPr>
        <w:t xml:space="preserve"> 无</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六、评价工作组人员名单及签字（姓名、工作单位、职务、职称）</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textAlignment w:val="auto"/>
        <w:outlineLvl w:val="9"/>
        <w:rPr>
          <w:rFonts w:hint="eastAsia" w:ascii="仿宋_GB2312" w:hAnsi="仿宋_GB2312" w:eastAsia="仿宋_GB2312" w:cs="仿宋_GB2312"/>
          <w:sz w:val="32"/>
          <w:szCs w:val="32"/>
          <w:lang w:eastAsia="zh-CN"/>
        </w:rPr>
      </w:pPr>
    </w:p>
    <w:sectPr>
      <w:headerReference r:id="rId3" w:type="default"/>
      <w:footerReference r:id="rId4" w:type="default"/>
      <w:pgSz w:w="11906" w:h="16838"/>
      <w:pgMar w:top="2098" w:right="1474" w:bottom="1984" w:left="1587"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86"/>
    <w:family w:val="auto"/>
    <w:pitch w:val="default"/>
    <w:sig w:usb0="00000000" w:usb1="00000000" w:usb2="00000009" w:usb3="00000000" w:csb0="400001FF" w:csb1="FFFF0000"/>
  </w:font>
  <w:font w:name="宋体">
    <w:altName w:val="方正书宋_GBK"/>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方正仿宋_GBK">
    <w:panose1 w:val="02000000000000000000"/>
    <w:charset w:val="86"/>
    <w:family w:val="auto"/>
    <w:pitch w:val="default"/>
    <w:sig w:usb0="00000001" w:usb1="0800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仿宋_GB2312">
    <w:altName w:val="方正仿宋_GBK"/>
    <w:panose1 w:val="02010609030101010101"/>
    <w:charset w:val="86"/>
    <w:family w:val="auto"/>
    <w:pitch w:val="default"/>
    <w:sig w:usb0="00000000" w:usb1="00000000" w:usb2="00000000" w:usb3="00000000" w:csb0="00040000" w:csb1="00000000"/>
  </w:font>
  <w:font w:name="楷体_GB2312">
    <w:altName w:val="方正楷体_GBK"/>
    <w:panose1 w:val="02010609030101010101"/>
    <w:charset w:val="86"/>
    <w:family w:val="auto"/>
    <w:pitch w:val="default"/>
    <w:sig w:usb0="00000000" w:usb1="00000000" w:usb2="00000000" w:usb3="00000000" w:csb0="00040000" w:csb1="00000000"/>
  </w:font>
  <w:font w:name="仿宋">
    <w:altName w:val="方正仿宋_GBK"/>
    <w:panose1 w:val="02010609060101010101"/>
    <w:charset w:val="86"/>
    <w:family w:val="auto"/>
    <w:pitch w:val="default"/>
    <w:sig w:usb0="00000000" w:usb1="00000000" w:usb2="00000016" w:usb3="00000000" w:csb0="00040001" w:csb1="00000000"/>
  </w:font>
  <w:font w:name="楷体">
    <w:altName w:val="方正楷体_GBK"/>
    <w:panose1 w:val="02010609060101010101"/>
    <w:charset w:val="86"/>
    <w:family w:val="modern"/>
    <w:pitch w:val="default"/>
    <w:sig w:usb0="00000000" w:usb1="00000000" w:usb2="00000016" w:usb3="00000000" w:csb0="00040001"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rFonts w:ascii="Times New Roman" w:hAnsi="Times New Roman" w:eastAsia="宋体" w:cs="Times New Roman"/>
        <w:kern w:val="2"/>
        <w:sz w:val="21"/>
        <w:szCs w:val="24"/>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true">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WAAAAZHJzL1BLAQIUABQAAAAIAIdO&#10;4kDOqXm5zwAAAAUBAAAPAAAAAAAAAAEAIAAAADgAAABkcnMvZG93bnJldi54bWxQSwECFAAUAAAA&#10;CACHTuJA2PddNagBAABVAwAADgAAAAAAAAABACAAAAA0AQAAZHJzL2Uyb0RvYy54bWxQSwUGAAAA&#10;AAYABgBZAQAATgU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8E0822F"/>
    <w:multiLevelType w:val="singleLevel"/>
    <w:tmpl w:val="98E0822F"/>
    <w:lvl w:ilvl="0" w:tentative="0">
      <w:start w:val="2"/>
      <w:numFmt w:val="chineseCounting"/>
      <w:suff w:val="nothing"/>
      <w:lvlText w:val="%1、"/>
      <w:lvlJc w:val="left"/>
      <w:rPr>
        <w:rFonts w:hint="eastAsia"/>
      </w:rPr>
    </w:lvl>
  </w:abstractNum>
  <w:abstractNum w:abstractNumId="1">
    <w:nsid w:val="E93E47E2"/>
    <w:multiLevelType w:val="singleLevel"/>
    <w:tmpl w:val="E93E47E2"/>
    <w:lvl w:ilvl="0" w:tentative="0">
      <w:start w:val="1"/>
      <w:numFmt w:val="chineseCounting"/>
      <w:suff w:val="nothing"/>
      <w:lvlText w:val="（%1）"/>
      <w:lvlJc w:val="left"/>
      <w:rPr>
        <w:rFonts w:hint="eastAsia"/>
      </w:rPr>
    </w:lvl>
  </w:abstractNum>
  <w:abstractNum w:abstractNumId="2">
    <w:nsid w:val="FDF4E164"/>
    <w:multiLevelType w:val="singleLevel"/>
    <w:tmpl w:val="FDF4E164"/>
    <w:lvl w:ilvl="0" w:tentative="0">
      <w:start w:val="2"/>
      <w:numFmt w:val="chineseCounting"/>
      <w:suff w:val="nothing"/>
      <w:lvlText w:val="（%1）"/>
      <w:lvlJc w:val="left"/>
      <w:rPr>
        <w:rFonts w:hint="eastAsia"/>
      </w:rPr>
    </w:lvl>
  </w:abstractNum>
  <w:abstractNum w:abstractNumId="3">
    <w:nsid w:val="330718AF"/>
    <w:multiLevelType w:val="singleLevel"/>
    <w:tmpl w:val="330718AF"/>
    <w:lvl w:ilvl="0" w:tentative="0">
      <w:start w:val="5"/>
      <w:numFmt w:val="chineseCounting"/>
      <w:suff w:val="nothing"/>
      <w:lvlText w:val="%1、"/>
      <w:lvlJc w:val="left"/>
      <w:rPr>
        <w:rFonts w:hint="eastAsia"/>
      </w:rPr>
    </w:lvl>
  </w:abstractNum>
  <w:abstractNum w:abstractNumId="4">
    <w:nsid w:val="3FE17770"/>
    <w:multiLevelType w:val="singleLevel"/>
    <w:tmpl w:val="3FE17770"/>
    <w:lvl w:ilvl="0" w:tentative="0">
      <w:start w:val="1"/>
      <w:numFmt w:val="chineseCounting"/>
      <w:suff w:val="nothing"/>
      <w:lvlText w:val="（%1）"/>
      <w:lvlJc w:val="left"/>
      <w:rPr>
        <w:rFonts w:hint="eastAsia"/>
      </w:rPr>
    </w:lvl>
  </w:abstractNum>
  <w:abstractNum w:abstractNumId="5">
    <w:nsid w:val="4FB80BD2"/>
    <w:multiLevelType w:val="singleLevel"/>
    <w:tmpl w:val="4FB80BD2"/>
    <w:lvl w:ilvl="0" w:tentative="0">
      <w:start w:val="3"/>
      <w:numFmt w:val="chineseCounting"/>
      <w:suff w:val="nothing"/>
      <w:lvlText w:val="（%1）"/>
      <w:lvlJc w:val="left"/>
      <w:rPr>
        <w:rFonts w:hint="eastAsia"/>
      </w:rPr>
    </w:lvl>
  </w:abstractNum>
  <w:num w:numId="1">
    <w:abstractNumId w:val="5"/>
  </w:num>
  <w:num w:numId="2">
    <w:abstractNumId w:val="0"/>
  </w:num>
  <w:num w:numId="3">
    <w:abstractNumId w:val="4"/>
  </w:num>
  <w:num w:numId="4">
    <w:abstractNumId w:val="2"/>
  </w:num>
  <w:num w:numId="5">
    <w:abstractNumId w:val="3"/>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false"/>
  <w:bordersDoNotSurroundFooter w:val="false"/>
  <w:documentProtection w:enforcement="0"/>
  <w:defaultTabStop w:val="420"/>
  <w:drawingGridHorizontalSpacing w:val="105"/>
  <w:drawingGridVerticalSpacing w:val="156"/>
  <w:displayHorizontalDrawingGridEvery w:val="1"/>
  <w:displayVerticalDrawingGridEvery w:val="1"/>
  <w:noPunctuationKerning w:val="true"/>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GE2ZDVhYjFkNzNmZjA0ZTExM2M2ODcxZGVjNWRjNGEifQ=="/>
  </w:docVars>
  <w:rsids>
    <w:rsidRoot w:val="00EF16A3"/>
    <w:rsid w:val="000D193E"/>
    <w:rsid w:val="000D29F1"/>
    <w:rsid w:val="001627CF"/>
    <w:rsid w:val="001646B1"/>
    <w:rsid w:val="00176210"/>
    <w:rsid w:val="001D2D4C"/>
    <w:rsid w:val="00383AC5"/>
    <w:rsid w:val="003B412A"/>
    <w:rsid w:val="00432709"/>
    <w:rsid w:val="0043554E"/>
    <w:rsid w:val="004919BA"/>
    <w:rsid w:val="00491FCD"/>
    <w:rsid w:val="004E6C05"/>
    <w:rsid w:val="004F6F9F"/>
    <w:rsid w:val="00546BCB"/>
    <w:rsid w:val="005B610E"/>
    <w:rsid w:val="005C236C"/>
    <w:rsid w:val="005E6EC9"/>
    <w:rsid w:val="00656B2A"/>
    <w:rsid w:val="00665896"/>
    <w:rsid w:val="006F351D"/>
    <w:rsid w:val="0071336C"/>
    <w:rsid w:val="0071475B"/>
    <w:rsid w:val="0077251A"/>
    <w:rsid w:val="00793214"/>
    <w:rsid w:val="007D43DA"/>
    <w:rsid w:val="007E50DB"/>
    <w:rsid w:val="007E661D"/>
    <w:rsid w:val="007F5EE6"/>
    <w:rsid w:val="007F7CC2"/>
    <w:rsid w:val="0081530B"/>
    <w:rsid w:val="008C31C3"/>
    <w:rsid w:val="008E0E58"/>
    <w:rsid w:val="00941865"/>
    <w:rsid w:val="00966800"/>
    <w:rsid w:val="00986803"/>
    <w:rsid w:val="0099577A"/>
    <w:rsid w:val="009F1522"/>
    <w:rsid w:val="00A06D88"/>
    <w:rsid w:val="00AB70A8"/>
    <w:rsid w:val="00AF5C06"/>
    <w:rsid w:val="00B723C7"/>
    <w:rsid w:val="00B8177D"/>
    <w:rsid w:val="00B86365"/>
    <w:rsid w:val="00BE032C"/>
    <w:rsid w:val="00C242EC"/>
    <w:rsid w:val="00CE156F"/>
    <w:rsid w:val="00DA58E7"/>
    <w:rsid w:val="00DE50A2"/>
    <w:rsid w:val="00DF6FF4"/>
    <w:rsid w:val="00E03726"/>
    <w:rsid w:val="00E17D5D"/>
    <w:rsid w:val="00E61BFC"/>
    <w:rsid w:val="00E841B7"/>
    <w:rsid w:val="00ED5E84"/>
    <w:rsid w:val="00EF16A3"/>
    <w:rsid w:val="00F57E52"/>
    <w:rsid w:val="00FB4297"/>
    <w:rsid w:val="055B525F"/>
    <w:rsid w:val="0D761EF4"/>
    <w:rsid w:val="13B61930"/>
    <w:rsid w:val="167637A4"/>
    <w:rsid w:val="1A3B21A2"/>
    <w:rsid w:val="1BAF1154"/>
    <w:rsid w:val="1C655171"/>
    <w:rsid w:val="1F6F0B6A"/>
    <w:rsid w:val="20276775"/>
    <w:rsid w:val="26B75F6B"/>
    <w:rsid w:val="2D2784D2"/>
    <w:rsid w:val="2DFFA76E"/>
    <w:rsid w:val="2F2C2A40"/>
    <w:rsid w:val="327BC233"/>
    <w:rsid w:val="344704E1"/>
    <w:rsid w:val="39744C0B"/>
    <w:rsid w:val="39FB8E1D"/>
    <w:rsid w:val="3AEF6FE7"/>
    <w:rsid w:val="441F3676"/>
    <w:rsid w:val="47DEAB50"/>
    <w:rsid w:val="493B718D"/>
    <w:rsid w:val="53A42ADD"/>
    <w:rsid w:val="563B01B4"/>
    <w:rsid w:val="56604927"/>
    <w:rsid w:val="590F0BE0"/>
    <w:rsid w:val="5C4A315B"/>
    <w:rsid w:val="5FFE42EE"/>
    <w:rsid w:val="661D3074"/>
    <w:rsid w:val="6B1C1E0E"/>
    <w:rsid w:val="6BDE7164"/>
    <w:rsid w:val="6EDBB756"/>
    <w:rsid w:val="6FFB9CF2"/>
    <w:rsid w:val="72CD72AA"/>
    <w:rsid w:val="73AB0854"/>
    <w:rsid w:val="75B710BD"/>
    <w:rsid w:val="79ACF144"/>
    <w:rsid w:val="7BF73874"/>
    <w:rsid w:val="7DA3F741"/>
    <w:rsid w:val="7F5B1185"/>
    <w:rsid w:val="7F773E23"/>
    <w:rsid w:val="7FED0D89"/>
    <w:rsid w:val="7FF71014"/>
    <w:rsid w:val="7FF76B17"/>
    <w:rsid w:val="8BFF9561"/>
    <w:rsid w:val="8EB7E8C0"/>
    <w:rsid w:val="9AEB857F"/>
    <w:rsid w:val="9F7FD552"/>
    <w:rsid w:val="ABAF0BE9"/>
    <w:rsid w:val="AFCED58F"/>
    <w:rsid w:val="AFFF87B0"/>
    <w:rsid w:val="B7AF3796"/>
    <w:rsid w:val="BC3ACE0C"/>
    <w:rsid w:val="BD7F3600"/>
    <w:rsid w:val="BFEDA071"/>
    <w:rsid w:val="C67DBE95"/>
    <w:rsid w:val="CF7FDDE1"/>
    <w:rsid w:val="CFBB8378"/>
    <w:rsid w:val="CFFDB4A0"/>
    <w:rsid w:val="D3F78D5E"/>
    <w:rsid w:val="DEE56A43"/>
    <w:rsid w:val="DF5E053F"/>
    <w:rsid w:val="DFF71FA6"/>
    <w:rsid w:val="E3D587A3"/>
    <w:rsid w:val="E6F51EED"/>
    <w:rsid w:val="EB8DC79F"/>
    <w:rsid w:val="EFFFE100"/>
    <w:rsid w:val="F2FFFBF6"/>
    <w:rsid w:val="F317D614"/>
    <w:rsid w:val="F33E25C2"/>
    <w:rsid w:val="F39F61A9"/>
    <w:rsid w:val="F8F9BE29"/>
    <w:rsid w:val="FB7F2917"/>
    <w:rsid w:val="FB9FD31A"/>
    <w:rsid w:val="FBAFD3C4"/>
    <w:rsid w:val="FD5CE33D"/>
    <w:rsid w:val="FE5F7F95"/>
    <w:rsid w:val="FF715226"/>
    <w:rsid w:val="FFFE8A51"/>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semiHidden="0"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unhideWhenUsed/>
    <w:qFormat/>
    <w:uiPriority w:val="1"/>
  </w:style>
  <w:style w:type="table" w:default="1" w:styleId="5">
    <w:name w:val="Normal Table"/>
    <w:unhideWhenUsed/>
    <w:qFormat/>
    <w:uiPriority w:val="99"/>
    <w:tblPr>
      <w:tblCellMar>
        <w:top w:w="0" w:type="dxa"/>
        <w:left w:w="108" w:type="dxa"/>
        <w:bottom w:w="0" w:type="dxa"/>
        <w:right w:w="108" w:type="dxa"/>
      </w:tblCellMar>
    </w:tblPr>
  </w:style>
  <w:style w:type="paragraph" w:styleId="2">
    <w:name w:val="Normal Indent"/>
    <w:basedOn w:val="1"/>
    <w:next w:val="1"/>
    <w:qFormat/>
    <w:uiPriority w:val="0"/>
    <w:pPr>
      <w:ind w:firstLine="420" w:firstLineChars="200"/>
    </w:pPr>
  </w:style>
  <w:style w:type="paragraph" w:styleId="3">
    <w:name w:val="footer"/>
    <w:basedOn w:val="1"/>
    <w:link w:val="8"/>
    <w:unhideWhenUsed/>
    <w:qFormat/>
    <w:uiPriority w:val="99"/>
    <w:pPr>
      <w:tabs>
        <w:tab w:val="center" w:pos="4153"/>
        <w:tab w:val="right" w:pos="8306"/>
      </w:tabs>
      <w:snapToGrid w:val="0"/>
      <w:jc w:val="left"/>
    </w:pPr>
    <w:rPr>
      <w:sz w:val="18"/>
      <w:szCs w:val="18"/>
    </w:rPr>
  </w:style>
  <w:style w:type="paragraph" w:styleId="4">
    <w:name w:val="header"/>
    <w:basedOn w:val="1"/>
    <w:link w:val="7"/>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7">
    <w:name w:val="页眉 Char"/>
    <w:basedOn w:val="6"/>
    <w:link w:val="4"/>
    <w:qFormat/>
    <w:uiPriority w:val="99"/>
    <w:rPr>
      <w:sz w:val="18"/>
      <w:szCs w:val="18"/>
    </w:rPr>
  </w:style>
  <w:style w:type="character" w:customStyle="1" w:styleId="8">
    <w:name w:val="页脚 Char"/>
    <w:basedOn w:val="6"/>
    <w:link w:val="3"/>
    <w:qFormat/>
    <w:uiPriority w:val="99"/>
    <w:rPr>
      <w:sz w:val="18"/>
      <w:szCs w:val="18"/>
    </w:rPr>
  </w:style>
  <w:style w:type="paragraph" w:customStyle="1" w:styleId="9">
    <w:name w:val="[Normal]"/>
    <w:qFormat/>
    <w:uiPriority w:val="0"/>
    <w:rPr>
      <w:rFonts w:ascii="宋体" w:hAnsi="宋体" w:eastAsia="宋体" w:cs="Times New Roman"/>
      <w:sz w:val="24"/>
      <w:lang w:val="en-US" w:eastAsia="en-US" w:bidi="ar-SA"/>
    </w:rPr>
  </w:style>
  <w:style w:type="paragraph" w:customStyle="1" w:styleId="1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1</Pages>
  <Words>373</Words>
  <Characters>373</Characters>
  <Lines>3</Lines>
  <Paragraphs>1</Paragraphs>
  <TotalTime>3</TotalTime>
  <ScaleCrop>false</ScaleCrop>
  <LinksUpToDate>false</LinksUpToDate>
  <CharactersWithSpaces>373</CharactersWithSpaces>
  <Application>WPS Office_11.8.2.10195_F1E327BC-269C-435d-A152-05C5408002CA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2019-11-15T00:58:00Z</dcterms:created>
  <dc:creator>user</dc:creator>
  <cp:lastModifiedBy>uos</cp:lastModifiedBy>
  <cp:lastPrinted>2021-02-25T05:43:00Z</cp:lastPrinted>
  <dcterms:modified xsi:type="dcterms:W3CDTF">2024-05-27T09:50:32Z</dcterms:modified>
  <dc:title>附件2：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2052-11.8.2.10195</vt:lpwstr>
  </property>
  <property fmtid="{D5CDD505-2E9C-101B-9397-08002B2CF9AE}" pid="3" name="ICV">
    <vt:lpwstr>28C64EFCB758481798A31117B3E7B5E3</vt:lpwstr>
  </property>
</Properties>
</file>