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藁城区委政法委</w:t>
      </w:r>
      <w:r>
        <w:rPr>
          <w:rFonts w:hint="eastAsia" w:ascii="方正小标宋简体" w:hAnsi="方正小标宋简体" w:eastAsia="方正小标宋简体" w:cs="方正小标宋简体"/>
          <w:b w:val="0"/>
          <w:bCs w:val="0"/>
          <w:sz w:val="44"/>
          <w:szCs w:val="44"/>
        </w:rPr>
        <w:t>部门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则，对区委政法委部门202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3"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b/>
          <w:bCs/>
          <w:sz w:val="32"/>
          <w:szCs w:val="32"/>
          <w:lang w:val="en-US" w:eastAsia="zh-CN"/>
        </w:rPr>
        <w:t>1、藁城区委政法委的主要职责是</w:t>
      </w:r>
      <w:r>
        <w:rPr>
          <w:rFonts w:hint="eastAsia" w:ascii="仿宋" w:hAnsi="仿宋" w:eastAsia="仿宋" w:cs="宋体"/>
          <w:sz w:val="32"/>
          <w:szCs w:val="32"/>
          <w:lang w:val="en-US"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default" w:ascii="仿宋" w:hAnsi="仿宋" w:eastAsia="仿宋" w:cs="宋体"/>
          <w:sz w:val="32"/>
          <w:szCs w:val="32"/>
          <w:lang w:val="en-US" w:eastAsia="zh-CN"/>
        </w:rPr>
      </w:pPr>
      <w:r>
        <w:rPr>
          <w:rFonts w:hint="eastAsia" w:ascii="仿宋" w:hAnsi="仿宋" w:eastAsia="仿宋" w:cs="宋体"/>
          <w:sz w:val="32"/>
          <w:szCs w:val="32"/>
          <w:lang w:val="en-US" w:eastAsia="zh-CN"/>
        </w:rPr>
        <w:t>一是深入贯彻习近平新时代中国特色社会主义思想，坚持党对政法工作的绝对领导，坚决维护习近平总书记党中央的核心、全党的核心地位，坚决维护党中央权威和集中统一领导，深入贯彻党的路线方针政策和中央和省委、市委及区委的决策部署，统一全区政法单位思想和行动，确保政法单位坚定正确的政治方向。</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二是对全区政法工作研究提出全局性部署，推进平安藁城和法治藁城建设，加强过硬队伍建设，深化智能化建设，坚决维护国家政治安全、确保社会大局稳定、促进社会公平正义、保障人民安居乐业。</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三是了解掌握和分析研判政法工作情况动态，分析社会稳定形势，创新完善多部门参与的综治维稳工作机制，协调推动预防、化解影响稳定的社会矛盾和风险，协调应对和处置重大突发事件。</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四是加强对政法工作的督查，统筹协调社会治安综合治理、维护社会稳定、反邪教有关法律法规政策实施工作。</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五是组织开展政法领域的调查研究，研究拟订政法工作的重大措施，及时向区委提出建议。</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六是掌握分析政法舆情动态，指导协调政法单位媒体网络宣传工作，指导政法单位做好涉及政法工作的重大宣传工作。</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七是监督和支持政法单位依法行使职权，指导和协调政法单位密切配合，研究和协调重大、疑难案件，指导政法单位涉法涉诉信访工作，推进严格执法、公正司法。</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八是组织研究政法改革中带有方向性、倾向性和普遍性的重大问题，深化政法改革，联系区委全面依法治区委员会办公室。</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九是指导推动政法系统党的建设和政法队伍建设，协调和指导全区见义勇为工作。</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十是统筹推动金区政法系统信息化工作，指导政法智能化建设。</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Times New Roman"/>
          <w:kern w:val="2"/>
          <w:sz w:val="32"/>
          <w:szCs w:val="32"/>
          <w:lang w:val="en-US" w:eastAsia="zh-CN" w:bidi="ar-SA"/>
        </w:rPr>
      </w:pPr>
      <w:r>
        <w:rPr>
          <w:rFonts w:hint="eastAsia" w:ascii="仿宋" w:hAnsi="仿宋" w:eastAsia="仿宋" w:cs="宋体"/>
          <w:sz w:val="32"/>
          <w:szCs w:val="32"/>
          <w:lang w:val="en-US" w:eastAsia="zh-CN"/>
        </w:rPr>
        <w:t>十一是完成市委政法委员会、区委交办的其他任务。</w:t>
      </w:r>
    </w:p>
    <w:p>
      <w:pPr>
        <w:pStyle w:val="6"/>
        <w:keepNext w:val="0"/>
        <w:keepLines w:val="0"/>
        <w:pageBreakBefore w:val="0"/>
        <w:kinsoku/>
        <w:wordWrap/>
        <w:overflowPunct/>
        <w:topLinePunct w:val="0"/>
        <w:autoSpaceDE/>
        <w:autoSpaceDN/>
        <w:bidi w:val="0"/>
        <w:spacing w:before="0" w:beforeAutospacing="0" w:after="0" w:afterAutospacing="0" w:line="560" w:lineRule="exact"/>
        <w:ind w:leftChars="100" w:firstLine="643" w:firstLineChars="200"/>
        <w:textAlignment w:val="auto"/>
        <w:rPr>
          <w:rFonts w:hint="eastAsia" w:ascii="仿宋" w:hAnsi="仿宋" w:eastAsia="仿宋" w:cs="Times New Roman"/>
          <w:b/>
          <w:bCs/>
          <w:kern w:val="2"/>
          <w:sz w:val="32"/>
          <w:szCs w:val="32"/>
          <w:lang w:val="en-US" w:eastAsia="zh-CN" w:bidi="ar-SA"/>
        </w:rPr>
      </w:pPr>
      <w:r>
        <w:rPr>
          <w:rFonts w:hint="eastAsia" w:ascii="仿宋" w:hAnsi="仿宋" w:eastAsia="仿宋" w:cs="Times New Roman"/>
          <w:b/>
          <w:bCs/>
          <w:kern w:val="2"/>
          <w:sz w:val="32"/>
          <w:szCs w:val="32"/>
          <w:lang w:val="en-US" w:eastAsia="zh-CN" w:bidi="ar-SA"/>
        </w:rPr>
        <w:t>2、机构设置</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default" w:ascii="仿宋" w:hAnsi="仿宋" w:eastAsia="仿宋" w:cs="宋体"/>
          <w:sz w:val="32"/>
          <w:szCs w:val="32"/>
          <w:lang w:val="en-US" w:eastAsia="zh-CN"/>
        </w:rPr>
      </w:pPr>
      <w:r>
        <w:rPr>
          <w:rFonts w:hint="eastAsia" w:ascii="仿宋" w:hAnsi="仿宋" w:eastAsia="仿宋" w:cs="宋体"/>
          <w:sz w:val="32"/>
          <w:szCs w:val="32"/>
          <w:lang w:val="en-US" w:eastAsia="zh-CN"/>
        </w:rPr>
        <w:t>藁城区委政法委为区委领导政法工作的职能部门，机构规格正科级，单位性质为行政，资金保障形式为财政拨款。行政编制21人，事业编制18人。领导职数4个，常务副书记一名，副书记两名，政治处主任一名，内设行政股室7个，分别是执法监督股、信访股、综治督导股、基层社会治理股、维稳指导科、办公室、组织宣传和队伍建设股，8个行政股级（包括政治处副主任），事业股室一个--石家庄市藁城区政法网络中心。设事业股级一个，副股一个，区扫黑办设在本委机关，经费由区委政法委代管。2023年年底实有在职人员29人。</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rPr>
      </w:pPr>
      <w:r>
        <w:rPr>
          <w:rFonts w:hint="eastAsia" w:ascii="仿宋" w:hAnsi="仿宋" w:eastAsia="仿宋" w:cs="宋体"/>
          <w:sz w:val="32"/>
          <w:szCs w:val="32"/>
        </w:rPr>
        <w:t>202</w:t>
      </w:r>
      <w:r>
        <w:rPr>
          <w:rFonts w:hint="eastAsia" w:ascii="仿宋" w:hAnsi="仿宋" w:eastAsia="仿宋" w:cs="宋体"/>
          <w:sz w:val="32"/>
          <w:szCs w:val="32"/>
          <w:lang w:val="en-US" w:eastAsia="zh-CN"/>
        </w:rPr>
        <w:t>3</w:t>
      </w:r>
      <w:r>
        <w:rPr>
          <w:rFonts w:hint="eastAsia" w:ascii="仿宋" w:hAnsi="仿宋" w:eastAsia="仿宋" w:cs="宋体"/>
          <w:sz w:val="32"/>
          <w:szCs w:val="32"/>
        </w:rPr>
        <w:t>年部门决算收支完成情况如下：</w:t>
      </w:r>
    </w:p>
    <w:p>
      <w:pPr>
        <w:pStyle w:val="13"/>
        <w:ind w:firstLine="640"/>
        <w:rPr>
          <w:rFonts w:hint="eastAsia"/>
        </w:rPr>
      </w:pPr>
      <w:bookmarkStart w:id="0" w:name="_Hlk133158199"/>
      <w:r>
        <w:rPr>
          <w:rFonts w:hint="eastAsia" w:ascii="仿宋_GB2312" w:hAnsi="宋体" w:eastAsia="仿宋_GB2312" w:cs="宋体"/>
          <w:kern w:val="0"/>
          <w:sz w:val="32"/>
          <w:szCs w:val="32"/>
        </w:rPr>
        <w:t>（1）预算情况</w:t>
      </w:r>
      <w:bookmarkEnd w:id="0"/>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2023年预算收入1130.43万元，其中：一般公共预算收入1130.43万元，基金预算收入0万元，财政专户核拨收入0万元，其他来源收入0万元。2023年部门支出预算为1130.43万元，其中基本支出546.59万元，包括人员经费507.68万元和日常公用经费38.91万元；项目支出583.84万元，其中“雪亮工程”维护费7.52万元，打击处置“全</w:t>
      </w:r>
      <w:bookmarkStart w:id="2" w:name="_GoBack"/>
      <w:bookmarkEnd w:id="2"/>
      <w:r>
        <w:rPr>
          <w:rFonts w:hint="eastAsia" w:ascii="仿宋_GB2312" w:hAnsi="宋体" w:eastAsia="仿宋_GB2312" w:cs="宋体"/>
          <w:kern w:val="0"/>
          <w:sz w:val="32"/>
          <w:szCs w:val="32"/>
          <w:lang w:val="en-US" w:eastAsia="zh-CN" w:bidi="ar-SA"/>
        </w:rPr>
        <w:t>能神”邪教组织专项经费5万元、调解服务经费31万元、精神障碍患者监护人责任保险27.03万元、两会期间铁路护路雇佣人员补助13万元、扫黑除恶工作经费17万元、涉法涉诉专项资金20万元、社会矛盾纠纷多元化解中心项目建设158.53万元、网格化服务管理经费100万元、网格员手机APP服务费52.97万元、维稳工作经费10万元、严重精神障碍患者监护人以奖代补21.12万元、政法四级网维保费50万元、政法网运行维护经费16.8万元、专职铁路护路队员工资3.97万元、综治工作经费40万元、综治中心运行费9.9万元。</w:t>
      </w:r>
    </w:p>
    <w:p>
      <w:pPr>
        <w:pStyle w:val="13"/>
        <w:ind w:firstLine="640"/>
        <w:rPr>
          <w:rFonts w:hint="eastAsia"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rPr>
        <w:t>（</w:t>
      </w:r>
      <w:r>
        <w:rPr>
          <w:rFonts w:ascii="仿宋_GB2312" w:hAnsi="宋体" w:eastAsia="仿宋_GB2312" w:cs="宋体"/>
          <w:kern w:val="0"/>
          <w:sz w:val="32"/>
          <w:szCs w:val="32"/>
        </w:rPr>
        <w:t>2</w:t>
      </w:r>
      <w:r>
        <w:rPr>
          <w:rFonts w:hint="eastAsia" w:ascii="仿宋_GB2312" w:hAnsi="宋体" w:eastAsia="仿宋_GB2312" w:cs="宋体"/>
          <w:kern w:val="0"/>
          <w:sz w:val="32"/>
          <w:szCs w:val="32"/>
        </w:rPr>
        <w:t>）决算情况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2023年预算收入1143.81万元，其中：一般公共预算收入1143.81万元，基金预算收入0万元，财政专户核拨收入0万元，其他来源收入0万元。2023年部门支出预算为1143.81万元，其中基本支出501.66万元，包括人员经费463.93万元和日常公用经费37.73万元；项目支出642.15万元，其中扫黑除恶工作经费4.0054万元、专职铁路护路队员工资3.97万元、维稳工作经费2.9064万元、综治中心运行费9.1万元、调解服务经费28.02545万元、打击处置“全能神”邪教组织专项经费0.8万元、“雪亮工程”维护费5.264万元、综治工作经费17.96491万元、两会期间铁路护路雇佣人员补助7.872万元、网格化服务管理经费59.34万元、涉法涉诉专项资金5万元、严重精神障碍患者监护人以奖代补17.08万元、精神障碍患者监护人责任保险27.03万元、网格员手机APP服务费政法四级网维保费24.3万元、社会矛盾纠纷多元化解中心项目建设131.167、石财行[2023]33号 市财政局下达的社会治安综合治理专项经费2.5万元、石财行[2023]17号 市财政局下达的涉法涉诉工作经费10万元、石平安字[2023]1号 关于2022年度县乡村平安建设先进单位工作经费164.9908万元、信访维稳工作经费35万元、党的二十大期间铁路护路工作经费17.439万元、铁路护路服务工作经费39.724万元。</w:t>
      </w:r>
    </w:p>
    <w:p>
      <w:pPr>
        <w:pStyle w:val="2"/>
        <w:numPr>
          <w:ilvl w:val="0"/>
          <w:numId w:val="0"/>
        </w:numPr>
        <w:rPr>
          <w:rFonts w:hint="eastAsia"/>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以习近平新时代中国特色社会主义思想和党的二十大精神为指导，持续把防范化解重大风险贯穿2023年工作始终，围绕服务和保障省会高质量发展，着力抓好司法改革、维护稳定、扫黑除恶、司法公正、社会治安综合治理、政法党建等重点工作，不断深化平安藁城建设、法治藁城建设、过硬队伍建设和政法智能化建设，不断提高人民群众的获得感、幸福感、安全感。</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default" w:ascii="仿宋" w:hAnsi="仿宋" w:eastAsia="仿宋" w:cs="宋体"/>
          <w:sz w:val="32"/>
          <w:szCs w:val="32"/>
          <w:lang w:val="en-US" w:eastAsia="zh-CN"/>
        </w:rPr>
      </w:pPr>
      <w:r>
        <w:rPr>
          <w:rFonts w:hint="eastAsia" w:ascii="仿宋" w:hAnsi="仿宋" w:eastAsia="仿宋" w:cs="仿宋"/>
          <w:sz w:val="32"/>
          <w:szCs w:val="32"/>
          <w:highlight w:val="none"/>
          <w:lang w:val="en-US" w:eastAsia="zh-CN"/>
        </w:rPr>
        <w:t>为深入贯彻落实中共中央、国务院《关于全面实施预算绩效管理的意见》文件精神,根据石家庄市财政局《石家庄市市级部门预算绩效管理工作考核办法（试行）》的通知精神，强化预算支出责任，提高财政资金支出绩效，我部门严格对照预算文本中制定的部门整体绩效目标，提早部署、分解任务、压实责任、严肃考评。</w:t>
      </w:r>
      <w:r>
        <w:rPr>
          <w:rFonts w:hint="eastAsia" w:ascii="仿宋" w:hAnsi="仿宋" w:eastAsia="仿宋" w:cs="仿宋"/>
          <w:sz w:val="32"/>
          <w:szCs w:val="32"/>
          <w:lang w:val="en-US" w:eastAsia="zh-CN"/>
        </w:rPr>
        <w:t>按照《藁城区财政局关于开展2024年专项项目绩效自评工作的通知》要求，我部门高度重视绩效自评工作，成立了绩效评估工作小组，由区委政法委常务副书记王利国同志任组长，</w:t>
      </w:r>
      <w:r>
        <w:rPr>
          <w:rFonts w:hint="eastAsia" w:ascii="仿宋_GB2312" w:hAnsi="仿宋_GB2312" w:eastAsia="仿宋_GB2312" w:cs="仿宋_GB2312"/>
          <w:sz w:val="32"/>
          <w:szCs w:val="32"/>
          <w:lang w:eastAsia="zh-CN"/>
        </w:rPr>
        <w:t>分管</w:t>
      </w:r>
      <w:r>
        <w:rPr>
          <w:rFonts w:hint="eastAsia" w:ascii="仿宋_GB2312" w:hAnsi="仿宋_GB2312" w:eastAsia="仿宋_GB2312" w:cs="仿宋_GB2312"/>
          <w:sz w:val="32"/>
          <w:szCs w:val="32"/>
          <w:lang w:val="en-US" w:eastAsia="zh-CN"/>
        </w:rPr>
        <w:t>具体</w:t>
      </w:r>
      <w:r>
        <w:rPr>
          <w:rFonts w:hint="eastAsia" w:ascii="仿宋_GB2312" w:hAnsi="仿宋_GB2312" w:eastAsia="仿宋_GB2312" w:cs="仿宋_GB2312"/>
          <w:sz w:val="32"/>
          <w:szCs w:val="32"/>
          <w:lang w:eastAsia="zh-CN"/>
        </w:rPr>
        <w:t>业务负责</w:t>
      </w:r>
      <w:r>
        <w:rPr>
          <w:rFonts w:hint="eastAsia" w:ascii="仿宋_GB2312" w:hAnsi="仿宋_GB2312" w:eastAsia="仿宋_GB2312" w:cs="仿宋_GB2312"/>
          <w:sz w:val="32"/>
          <w:szCs w:val="32"/>
          <w:lang w:val="en-US" w:eastAsia="zh-CN"/>
        </w:rPr>
        <w:t>人张立红副书记</w:t>
      </w:r>
      <w:r>
        <w:rPr>
          <w:rFonts w:hint="eastAsia" w:ascii="仿宋" w:hAnsi="仿宋" w:eastAsia="仿宋" w:cs="仿宋"/>
          <w:sz w:val="32"/>
          <w:szCs w:val="32"/>
          <w:lang w:eastAsia="zh-CN"/>
        </w:rPr>
        <w:t>担任副组长，</w:t>
      </w:r>
      <w:r>
        <w:rPr>
          <w:rFonts w:hint="eastAsia" w:ascii="仿宋" w:hAnsi="仿宋" w:eastAsia="仿宋" w:cs="仿宋"/>
          <w:sz w:val="32"/>
          <w:szCs w:val="32"/>
          <w:lang w:val="en-US" w:eastAsia="zh-CN"/>
        </w:rPr>
        <w:t>相关股室的</w:t>
      </w:r>
      <w:r>
        <w:rPr>
          <w:rFonts w:hint="eastAsia" w:ascii="仿宋_GB2312" w:hAnsi="仿宋_GB2312" w:eastAsia="仿宋_GB2312" w:cs="仿宋_GB2312"/>
          <w:sz w:val="32"/>
          <w:szCs w:val="32"/>
          <w:lang w:val="en-US" w:eastAsia="zh-CN"/>
        </w:rPr>
        <w:t>股长</w:t>
      </w:r>
      <w:r>
        <w:rPr>
          <w:rFonts w:hint="eastAsia" w:ascii="仿宋_GB2312" w:hAnsi="仿宋_GB2312" w:eastAsia="仿宋_GB2312" w:cs="仿宋_GB2312"/>
          <w:sz w:val="32"/>
          <w:szCs w:val="32"/>
          <w:lang w:eastAsia="zh-CN"/>
        </w:rPr>
        <w:t>及财务人员</w:t>
      </w:r>
      <w:r>
        <w:rPr>
          <w:rFonts w:hint="eastAsia" w:ascii="仿宋" w:hAnsi="仿宋" w:eastAsia="仿宋" w:cs="仿宋"/>
          <w:sz w:val="32"/>
          <w:szCs w:val="32"/>
          <w:lang w:eastAsia="zh-CN"/>
        </w:rPr>
        <w:t>为小组成员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对我部门的综治工作经费、维稳工作经费等23个项目进行了绩效自评，并</w:t>
      </w:r>
      <w:r>
        <w:rPr>
          <w:rFonts w:hint="eastAsia" w:ascii="仿宋_GB2312" w:hAnsi="仿宋_GB2312" w:eastAsia="仿宋_GB2312" w:cs="仿宋_GB2312"/>
          <w:sz w:val="32"/>
          <w:szCs w:val="32"/>
        </w:rPr>
        <w:t>对</w:t>
      </w:r>
      <w:r>
        <w:rPr>
          <w:rFonts w:hint="eastAsia" w:ascii="仿宋_GB2312" w:hAnsi="仿宋_GB2312" w:eastAsia="仿宋_GB2312" w:cs="仿宋_GB2312"/>
          <w:sz w:val="32"/>
          <w:szCs w:val="32"/>
          <w:lang w:eastAsia="zh-CN"/>
        </w:rPr>
        <w:t>2023</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网格员手机APP服务费资金</w:t>
      </w:r>
      <w:r>
        <w:rPr>
          <w:rFonts w:hint="eastAsia" w:ascii="仿宋_GB2312" w:hAnsi="仿宋_GB2312" w:eastAsia="仿宋_GB2312" w:cs="仿宋_GB2312"/>
          <w:sz w:val="32"/>
          <w:szCs w:val="32"/>
        </w:rPr>
        <w:t>项目财政支出的经济性、效率性及效益性进行重点评价，并针对评价内容做出分析及合理化建议</w:t>
      </w:r>
      <w:r>
        <w:rPr>
          <w:rFonts w:hint="eastAsia" w:ascii="仿宋" w:hAnsi="仿宋" w:eastAsia="仿宋" w:cs="宋体"/>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highlight w:val="none"/>
          <w:lang w:val="en-US" w:eastAsia="zh-CN"/>
        </w:rPr>
      </w:pPr>
      <w:r>
        <w:rPr>
          <w:rFonts w:hint="eastAsia" w:ascii="仿宋" w:hAnsi="仿宋" w:eastAsia="仿宋" w:cs="仿宋"/>
          <w:sz w:val="32"/>
          <w:szCs w:val="32"/>
          <w:lang w:eastAsia="zh-CN"/>
        </w:rPr>
        <w:t>我部门自评小组在</w:t>
      </w:r>
      <w:r>
        <w:rPr>
          <w:rFonts w:hint="eastAsia" w:ascii="仿宋" w:hAnsi="仿宋" w:eastAsia="仿宋" w:cs="仿宋"/>
          <w:sz w:val="32"/>
          <w:szCs w:val="32"/>
          <w:lang w:val="en-US" w:eastAsia="zh-CN"/>
        </w:rPr>
        <w:t>自评工作开展过程中多次召开专题会议，认真学习，掌握评价内容及方法，对照各实施项目的内容逐条逐项自评，将年度绩效指标分解到具体完成的工作中进行评价。</w:t>
      </w:r>
      <w:r>
        <w:rPr>
          <w:rFonts w:hint="eastAsia" w:ascii="仿宋" w:hAnsi="仿宋" w:eastAsia="仿宋" w:cs="仿宋"/>
          <w:sz w:val="32"/>
          <w:szCs w:val="32"/>
          <w:lang w:eastAsia="zh-CN"/>
        </w:rPr>
        <w:t>通过对收集、整理项目实施材料，财务提交的真实、准确的各种报表</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由项目负责人介绍项目预期绩效目标及具体实施取得的实际效果，评价小组成员集中实地检查、核实佐证材料进行评价，</w:t>
      </w:r>
      <w:r>
        <w:rPr>
          <w:rFonts w:hint="eastAsia" w:ascii="仿宋" w:hAnsi="仿宋" w:eastAsia="仿宋" w:cs="仿宋"/>
          <w:sz w:val="32"/>
          <w:szCs w:val="32"/>
          <w:lang w:val="en-US" w:eastAsia="zh-CN"/>
        </w:rPr>
        <w:t>绩效自评覆盖率达到了100% 。在评价过程中科学制定指标体系，</w:t>
      </w:r>
      <w:r>
        <w:rPr>
          <w:rFonts w:hint="eastAsia" w:ascii="仿宋" w:hAnsi="仿宋" w:eastAsia="仿宋" w:cs="仿宋"/>
          <w:sz w:val="32"/>
          <w:szCs w:val="32"/>
          <w:lang w:eastAsia="zh-CN"/>
        </w:rPr>
        <w:t>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若被评价项目不涉及服务对象满意度内容或因服务对象满意度获取难度较大、成本较高而未能获取，则服务对象满意度的10分调入绩效考核事项。二、三级指标所占权重应当根据指标重要程度、项目实施阶段等因素综合确定，准确反映预算项目的产出和效果。同类评价对象的指标权重设置应当基本一致，便于评价结果相互比较。</w:t>
      </w:r>
      <w:r>
        <w:rPr>
          <w:rFonts w:hint="eastAsia" w:ascii="仿宋" w:hAnsi="仿宋" w:eastAsia="仿宋" w:cs="宋体"/>
          <w:sz w:val="32"/>
          <w:szCs w:val="32"/>
          <w:highlight w:val="none"/>
          <w:lang w:val="en-US" w:eastAsia="zh-CN"/>
        </w:rPr>
        <w:t>根据绩效评价的要求，项目各主管领导签批明确意见推动工作落实，各股室对分管项目资金结合自身工作将产出指标、效果指标、满意度指标等分解到具体完成的工作中进行客观、公正评价，真实反映资金使用效益，绩效自评覆盖率达到了100% 。我委共有项目23个，涉及资金642.15万元为一般公共预算项目，</w:t>
      </w:r>
      <w:r>
        <w:rPr>
          <w:rFonts w:hint="eastAsia" w:ascii="仿宋" w:hAnsi="仿宋" w:eastAsia="仿宋" w:cs="仿宋"/>
          <w:sz w:val="32"/>
          <w:szCs w:val="32"/>
          <w:highlight w:val="none"/>
        </w:rPr>
        <w:t>通过部门项目绩效自评小组集中评审，</w:t>
      </w:r>
      <w:r>
        <w:rPr>
          <w:rFonts w:hint="eastAsia" w:ascii="仿宋" w:hAnsi="仿宋" w:eastAsia="仿宋" w:cs="仿宋"/>
          <w:sz w:val="32"/>
          <w:szCs w:val="32"/>
          <w:highlight w:val="none"/>
          <w:lang w:eastAsia="zh-CN"/>
        </w:rPr>
        <w:t>我</w:t>
      </w:r>
      <w:r>
        <w:rPr>
          <w:rFonts w:hint="eastAsia" w:ascii="仿宋" w:hAnsi="仿宋" w:eastAsia="仿宋" w:cs="仿宋"/>
          <w:sz w:val="32"/>
          <w:szCs w:val="32"/>
          <w:highlight w:val="none"/>
        </w:rPr>
        <w:t>部门开展的项目评价等级均达到优。</w:t>
      </w:r>
    </w:p>
    <w:p>
      <w:pPr>
        <w:pStyle w:val="2"/>
        <w:numPr>
          <w:ilvl w:val="0"/>
          <w:numId w:val="0"/>
        </w:numPr>
        <w:ind w:leftChars="200"/>
        <w:rPr>
          <w:rFonts w:hint="eastAsia"/>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adjustRightInd w:val="0"/>
        <w:snapToGrid w:val="0"/>
        <w:spacing w:line="360" w:lineRule="auto"/>
        <w:ind w:firstLine="640" w:firstLineChars="200"/>
        <w:rPr>
          <w:rFonts w:hint="eastAsia" w:ascii="黑体" w:hAnsi="黑体" w:eastAsia="黑体" w:cs="黑体"/>
          <w:sz w:val="32"/>
          <w:szCs w:val="32"/>
          <w:lang w:val="en-US" w:eastAsia="zh-CN"/>
        </w:rPr>
      </w:pPr>
      <w:r>
        <w:rPr>
          <w:rFonts w:hint="eastAsia" w:ascii="仿宋" w:hAnsi="仿宋" w:eastAsia="仿宋" w:cs="宋体"/>
          <w:sz w:val="32"/>
          <w:szCs w:val="32"/>
          <w:lang w:val="en-US" w:eastAsia="zh-CN"/>
        </w:rPr>
        <w:t>以习近平新时代中国特色社会主义思想和党的二十大精神为指导，持续把防范化解重大风险贯穿2023年工作始终，围绕服务和保障省会高质量发展，着力抓好司法改革、维护稳定、扫黑除恶、司法公正、社会治安综合治理、政法党建等重点工作，不断深化平安藁城建设、法治藁城建设、过硬队伍建设和政法智能化建设，不断提高人民群众的获得感、幸福感、安全感。一年来，我委</w:t>
      </w:r>
      <w:r>
        <w:rPr>
          <w:rFonts w:hint="eastAsia" w:ascii="仿宋_GB2312" w:hAnsi="仿宋_GB2312" w:eastAsia="仿宋_GB2312" w:cs="仿宋_GB2312"/>
          <w:sz w:val="32"/>
          <w:szCs w:val="32"/>
          <w:vertAlign w:val="baseline"/>
          <w:lang w:val="en-US" w:eastAsia="zh-CN"/>
        </w:rPr>
        <w:t>围绕中心，服务大局，以一往无前的奋斗姿态和风雨无阻的精神状态，始终担责在肩、冲锋在前、</w:t>
      </w:r>
      <w:r>
        <w:rPr>
          <w:rFonts w:hint="eastAsia" w:ascii="仿宋_GB2312" w:hAnsi="仿宋_GB2312" w:eastAsia="仿宋_GB2312" w:cs="仿宋_GB2312"/>
          <w:bCs/>
          <w:color w:val="000000"/>
          <w:sz w:val="32"/>
          <w:szCs w:val="32"/>
          <w:lang w:eastAsia="zh-CN"/>
        </w:rPr>
        <w:t>上下一心，</w:t>
      </w:r>
      <w:r>
        <w:rPr>
          <w:rFonts w:hint="eastAsia" w:ascii="仿宋_GB2312" w:hAnsi="仿宋_GB2312" w:eastAsia="仿宋_GB2312" w:cs="仿宋_GB2312"/>
          <w:sz w:val="32"/>
          <w:szCs w:val="32"/>
          <w:u w:val="none" w:color="auto"/>
          <w:lang w:val="en-US" w:eastAsia="zh-CN"/>
        </w:rPr>
        <w:t>为藁城经济社会发展做出了政法贡献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2023年度</w:t>
      </w:r>
      <w:r>
        <w:rPr>
          <w:rFonts w:ascii="仿宋_GB2312" w:hAnsi="仿宋_GB2312" w:eastAsia="仿宋_GB2312" w:cs="宋体"/>
          <w:sz w:val="32"/>
          <w:szCs w:val="32"/>
        </w:rPr>
        <w:t>每个项目目标完成情况的总体完成率均为</w:t>
      </w:r>
      <w:r>
        <w:rPr>
          <w:rFonts w:hint="eastAsia" w:ascii="仿宋_GB2312" w:hAnsi="仿宋_GB2312" w:eastAsia="仿宋_GB2312" w:cs="宋体"/>
          <w:sz w:val="32"/>
          <w:szCs w:val="32"/>
        </w:rPr>
        <w:t>100%；根据项目产出指标、效益指标、满意度指标的平分结果，评价等级均为优。</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宋体"/>
          <w:b/>
          <w:bCs/>
          <w:sz w:val="32"/>
          <w:szCs w:val="32"/>
          <w:lang w:val="en-US" w:eastAsia="zh-CN"/>
        </w:rPr>
      </w:pPr>
      <w:r>
        <w:rPr>
          <w:rFonts w:hint="eastAsia" w:ascii="楷体" w:hAnsi="楷体" w:eastAsia="楷体" w:cs="楷体"/>
          <w:sz w:val="32"/>
          <w:szCs w:val="32"/>
          <w:lang w:val="en-US" w:eastAsia="zh-CN"/>
        </w:rPr>
        <w:t>政治引领，构建党管政法总揽协调体系</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扎实开展主题教育工作。</w:t>
      </w:r>
      <w:r>
        <w:rPr>
          <w:rFonts w:hint="eastAsia" w:ascii="仿宋_GB2312" w:hAnsi="仿宋_GB2312" w:eastAsia="仿宋_GB2312" w:cs="仿宋_GB2312"/>
          <w:sz w:val="32"/>
          <w:szCs w:val="32"/>
          <w:lang w:val="en-US" w:eastAsia="zh-CN"/>
        </w:rPr>
        <w:t>坚持理论学习、干事创业、检视整改等措施一体推进，深入研读指定书目，拓展学习其他主题教育学习书籍，组织开展“凝心铸魂筑牢根本”“锤炼品格强化忠诚”等主题党日活动、“喜迎国庆，双争有我”主题朗诵比赛，围绕干事创业“四个一批”“四下基层”8个方面共解决问题17个，提出工作措施24条，取得了较为明显的工作成效。</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严格落实党内各项制度。</w:t>
      </w:r>
      <w:r>
        <w:rPr>
          <w:rFonts w:hint="eastAsia" w:ascii="仿宋_GB2312" w:hAnsi="仿宋_GB2312" w:eastAsia="仿宋_GB2312" w:cs="仿宋_GB2312"/>
          <w:sz w:val="32"/>
          <w:szCs w:val="32"/>
          <w:lang w:val="en-US" w:eastAsia="zh-CN"/>
        </w:rPr>
        <w:t>严抓《关于新形势下党内政治生活的若干准则》的执行力度，抓“关键少数”，以上率下，增强党内政治生活的政治性、时代性、原则性、战斗性。严格执行请示报告制度，今年以来政法各单位党委（党组）共请示报告8次，党管方向、把大局要求得到进一步落实。</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全面加强党风廉政建设。</w:t>
      </w:r>
      <w:r>
        <w:rPr>
          <w:rFonts w:hint="eastAsia" w:ascii="仿宋_GB2312" w:hAnsi="仿宋_GB2312" w:eastAsia="仿宋_GB2312" w:cs="仿宋_GB2312"/>
          <w:sz w:val="32"/>
          <w:szCs w:val="32"/>
          <w:lang w:val="en-US" w:eastAsia="zh-CN"/>
        </w:rPr>
        <w:t>严肃党内作风，在全区政法系统开展了“紧绷纪律之弦 筑牢自律之堤”为主题的纪律作风监督检查工作，推动全面从严管党治警向纵深发展。2023年以来，共开展纪律作风督查18次，政法干警工作作风得到明显改变，纪律意识进一步增强。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lang w:val="en-US" w:eastAsia="zh-CN"/>
        </w:rPr>
      </w:pPr>
      <w:r>
        <w:rPr>
          <w:rFonts w:hint="eastAsia" w:ascii="仿宋_GB2312" w:hAnsi="仿宋_GB2312" w:eastAsia="仿宋_GB2312" w:cs="仿宋_GB2312"/>
          <w:sz w:val="32"/>
          <w:szCs w:val="32"/>
          <w:lang w:val="en-US" w:eastAsia="zh-CN"/>
        </w:rPr>
        <w:t>2、</w:t>
      </w:r>
      <w:r>
        <w:rPr>
          <w:rFonts w:hint="eastAsia" w:ascii="楷体" w:hAnsi="楷体" w:eastAsia="楷体" w:cs="楷体"/>
          <w:sz w:val="32"/>
          <w:szCs w:val="32"/>
          <w:lang w:val="en-US" w:eastAsia="zh-CN"/>
        </w:rPr>
        <w:t>稳定为要，有效防范化解各类风险挑战</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防范化解政治安全风险。</w:t>
      </w:r>
      <w:r>
        <w:rPr>
          <w:rFonts w:hint="eastAsia" w:ascii="仿宋_GB2312" w:hAnsi="仿宋_GB2312" w:eastAsia="仿宋_GB2312" w:cs="仿宋_GB2312"/>
          <w:sz w:val="32"/>
          <w:szCs w:val="32"/>
          <w:lang w:eastAsia="zh-CN"/>
        </w:rPr>
        <w:t>制定</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关于进一步做好政治安全领域风险隐患排查处置工作的通知</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《关于开展“维护国家政治安全基层基础建设年”活动的通知》等一系列文件，每月组织各乡镇开展政治安全风险隐患排查处置工作，推动维护国家政治安全工作向基层延伸。</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强化涉稳风险稳控化解。</w:t>
      </w:r>
      <w:r>
        <w:rPr>
          <w:rFonts w:hint="eastAsia" w:ascii="仿宋_GB2312" w:hAnsi="仿宋_GB2312" w:eastAsia="仿宋_GB2312" w:cs="仿宋_GB2312"/>
          <w:sz w:val="32"/>
          <w:szCs w:val="32"/>
          <w:lang w:val="en-US" w:eastAsia="zh-CN"/>
        </w:rPr>
        <w:t>组织开展10次社会稳定风险评估，</w:t>
      </w:r>
      <w:r>
        <w:rPr>
          <w:rFonts w:hint="eastAsia" w:ascii="仿宋_GB2312" w:hAnsi="仿宋_GB2312" w:eastAsia="仿宋_GB2312" w:cs="仿宋_GB2312"/>
          <w:sz w:val="32"/>
          <w:szCs w:val="32"/>
          <w:lang w:eastAsia="zh-CN"/>
        </w:rPr>
        <w:t>密切关注金融、房地产、医疗卫生、交通运输等领域的重点群体、重点人员动向，教育稳控</w:t>
      </w:r>
      <w:r>
        <w:rPr>
          <w:rFonts w:hint="eastAsia" w:ascii="仿宋_GB2312" w:hAnsi="仿宋_GB2312" w:eastAsia="仿宋_GB2312" w:cs="仿宋_GB2312"/>
          <w:sz w:val="32"/>
          <w:szCs w:val="32"/>
          <w:lang w:val="en-US" w:eastAsia="zh-CN"/>
        </w:rPr>
        <w:t>101批，340</w:t>
      </w:r>
      <w:r>
        <w:rPr>
          <w:rFonts w:hint="eastAsia" w:ascii="仿宋_GB2312" w:hAnsi="仿宋_GB2312" w:eastAsia="仿宋_GB2312" w:cs="仿宋_GB2312"/>
          <w:sz w:val="32"/>
          <w:szCs w:val="32"/>
          <w:lang w:eastAsia="zh-CN"/>
        </w:rPr>
        <w:t>人次。</w:t>
      </w:r>
      <w:r>
        <w:rPr>
          <w:rFonts w:hint="eastAsia" w:ascii="仿宋_GB2312" w:hAnsi="仿宋_GB2312" w:eastAsia="仿宋_GB2312" w:cs="仿宋_GB2312"/>
          <w:sz w:val="32"/>
          <w:szCs w:val="32"/>
          <w:lang w:val="en-US" w:eastAsia="zh-CN"/>
        </w:rPr>
        <w:t>预防和处置群体性事件，制定印发了《群体性聚集维权风险“大排查、大整治”专项活动实施方案》，</w:t>
      </w:r>
      <w:r>
        <w:rPr>
          <w:rFonts w:hint="eastAsia" w:ascii="仿宋_GB2312" w:hAnsi="仿宋_GB2312" w:eastAsia="仿宋_GB2312" w:cs="仿宋_GB2312"/>
          <w:sz w:val="32"/>
          <w:szCs w:val="32"/>
        </w:rPr>
        <w:t>全力遏制跨行业跨地区跨群体重大风险，确保不发生大规模聚集维权事件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成立</w:t>
      </w:r>
      <w:r>
        <w:rPr>
          <w:rFonts w:hint="eastAsia" w:ascii="仿宋_GB2312" w:hAnsi="仿宋_GB2312" w:eastAsia="仿宋_GB2312" w:cs="仿宋_GB2312"/>
          <w:sz w:val="32"/>
          <w:szCs w:val="32"/>
          <w:lang w:eastAsia="zh-CN"/>
        </w:rPr>
        <w:t>医疗纠纷调解处置专班，预防和妥善处理医疗纠纷，保障医疗程序运行。</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打好线上阵地主动仗。</w:t>
      </w:r>
      <w:r>
        <w:rPr>
          <w:rFonts w:hint="eastAsia" w:ascii="仿宋_GB2312" w:hAnsi="仿宋_GB2312" w:eastAsia="仿宋_GB2312" w:cs="仿宋_GB2312"/>
          <w:sz w:val="32"/>
          <w:szCs w:val="32"/>
          <w:lang w:val="en-US" w:eastAsia="zh-CN"/>
        </w:rPr>
        <w:t>强化宣传树形象，累计</w:t>
      </w:r>
      <w:r>
        <w:rPr>
          <w:rFonts w:hint="eastAsia" w:ascii="仿宋_GB2312" w:hAnsi="仿宋_GB2312" w:eastAsia="仿宋_GB2312" w:cs="仿宋_GB2312"/>
          <w:kern w:val="2"/>
          <w:sz w:val="32"/>
          <w:szCs w:val="32"/>
          <w:lang w:val="en-US" w:eastAsia="zh-CN" w:bidi="ar-SA"/>
        </w:rPr>
        <w:t>在各级媒体发表文章45篇，其中长安评论发表稿件2篇（</w:t>
      </w:r>
      <w:r>
        <w:rPr>
          <w:rFonts w:hint="eastAsia" w:ascii="仿宋_GB2312" w:hAnsi="仿宋_GB2312" w:eastAsia="仿宋_GB2312" w:cs="仿宋_GB2312"/>
          <w:b w:val="0"/>
          <w:bCs/>
          <w:color w:val="auto"/>
          <w:sz w:val="32"/>
          <w:szCs w:val="32"/>
          <w:lang w:val="en-US" w:eastAsia="zh-CN"/>
        </w:rPr>
        <w:t>中央政法委主管长安实践刊登我区基层治理先进经验文章《多元化解促治理》《藁城区激发基层治理新动能》</w:t>
      </w:r>
      <w:r>
        <w:rPr>
          <w:rFonts w:hint="eastAsia" w:ascii="仿宋_GB2312" w:hAnsi="仿宋_GB2312" w:eastAsia="仿宋_GB2312" w:cs="仿宋_GB2312"/>
          <w:kern w:val="2"/>
          <w:sz w:val="32"/>
          <w:szCs w:val="32"/>
          <w:lang w:val="en-US" w:eastAsia="zh-CN" w:bidi="ar-SA"/>
        </w:rPr>
        <w:t>），省级媒体所属网络平台发表稿件15篇，积极</w:t>
      </w:r>
      <w:r>
        <w:rPr>
          <w:rFonts w:hint="eastAsia" w:ascii="仿宋_GB2312" w:hAnsi="仿宋_GB2312" w:eastAsia="仿宋_GB2312" w:cs="仿宋_GB2312"/>
          <w:sz w:val="32"/>
          <w:szCs w:val="32"/>
          <w:lang w:val="en-US" w:eastAsia="zh-CN"/>
        </w:rPr>
        <w:t>传递藁城政法声音</w:t>
      </w:r>
      <w:r>
        <w:rPr>
          <w:rFonts w:hint="eastAsia"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sz w:val="32"/>
          <w:szCs w:val="32"/>
          <w:lang w:val="en-US" w:eastAsia="zh-CN"/>
        </w:rPr>
        <w:t>落实重大涉稳舆情联动快速处置机制，</w:t>
      </w:r>
      <w:r>
        <w:rPr>
          <w:rFonts w:hint="eastAsia" w:ascii="仿宋_GB2312" w:hAnsi="仿宋_GB2312" w:eastAsia="仿宋_GB2312" w:cs="仿宋_GB2312"/>
          <w:b w:val="0"/>
          <w:bCs w:val="0"/>
          <w:sz w:val="32"/>
          <w:szCs w:val="32"/>
          <w:lang w:val="en-US" w:eastAsia="zh-CN"/>
        </w:rPr>
        <w:t>与公安、网信等部门协调配合，</w:t>
      </w:r>
      <w:r>
        <w:rPr>
          <w:rFonts w:hint="eastAsia" w:ascii="仿宋_GB2312" w:hAnsi="仿宋_GB2312" w:eastAsia="仿宋_GB2312" w:cs="仿宋_GB2312"/>
          <w:sz w:val="32"/>
          <w:szCs w:val="32"/>
          <w:lang w:val="en-US" w:eastAsia="zh-CN"/>
        </w:rPr>
        <w:t>妥善处置10起影响较大的涉稳舆情，最大限度防范和减少负面影响。</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sz w:val="32"/>
          <w:szCs w:val="32"/>
          <w:lang w:val="en-US" w:eastAsia="zh-CN"/>
        </w:rPr>
        <w:t>强化涉法涉诉信访处置。</w:t>
      </w:r>
      <w:r>
        <w:rPr>
          <w:rFonts w:hint="eastAsia" w:ascii="仿宋_GB2312" w:hAnsi="仿宋_GB2312" w:eastAsia="仿宋_GB2312" w:cs="仿宋_GB2312"/>
          <w:sz w:val="32"/>
          <w:szCs w:val="32"/>
          <w:lang w:val="en-US" w:eastAsia="zh-CN"/>
        </w:rPr>
        <w:t>开展涉法涉诉信访案件积案清仓行动，共起底交办87案，截至目前已全部化解，化解率100%；全力办理省委第十一巡视组交办我区44条问题线索，截至目前已全部办结，结案率100%，息诉罢访40案，息诉率90.91%；</w:t>
      </w:r>
      <w:r>
        <w:rPr>
          <w:rFonts w:hint="eastAsia" w:ascii="仿宋_GB2312" w:hAnsi="仿宋_GB2312" w:eastAsia="仿宋_GB2312" w:cs="仿宋_GB2312"/>
          <w:color w:val="auto"/>
          <w:sz w:val="32"/>
          <w:szCs w:val="32"/>
          <w:lang w:val="en-US" w:eastAsia="zh-CN"/>
        </w:rPr>
        <w:t>建立涉法涉诉信访疑难案件工作专班，</w:t>
      </w:r>
      <w:r>
        <w:rPr>
          <w:rFonts w:hint="eastAsia" w:ascii="仿宋_GB2312" w:hAnsi="仿宋_GB2312" w:eastAsia="仿宋_GB2312" w:cs="仿宋_GB2312"/>
          <w:color w:val="auto"/>
          <w:sz w:val="32"/>
          <w:szCs w:val="32"/>
        </w:rPr>
        <w:t>及时了解和掌握</w:t>
      </w:r>
      <w:r>
        <w:rPr>
          <w:rFonts w:hint="eastAsia" w:ascii="仿宋_GB2312" w:hAnsi="仿宋_GB2312" w:eastAsia="仿宋_GB2312" w:cs="仿宋_GB2312"/>
          <w:color w:val="auto"/>
          <w:sz w:val="32"/>
          <w:szCs w:val="32"/>
          <w:lang w:val="en-US" w:eastAsia="zh-CN"/>
        </w:rPr>
        <w:t>疑难案件化解</w:t>
      </w:r>
      <w:r>
        <w:rPr>
          <w:rFonts w:hint="eastAsia" w:ascii="仿宋_GB2312" w:hAnsi="仿宋_GB2312" w:eastAsia="仿宋_GB2312" w:cs="仿宋_GB2312"/>
          <w:color w:val="auto"/>
          <w:sz w:val="32"/>
          <w:szCs w:val="32"/>
        </w:rPr>
        <w:t>工作开展情况，帮助基层</w:t>
      </w:r>
      <w:r>
        <w:rPr>
          <w:rFonts w:hint="eastAsia" w:ascii="仿宋_GB2312" w:hAnsi="仿宋_GB2312" w:eastAsia="仿宋_GB2312" w:cs="仿宋_GB2312"/>
          <w:color w:val="auto"/>
          <w:sz w:val="32"/>
          <w:szCs w:val="32"/>
          <w:lang w:val="en-US" w:eastAsia="zh-CN"/>
        </w:rPr>
        <w:t>工作人员</w:t>
      </w:r>
      <w:r>
        <w:rPr>
          <w:rFonts w:hint="eastAsia" w:ascii="仿宋_GB2312" w:hAnsi="仿宋_GB2312" w:eastAsia="仿宋_GB2312" w:cs="仿宋_GB2312"/>
          <w:color w:val="auto"/>
          <w:sz w:val="32"/>
          <w:szCs w:val="32"/>
        </w:rPr>
        <w:t>理清工作思路、提升工作质量</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累计</w:t>
      </w:r>
      <w:r>
        <w:rPr>
          <w:rFonts w:hint="eastAsia" w:ascii="仿宋_GB2312" w:hAnsi="仿宋_GB2312" w:eastAsia="仿宋_GB2312" w:cs="仿宋_GB2312"/>
          <w:color w:val="auto"/>
          <w:sz w:val="32"/>
          <w:szCs w:val="32"/>
        </w:rPr>
        <w:t>到</w:t>
      </w:r>
      <w:r>
        <w:rPr>
          <w:rFonts w:hint="eastAsia" w:ascii="仿宋_GB2312" w:hAnsi="仿宋_GB2312" w:eastAsia="仿宋_GB2312" w:cs="仿宋_GB2312"/>
          <w:color w:val="auto"/>
          <w:sz w:val="32"/>
          <w:szCs w:val="32"/>
          <w:lang w:val="en-US" w:eastAsia="zh-CN"/>
        </w:rPr>
        <w:t>各乡镇</w:t>
      </w:r>
      <w:r>
        <w:rPr>
          <w:rFonts w:hint="eastAsia" w:ascii="仿宋_GB2312" w:hAnsi="仿宋_GB2312" w:eastAsia="仿宋_GB2312" w:cs="仿宋_GB2312"/>
          <w:color w:val="auto"/>
          <w:sz w:val="32"/>
          <w:szCs w:val="32"/>
        </w:rPr>
        <w:t>指导解决实际问题</w:t>
      </w:r>
      <w:r>
        <w:rPr>
          <w:rFonts w:hint="eastAsia" w:ascii="仿宋_GB2312" w:hAnsi="仿宋_GB2312" w:eastAsia="仿宋_GB2312" w:cs="仿宋_GB2312"/>
          <w:color w:val="auto"/>
          <w:sz w:val="32"/>
          <w:szCs w:val="32"/>
          <w:lang w:val="en-US" w:eastAsia="zh-CN"/>
        </w:rPr>
        <w:t>28</w:t>
      </w:r>
      <w:r>
        <w:rPr>
          <w:rFonts w:hint="eastAsia" w:ascii="仿宋_GB2312" w:hAnsi="仿宋_GB2312" w:eastAsia="仿宋_GB2312" w:cs="仿宋_GB2312"/>
          <w:color w:val="auto"/>
          <w:sz w:val="32"/>
          <w:szCs w:val="32"/>
        </w:rPr>
        <w:t>个。</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color w:val="000000"/>
          <w:sz w:val="32"/>
          <w:szCs w:val="32"/>
          <w:u w:val="none"/>
          <w:lang w:val="en-US" w:eastAsia="zh-CN"/>
        </w:rPr>
      </w:pPr>
      <w:r>
        <w:rPr>
          <w:rFonts w:hint="eastAsia" w:ascii="仿宋_GB2312" w:hAnsi="仿宋_GB2312" w:eastAsia="仿宋_GB2312" w:cs="仿宋_GB2312"/>
          <w:b/>
          <w:bCs/>
          <w:sz w:val="32"/>
          <w:szCs w:val="32"/>
          <w:lang w:val="en-US" w:eastAsia="zh-CN"/>
        </w:rPr>
        <w:t>常态化开展扫黑除恶斗争。</w:t>
      </w:r>
      <w:r>
        <w:rPr>
          <w:rFonts w:hint="eastAsia" w:ascii="仿宋_GB2312" w:hAnsi="仿宋_GB2312" w:eastAsia="仿宋_GB2312" w:cs="仿宋_GB2312"/>
          <w:color w:val="auto"/>
          <w:sz w:val="32"/>
          <w:szCs w:val="32"/>
          <w:lang w:val="en-US" w:eastAsia="zh-CN"/>
        </w:rPr>
        <w:t>开展教育、金融放贷、市场流通三大行业领域专项整治，共接到举报线索3条，其中1条为涉嫌非法集资，现已移交外地区协同办理，2条移交公安机关核查办理；</w:t>
      </w:r>
      <w:r>
        <w:rPr>
          <w:rFonts w:hint="eastAsia" w:ascii="仿宋_GB2312" w:hAnsi="仿宋_GB2312" w:eastAsia="仿宋_GB2312" w:cs="仿宋_GB2312"/>
          <w:sz w:val="32"/>
          <w:szCs w:val="32"/>
          <w:u w:val="none"/>
          <w:lang w:val="en-US" w:eastAsia="zh-CN"/>
        </w:rPr>
        <w:t>开展“打击村霸、打击盗采砂双打击”活动，</w:t>
      </w:r>
      <w:r>
        <w:rPr>
          <w:rFonts w:hint="eastAsia" w:ascii="仿宋_GB2312" w:hAnsi="仿宋_GB2312" w:eastAsia="仿宋_GB2312" w:cs="仿宋_GB2312"/>
          <w:color w:val="000000"/>
          <w:sz w:val="32"/>
          <w:szCs w:val="32"/>
          <w:u w:val="none"/>
          <w:lang w:val="en-US" w:eastAsia="zh-CN"/>
        </w:rPr>
        <w:t>联合区组织部，组织公、检、法共对</w:t>
      </w:r>
      <w:r>
        <w:rPr>
          <w:rFonts w:hint="eastAsia" w:ascii="仿宋_GB2312" w:hAnsi="仿宋_GB2312" w:eastAsia="仿宋_GB2312" w:cs="仿宋_GB2312"/>
          <w:color w:val="000000"/>
          <w:spacing w:val="0"/>
          <w:sz w:val="32"/>
          <w:szCs w:val="32"/>
          <w:highlight w:val="none"/>
          <w:lang w:val="en-US" w:eastAsia="zh-CN"/>
        </w:rPr>
        <w:t>村（社区）“两委”干部</w:t>
      </w:r>
      <w:r>
        <w:rPr>
          <w:rFonts w:hint="eastAsia" w:ascii="仿宋_GB2312" w:hAnsi="仿宋_GB2312" w:eastAsia="仿宋_GB2312" w:cs="仿宋_GB2312"/>
          <w:color w:val="000000"/>
          <w:sz w:val="32"/>
          <w:szCs w:val="32"/>
          <w:u w:val="none"/>
          <w:lang w:val="en-US" w:eastAsia="zh-CN"/>
        </w:rPr>
        <w:t>审查4批次1260人，进一步净化基层政治生态，筑牢基层战斗堡垒。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color w:val="000000"/>
          <w:sz w:val="32"/>
          <w:szCs w:val="32"/>
          <w:u w:val="none"/>
          <w:lang w:val="en-US" w:eastAsia="zh-CN"/>
        </w:rPr>
      </w:pPr>
      <w:r>
        <w:rPr>
          <w:rFonts w:hint="eastAsia" w:ascii="仿宋_GB2312" w:hAnsi="仿宋_GB2312" w:eastAsia="仿宋_GB2312" w:cs="仿宋_GB2312"/>
          <w:color w:val="000000"/>
          <w:sz w:val="32"/>
          <w:szCs w:val="32"/>
          <w:u w:val="none"/>
          <w:lang w:val="en-US" w:eastAsia="zh-CN"/>
        </w:rPr>
        <w:t>3、</w:t>
      </w:r>
      <w:r>
        <w:rPr>
          <w:rFonts w:hint="eastAsia" w:ascii="楷体" w:hAnsi="楷体" w:eastAsia="楷体" w:cs="楷体"/>
          <w:color w:val="000000"/>
          <w:sz w:val="32"/>
          <w:szCs w:val="32"/>
          <w:u w:val="none"/>
          <w:lang w:val="en-US" w:eastAsia="zh-CN"/>
        </w:rPr>
        <w:t>突出重点，夯实基层平安建设基础</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color w:val="000000"/>
          <w:sz w:val="32"/>
          <w:szCs w:val="32"/>
          <w:u w:val="none"/>
          <w:lang w:val="en-US" w:eastAsia="zh-CN"/>
        </w:rPr>
      </w:pPr>
      <w:r>
        <w:rPr>
          <w:rFonts w:hint="eastAsia" w:ascii="仿宋_GB2312" w:hAnsi="仿宋_GB2312" w:eastAsia="仿宋_GB2312" w:cs="仿宋_GB2312"/>
          <w:b/>
          <w:bCs/>
          <w:sz w:val="32"/>
          <w:szCs w:val="32"/>
          <w:lang w:val="en-US" w:eastAsia="zh-CN"/>
        </w:rPr>
        <w:t>提高矛盾纠纷排查化解质效。</w:t>
      </w:r>
      <w:r>
        <w:rPr>
          <w:rFonts w:hint="eastAsia" w:ascii="仿宋_GB2312" w:hAnsi="仿宋_GB2312" w:eastAsia="仿宋_GB2312" w:cs="仿宋_GB2312"/>
          <w:color w:val="000000"/>
          <w:sz w:val="32"/>
          <w:szCs w:val="32"/>
          <w:u w:val="none"/>
          <w:lang w:val="en-US" w:eastAsia="zh-CN"/>
        </w:rPr>
        <w:t>一方面重排查，发挥矛盾纠纷排查化解机制，将邻里纠纷、婚姻家庭纠纷、房屋宅基地纠纷、合同纠纷、损害赔偿纠纷等11类传统民事纠纷全部纳入视野；开展婚恋家庭类矛盾纠纷专项排查，</w:t>
      </w:r>
      <w:r>
        <w:rPr>
          <w:rFonts w:hint="eastAsia" w:ascii="仿宋_GB2312" w:hAnsi="仿宋_GB2312" w:eastAsia="仿宋_GB2312" w:cs="仿宋_GB2312"/>
          <w:color w:val="000000"/>
          <w:sz w:val="32"/>
          <w:szCs w:val="32"/>
          <w:highlight w:val="none"/>
          <w:u w:val="none"/>
          <w:shd w:val="clear" w:color="auto" w:fill="auto"/>
          <w:lang w:val="en-US" w:eastAsia="zh-CN" w:bidi="ar-SA"/>
        </w:rPr>
        <w:t>共计排查出上门女婿3588个，</w:t>
      </w:r>
      <w:r>
        <w:rPr>
          <w:rFonts w:hint="eastAsia" w:ascii="仿宋_GB2312" w:hAnsi="仿宋_GB2312" w:eastAsia="仿宋_GB2312" w:cs="仿宋_GB2312"/>
          <w:sz w:val="32"/>
          <w:szCs w:val="32"/>
          <w:lang w:val="en-US" w:eastAsia="zh-CN"/>
        </w:rPr>
        <w:t>矛盾纠纷28件，已全部化解。</w:t>
      </w:r>
      <w:r>
        <w:rPr>
          <w:rFonts w:hint="eastAsia" w:ascii="仿宋_GB2312" w:hAnsi="仿宋_GB2312" w:eastAsia="仿宋_GB2312" w:cs="仿宋_GB2312"/>
          <w:color w:val="000000"/>
          <w:sz w:val="32"/>
          <w:szCs w:val="32"/>
          <w:u w:val="none"/>
          <w:lang w:val="en-US" w:eastAsia="zh-CN"/>
        </w:rPr>
        <w:t>另一方面强化解，依托区、乡综治中心建立矛盾纠纷多元化解和“三调联动”指挥中心，充分发挥司法调解、行政调解、人民调解合力，广泛动员各类调解组织和调解员力量，受理调解案件2021件，调解成功率</w:t>
      </w:r>
      <w:r>
        <w:rPr>
          <w:rFonts w:hint="eastAsia" w:ascii="仿宋_GB2312" w:hAnsi="仿宋_GB2312" w:eastAsia="仿宋_GB2312" w:cs="仿宋_GB2312"/>
          <w:sz w:val="32"/>
          <w:szCs w:val="32"/>
          <w:lang w:val="en-US" w:eastAsia="zh-CN"/>
        </w:rPr>
        <w:t>98.81%。</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color w:val="000000"/>
          <w:sz w:val="32"/>
          <w:szCs w:val="32"/>
          <w:u w:val="none"/>
          <w:lang w:val="en-US" w:eastAsia="zh-CN"/>
        </w:rPr>
      </w:pPr>
      <w:r>
        <w:rPr>
          <w:rFonts w:hint="eastAsia" w:ascii="仿宋_GB2312" w:hAnsi="仿宋_GB2312" w:eastAsia="仿宋_GB2312" w:cs="仿宋_GB2312"/>
          <w:b/>
          <w:bCs/>
          <w:sz w:val="32"/>
          <w:szCs w:val="32"/>
          <w:lang w:val="en-US" w:eastAsia="zh-CN"/>
        </w:rPr>
        <w:t>开展星级平安村（社区）创建活动。</w:t>
      </w:r>
      <w:r>
        <w:rPr>
          <w:rFonts w:hint="eastAsia" w:ascii="仿宋_GB2312" w:hAnsi="仿宋_GB2312" w:eastAsia="仿宋_GB2312" w:cs="仿宋_GB2312"/>
          <w:color w:val="000000"/>
          <w:sz w:val="32"/>
          <w:szCs w:val="32"/>
          <w:u w:val="none"/>
          <w:lang w:val="en-US" w:eastAsia="zh-CN"/>
        </w:rPr>
        <w:t>按“七无”标准内容评定、申请和推荐，确保评定质量和创建水平。经核查，全区共有219个村（社区），2022年度未发生“七无”问题的有156个，占比71.23%；其中廉州镇龙湾帝景社区、兴安镇冯马村、常安镇豆家庄村、张家庄镇北贾同村、增村镇西姚村近三年均未发生“七无”问题，工作实效突出，具有一定的示范作用，被省平安办命名为“2022年度三星级平安示范村（社区）”。</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color w:val="000000"/>
          <w:sz w:val="32"/>
          <w:szCs w:val="32"/>
          <w:u w:val="none"/>
          <w:lang w:val="en-US" w:eastAsia="zh-CN"/>
        </w:rPr>
      </w:pPr>
      <w:r>
        <w:rPr>
          <w:rFonts w:hint="eastAsia" w:ascii="仿宋_GB2312" w:hAnsi="仿宋_GB2312" w:eastAsia="仿宋_GB2312" w:cs="仿宋_GB2312"/>
          <w:b/>
          <w:bCs/>
          <w:sz w:val="32"/>
          <w:szCs w:val="32"/>
          <w:lang w:val="en-US" w:eastAsia="zh-CN"/>
        </w:rPr>
        <w:t>提升网格化服务管理质效。</w:t>
      </w:r>
      <w:r>
        <w:rPr>
          <w:rFonts w:hint="eastAsia" w:ascii="仿宋_GB2312" w:hAnsi="仿宋_GB2312" w:eastAsia="仿宋_GB2312" w:cs="仿宋_GB2312"/>
          <w:color w:val="000000"/>
          <w:sz w:val="32"/>
          <w:szCs w:val="32"/>
          <w:u w:val="none"/>
          <w:lang w:val="en-US" w:eastAsia="zh-CN"/>
        </w:rPr>
        <w:t>推动落实网格专干、网格工作室，截止目前，各村（社区）均已设立网格专干，网格工作室挂牌超过50%，网格化工作阵地建设稳步推进。加强网格工作考核，针对网格平台运行情况，制发网格通报15期，表扬先进、督促后进，提升了网格工作实效。对考核合格及完成任务优秀的网格专干、网格员发放了网格奖补资金，提升了网格化工作质效。</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color w:val="000000"/>
          <w:sz w:val="32"/>
          <w:szCs w:val="32"/>
          <w:u w:val="none"/>
          <w:lang w:val="en-US" w:eastAsia="zh-CN"/>
        </w:rPr>
      </w:pPr>
      <w:r>
        <w:rPr>
          <w:rFonts w:hint="eastAsia" w:ascii="仿宋_GB2312" w:hAnsi="仿宋_GB2312" w:eastAsia="仿宋_GB2312" w:cs="仿宋_GB2312"/>
          <w:b/>
          <w:bCs/>
          <w:sz w:val="32"/>
          <w:szCs w:val="32"/>
          <w:lang w:val="en-US" w:eastAsia="zh-CN"/>
        </w:rPr>
        <w:t>扎实开展“百名干警进千村入万户”活动。</w:t>
      </w:r>
      <w:r>
        <w:rPr>
          <w:rFonts w:hint="eastAsia" w:ascii="仿宋_GB2312" w:hAnsi="仿宋_GB2312" w:eastAsia="仿宋_GB2312" w:cs="仿宋_GB2312"/>
          <w:color w:val="000000"/>
          <w:sz w:val="32"/>
          <w:szCs w:val="32"/>
          <w:u w:val="none"/>
          <w:lang w:val="en-US" w:eastAsia="zh-CN"/>
        </w:rPr>
        <w:t>政法各单位成立活动领导小组，选派优秀干警走村入户。各乡镇政法委员统筹推进辖区活动开展，结合“一村一警”“一村一法官”“一村一法律顾问”等内容，坚决落实“五必进”，深入基层进村入户对社区矫正人员和帮教安置对象逐一进行谈话教育，及时了解和掌握每个社区矫正人员和帮教安置对象的思想状况和活动情况。整治期间共有干警和民调员</w:t>
      </w:r>
      <w:r>
        <w:rPr>
          <w:rFonts w:hint="eastAsia" w:ascii="仿宋_GB2312" w:hAnsi="仿宋_GB2312" w:eastAsia="仿宋_GB2312" w:cs="仿宋_GB2312"/>
          <w:sz w:val="32"/>
          <w:szCs w:val="32"/>
          <w:lang w:val="en-US" w:eastAsia="zh-CN"/>
        </w:rPr>
        <w:t>16583</w:t>
      </w:r>
      <w:r>
        <w:rPr>
          <w:rFonts w:hint="eastAsia" w:ascii="仿宋_GB2312" w:hAnsi="仿宋_GB2312" w:eastAsia="仿宋_GB2312" w:cs="仿宋_GB2312"/>
          <w:color w:val="000000"/>
          <w:sz w:val="32"/>
          <w:szCs w:val="32"/>
          <w:u w:val="none"/>
          <w:lang w:val="en-US" w:eastAsia="zh-CN"/>
        </w:rPr>
        <w:t>人参与走访，入户</w:t>
      </w:r>
      <w:r>
        <w:rPr>
          <w:rFonts w:hint="eastAsia" w:ascii="仿宋_GB2312" w:hAnsi="仿宋_GB2312" w:eastAsia="仿宋_GB2312" w:cs="仿宋_GB2312"/>
          <w:sz w:val="32"/>
          <w:szCs w:val="32"/>
          <w:lang w:val="en-US" w:eastAsia="zh-CN"/>
        </w:rPr>
        <w:t>126460</w:t>
      </w:r>
      <w:r>
        <w:rPr>
          <w:rFonts w:hint="eastAsia" w:ascii="仿宋_GB2312" w:hAnsi="仿宋_GB2312" w:eastAsia="仿宋_GB2312" w:cs="仿宋_GB2312"/>
          <w:color w:val="000000"/>
          <w:sz w:val="32"/>
          <w:szCs w:val="32"/>
          <w:u w:val="none"/>
          <w:lang w:val="en-US" w:eastAsia="zh-CN"/>
        </w:rPr>
        <w:t>家，</w:t>
      </w:r>
      <w:r>
        <w:rPr>
          <w:rFonts w:hint="eastAsia" w:ascii="仿宋_GB2312" w:hAnsi="仿宋_GB2312" w:eastAsia="仿宋_GB2312" w:cs="仿宋_GB2312"/>
          <w:sz w:val="32"/>
          <w:szCs w:val="32"/>
          <w:lang w:val="en-US" w:eastAsia="zh-CN"/>
        </w:rPr>
        <w:t>走访529453人，调解纠纷556件，防范重点风险85起。</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color w:val="000000"/>
          <w:sz w:val="32"/>
          <w:szCs w:val="32"/>
          <w:u w:val="none"/>
          <w:lang w:val="en-US" w:eastAsia="zh-CN"/>
        </w:rPr>
      </w:pPr>
      <w:r>
        <w:rPr>
          <w:rFonts w:hint="eastAsia" w:ascii="仿宋_GB2312" w:hAnsi="仿宋_GB2312" w:eastAsia="仿宋_GB2312" w:cs="仿宋_GB2312"/>
          <w:b/>
          <w:bCs/>
          <w:sz w:val="32"/>
          <w:szCs w:val="32"/>
          <w:lang w:val="en-US" w:eastAsia="zh-CN"/>
        </w:rPr>
        <w:t>加强社会治安防控体系建设。</w:t>
      </w:r>
      <w:r>
        <w:rPr>
          <w:rFonts w:hint="eastAsia" w:ascii="仿宋_GB2312" w:hAnsi="仿宋_GB2312" w:eastAsia="仿宋_GB2312" w:cs="仿宋_GB2312"/>
          <w:color w:val="000000"/>
          <w:sz w:val="32"/>
          <w:szCs w:val="32"/>
          <w:u w:val="none"/>
          <w:lang w:val="en-US" w:eastAsia="zh-CN"/>
        </w:rPr>
        <w:t>利用“雪亮工程”视频信息化平台，汇聚公安天网、教育系统、智慧城市、乡镇视频资源等共计6730路，覆盖所有城区镇村、街道、重点点位、重点区域。同时建立起了由网格员、志愿者、党员代表等组成的社会治安联防巡逻队，打造了“视频+联防队”共同助力治安联防的新格局，初步形成了具有藁城特色的信息化治安防控体系。</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提升社会治理创新能力。</w:t>
      </w:r>
      <w:r>
        <w:rPr>
          <w:rFonts w:hint="eastAsia" w:ascii="仿宋_GB2312" w:hAnsi="仿宋_GB2312" w:eastAsia="仿宋_GB2312" w:cs="仿宋_GB2312"/>
          <w:color w:val="000000"/>
          <w:sz w:val="32"/>
          <w:szCs w:val="32"/>
          <w:u w:val="none"/>
          <w:lang w:val="en-US" w:eastAsia="zh-CN"/>
        </w:rPr>
        <w:t>结合党建引领36个示范村，</w:t>
      </w:r>
      <w:r>
        <w:rPr>
          <w:rFonts w:hint="eastAsia" w:ascii="仿宋_GB2312" w:hAnsi="仿宋_GB2312" w:eastAsia="仿宋_GB2312" w:cs="仿宋_GB2312"/>
          <w:color w:val="auto"/>
          <w:spacing w:val="0"/>
          <w:w w:val="100"/>
          <w:kern w:val="2"/>
          <w:position w:val="0"/>
          <w:sz w:val="32"/>
          <w:szCs w:val="32"/>
          <w:u w:val="none"/>
          <w:shd w:val="clear" w:color="auto" w:fill="auto"/>
          <w:lang w:val="en-US" w:eastAsia="zh-CN" w:bidi="zh-TW"/>
        </w:rPr>
        <w:t>通过</w:t>
      </w:r>
      <w:r>
        <w:rPr>
          <w:rFonts w:hint="eastAsia" w:ascii="仿宋_GB2312" w:hAnsi="仿宋_GB2312" w:eastAsia="仿宋_GB2312" w:cs="仿宋_GB2312"/>
          <w:color w:val="auto"/>
          <w:spacing w:val="0"/>
          <w:w w:val="100"/>
          <w:position w:val="0"/>
          <w:sz w:val="32"/>
          <w:szCs w:val="32"/>
          <w:lang w:val="en-US" w:eastAsia="zh-CN"/>
        </w:rPr>
        <w:t>优化村级智慧视频监控系统，完善矛盾调解室建设，建强心理咨询室、法律服务室等手段，</w:t>
      </w:r>
      <w:r>
        <w:rPr>
          <w:rFonts w:hint="eastAsia" w:ascii="仿宋_GB2312" w:hAnsi="仿宋_GB2312" w:eastAsia="仿宋_GB2312" w:cs="仿宋_GB2312"/>
          <w:color w:val="auto"/>
          <w:spacing w:val="0"/>
          <w:w w:val="100"/>
          <w:kern w:val="2"/>
          <w:position w:val="0"/>
          <w:sz w:val="32"/>
          <w:szCs w:val="32"/>
          <w:u w:val="none"/>
          <w:shd w:val="clear" w:color="auto" w:fill="auto"/>
          <w:lang w:val="en-US" w:eastAsia="zh-CN" w:bidi="zh-TW"/>
        </w:rPr>
        <w:t>完善村一级治安防控体系、矛盾风险防控体系，</w:t>
      </w:r>
      <w:r>
        <w:rPr>
          <w:rFonts w:hint="eastAsia" w:ascii="仿宋_GB2312" w:hAnsi="仿宋_GB2312" w:eastAsia="仿宋_GB2312" w:cs="仿宋_GB2312"/>
          <w:color w:val="000000"/>
          <w:sz w:val="32"/>
          <w:szCs w:val="32"/>
          <w:u w:val="none"/>
          <w:lang w:val="en-US" w:eastAsia="zh-CN"/>
        </w:rPr>
        <w:t>打造基层社会治理示范村，目前已完成2批5个示范点位打造，</w:t>
      </w:r>
      <w:r>
        <w:rPr>
          <w:rFonts w:hint="eastAsia" w:ascii="仿宋_GB2312" w:hAnsi="仿宋_GB2312" w:eastAsia="仿宋_GB2312" w:cs="仿宋_GB2312"/>
          <w:color w:val="auto"/>
          <w:spacing w:val="0"/>
          <w:w w:val="100"/>
          <w:kern w:val="2"/>
          <w:position w:val="0"/>
          <w:sz w:val="32"/>
          <w:szCs w:val="32"/>
          <w:u w:val="none"/>
          <w:shd w:val="clear" w:color="auto" w:fill="auto"/>
          <w:lang w:val="en-US" w:eastAsia="zh-CN" w:bidi="zh-TW"/>
        </w:rPr>
        <w:t>示范点网格报送事件同比提升30%，信访量、治安事件量下降明显。</w:t>
      </w:r>
      <w:r>
        <w:rPr>
          <w:rFonts w:hint="eastAsia" w:ascii="仿宋_GB2312" w:hAnsi="仿宋_GB2312" w:eastAsia="仿宋_GB2312" w:cs="仿宋_GB2312"/>
          <w:sz w:val="32"/>
          <w:szCs w:val="32"/>
          <w:lang w:val="en-US" w:eastAsia="zh-CN"/>
        </w:rPr>
        <w:t>优化区多元中心运行机制，由原来14个接待窗口改为1个综合接待窗口，全区社会矛盾纠纷统一在一个窗口登记、受理、分流、交办，形成闭环管理化解过程；增设专业性行业调解室，发挥行业专业性组织自治和服务功能，化解涉及行业领域的纠纷。</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持续开展平安建设专项考核。</w:t>
      </w:r>
      <w:r>
        <w:rPr>
          <w:rFonts w:hint="eastAsia" w:ascii="仿宋_GB2312" w:hAnsi="仿宋_GB2312" w:eastAsia="仿宋_GB2312" w:cs="仿宋_GB2312"/>
          <w:sz w:val="32"/>
          <w:szCs w:val="32"/>
          <w:lang w:val="en-US" w:eastAsia="zh-CN"/>
        </w:rPr>
        <w:t>按照《平安建设专项考核办法》，每月组织19个承担考评任务部门对各乡镇区平安建设工作情况开展专项考核测评，今年以来6次调度平安建设考核指标情况，研究部署工作任务，推动全区平安建设各项工作不断深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4、法治引领，护航经济社会高质量发展</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坚决打好“三场硬仗”。</w:t>
      </w:r>
      <w:r>
        <w:rPr>
          <w:rFonts w:hint="default" w:ascii="仿宋_GB2312" w:hAnsi="仿宋_GB2312" w:eastAsia="仿宋_GB2312" w:cs="仿宋_GB2312"/>
          <w:sz w:val="32"/>
          <w:szCs w:val="32"/>
          <w:lang w:val="en-US" w:eastAsia="zh-CN"/>
        </w:rPr>
        <w:t>积极推进政法部门对发现的房地产领域相关单位及个人实施的合同诈骗、非法经营等违法犯罪行为依法严厉打击，共办理房地产领域案件11起；积极推进非法集资存量案件攻坚，及时梳理存量案件底数，落实“一案一策一专班”等一系列举措，加快推进非法集资存量案件办理进度。今年以来，推动非法集资存量案件结案9起。</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强化权利保护机制建设。</w:t>
      </w:r>
      <w:r>
        <w:rPr>
          <w:rFonts w:hint="default" w:ascii="仿宋_GB2312" w:hAnsi="仿宋_GB2312" w:eastAsia="仿宋_GB2312" w:cs="仿宋_GB2312"/>
          <w:sz w:val="32"/>
          <w:szCs w:val="32"/>
          <w:lang w:val="en-US" w:eastAsia="zh-CN"/>
        </w:rPr>
        <w:t>建立健全经营主体信用评估评价机制，制发司法建议书，促使政府工作部门加强反不正当竞争、产品质量、产权保护等行政执法，。</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加强法学会建设。</w:t>
      </w:r>
      <w:r>
        <w:rPr>
          <w:rFonts w:hint="default" w:ascii="仿宋_GB2312" w:hAnsi="仿宋_GB2312" w:eastAsia="仿宋_GB2312" w:cs="仿宋_GB2312"/>
          <w:sz w:val="32"/>
          <w:szCs w:val="32"/>
          <w:lang w:val="en-US" w:eastAsia="zh-CN"/>
        </w:rPr>
        <w:t>区法学会始终坚持以习近平法治思想为指导，加强规范化建设，加强法治宣传和法治实践，助力经济高质量发展。推进首席法律咨询专家制度落实</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遴选法律咨询专家39名，首席法律咨询专家20名，为全区高质量发展提供法律服务</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建立法治护航小分队</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共建立法治护航小分队9支，队员共计67人，共开展法治宣传专场活动15次，其中开展社区党建共驻共建--送法进社区基层行专场活动3场，累计发放宣传材料万余份，接受法律咨询300余次，指导300余人次下载反诈app</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积极开展法治宣传</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开展2023年“百名法学家百场报告会”法治宣讲-藁城专场报告会，积极联合有关部门，利用3.15“国际消费者权益保护日”“4.15国家安全日”等重大节日，对《消费者权益保护法》《民法典》《宪法》《国家安全法》等开展法治宣传，让“学法、尊法、守法、用法”精神根植于民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5、抓常抓长，大力锻造新时代政法铁军</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深化政法队伍教育整顿成果。</w:t>
      </w:r>
      <w:r>
        <w:rPr>
          <w:rFonts w:hint="default" w:ascii="仿宋_GB2312" w:hAnsi="仿宋_GB2312" w:eastAsia="仿宋_GB2312" w:cs="仿宋_GB2312"/>
          <w:sz w:val="32"/>
          <w:szCs w:val="32"/>
          <w:lang w:val="en-US" w:eastAsia="zh-CN"/>
        </w:rPr>
        <w:t>今年共开展警示教育活动6次，用《中央纪委通报10起违反中央八项规定精神典型案例》《省纪委通报6起违法中央八项规定典型案例》和《中央纪委国家监委公开通报借培训之名组织公款旅游问题》等问题警示教育广大政法干警，做到以案为鉴、警钟长鸣。</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sz w:val="32"/>
          <w:szCs w:val="32"/>
          <w:lang w:val="en-US" w:eastAsia="zh-CN"/>
        </w:rPr>
      </w:pPr>
      <w:r>
        <w:rPr>
          <w:rFonts w:hint="eastAsia" w:ascii="仿宋_GB2312" w:hAnsi="仿宋_GB2312" w:eastAsia="仿宋_GB2312" w:cs="仿宋_GB2312"/>
          <w:b/>
          <w:bCs/>
          <w:sz w:val="32"/>
          <w:szCs w:val="32"/>
          <w:lang w:val="en-US" w:eastAsia="zh-CN"/>
        </w:rPr>
        <w:t>开展政法干警能力提升培训。</w:t>
      </w:r>
      <w:r>
        <w:rPr>
          <w:rFonts w:hint="eastAsia" w:ascii="仿宋_GB2312" w:hAnsi="仿宋_GB2312" w:eastAsia="仿宋_GB2312" w:cs="仿宋_GB2312"/>
          <w:sz w:val="32"/>
          <w:szCs w:val="32"/>
          <w:lang w:val="en-US" w:eastAsia="zh-CN"/>
        </w:rPr>
        <w:t>坚决贯彻落实《中国共产党政法工作条例》，分两期</w:t>
      </w:r>
      <w:r>
        <w:rPr>
          <w:rFonts w:hint="default" w:ascii="仿宋_GB2312" w:hAnsi="仿宋_GB2312" w:eastAsia="仿宋_GB2312" w:cs="仿宋_GB2312"/>
          <w:sz w:val="32"/>
          <w:szCs w:val="32"/>
          <w:lang w:val="en-US" w:eastAsia="zh-CN"/>
        </w:rPr>
        <w:t>举办</w:t>
      </w:r>
      <w:r>
        <w:rPr>
          <w:rFonts w:hint="eastAsia" w:ascii="仿宋_GB2312" w:hAnsi="仿宋_GB2312" w:eastAsia="仿宋_GB2312" w:cs="仿宋_GB2312"/>
          <w:sz w:val="32"/>
          <w:szCs w:val="32"/>
          <w:lang w:val="en-US" w:eastAsia="zh-CN"/>
        </w:rPr>
        <w:t>全区</w:t>
      </w:r>
      <w:r>
        <w:rPr>
          <w:rFonts w:hint="default" w:ascii="仿宋_GB2312" w:hAnsi="仿宋_GB2312" w:eastAsia="仿宋_GB2312" w:cs="仿宋_GB2312"/>
          <w:sz w:val="32"/>
          <w:szCs w:val="32"/>
          <w:lang w:val="en-US" w:eastAsia="zh-CN"/>
        </w:rPr>
        <w:t>政法队伍</w:t>
      </w:r>
      <w:r>
        <w:rPr>
          <w:rFonts w:hint="eastAsia" w:ascii="仿宋_GB2312" w:hAnsi="仿宋_GB2312" w:eastAsia="仿宋_GB2312" w:cs="仿宋_GB2312"/>
          <w:sz w:val="32"/>
          <w:szCs w:val="32"/>
          <w:lang w:val="en-US" w:eastAsia="zh-CN"/>
        </w:rPr>
        <w:t>素能</w:t>
      </w:r>
      <w:r>
        <w:rPr>
          <w:rFonts w:hint="default" w:ascii="仿宋_GB2312" w:hAnsi="仿宋_GB2312" w:eastAsia="仿宋_GB2312" w:cs="仿宋_GB2312"/>
          <w:sz w:val="32"/>
          <w:szCs w:val="32"/>
          <w:lang w:val="en-US" w:eastAsia="zh-CN"/>
        </w:rPr>
        <w:t>提升培训班</w:t>
      </w:r>
      <w:r>
        <w:rPr>
          <w:rFonts w:hint="eastAsia" w:ascii="仿宋_GB2312" w:hAnsi="仿宋_GB2312" w:eastAsia="仿宋_GB2312" w:cs="仿宋_GB2312"/>
          <w:sz w:val="32"/>
          <w:szCs w:val="32"/>
          <w:lang w:val="en-US" w:eastAsia="zh-CN"/>
        </w:rPr>
        <w:t>，培训</w:t>
      </w:r>
      <w:r>
        <w:rPr>
          <w:rFonts w:hint="default" w:ascii="仿宋_GB2312" w:hAnsi="仿宋_GB2312" w:eastAsia="仿宋_GB2312" w:cs="仿宋_GB2312"/>
          <w:sz w:val="32"/>
          <w:szCs w:val="32"/>
          <w:lang w:val="en-US" w:eastAsia="zh-CN"/>
        </w:rPr>
        <w:t>政法委及政法各单位中层及以上领导干部、乡镇政法委员</w:t>
      </w:r>
      <w:r>
        <w:rPr>
          <w:rFonts w:hint="eastAsia" w:ascii="仿宋_GB2312" w:hAnsi="仿宋_GB2312" w:eastAsia="仿宋_GB2312" w:cs="仿宋_GB2312"/>
          <w:sz w:val="32"/>
          <w:szCs w:val="32"/>
          <w:lang w:val="en-US" w:eastAsia="zh-CN"/>
        </w:rPr>
        <w:t>共计202人，理论层面与实践层面提升政法队伍整体水平，增强党管政法体系的制度性、规范性，确保将党对政法工作的领导贯穿到政法工作的全方面、各领域。</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全力提高政法队伍群众满意度。</w:t>
      </w:r>
      <w:r>
        <w:rPr>
          <w:rFonts w:hint="default" w:ascii="仿宋_GB2312" w:hAnsi="仿宋_GB2312" w:eastAsia="仿宋_GB2312" w:cs="仿宋_GB2312"/>
          <w:sz w:val="32"/>
          <w:szCs w:val="32"/>
          <w:lang w:val="en-US" w:eastAsia="zh-CN"/>
        </w:rPr>
        <w:t>印发了《省委第十一巡视组对藁城区社会治安及政法队伍群众满意度反馈问题的整改工作方案》，制定整改措施、明确整改任务、整改要求，确保整改提升落实到位。今年上半年，我区政法队伍满意度在全省167个县（区、市）中排第78位，比2022年底上升66位；在全市21个县（区）中排第9位，比去年上升8位。</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严格落实政法干警优抚政策。</w:t>
      </w:r>
      <w:r>
        <w:rPr>
          <w:rFonts w:hint="default" w:ascii="仿宋_GB2312" w:hAnsi="仿宋_GB2312" w:eastAsia="仿宋_GB2312" w:cs="仿宋_GB2312"/>
          <w:sz w:val="32"/>
          <w:szCs w:val="32"/>
          <w:lang w:val="en-US" w:eastAsia="zh-CN"/>
        </w:rPr>
        <w:t>健全依法履职免责制度积极为符合条件的政法干警申请特困救助，扎实开展惠警暖警工作。今年为2名特困干警申请了省级救助，为3名特困干警申请了市级救助。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tbl>
      <w:tblPr>
        <w:tblStyle w:val="8"/>
        <w:tblpPr w:leftFromText="180" w:rightFromText="180" w:vertAnchor="text" w:horzAnchor="page" w:tblpX="1566" w:tblpY="712"/>
        <w:tblOverlap w:val="never"/>
        <w:tblW w:w="919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40"/>
        <w:gridCol w:w="3165"/>
        <w:gridCol w:w="1023"/>
        <w:gridCol w:w="1284"/>
        <w:gridCol w:w="1150"/>
        <w:gridCol w:w="1066"/>
        <w:gridCol w:w="96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55"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项目名称</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产出指标完成得分情况</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预算执行率指标完成得分情况</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效益指标完成得分情况</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满意度指标完成得分情况</w:t>
            </w:r>
          </w:p>
        </w:tc>
        <w:tc>
          <w:tcPr>
            <w:tcW w:w="9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bookmarkStart w:id="1" w:name="OLE_LINK1" w:colFirst="6" w:colLast="6"/>
            <w:r>
              <w:rPr>
                <w:rFonts w:hint="eastAsia" w:ascii="宋体" w:hAnsi="宋体" w:eastAsia="宋体" w:cs="宋体"/>
                <w:i w:val="0"/>
                <w:iCs w:val="0"/>
                <w:color w:val="000000"/>
                <w:kern w:val="0"/>
                <w:sz w:val="22"/>
                <w:szCs w:val="22"/>
                <w:u w:val="none"/>
                <w:lang w:val="en-US" w:eastAsia="zh-CN" w:bidi="ar"/>
              </w:rPr>
              <w:t>92</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扫黑除恶工作经费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仿宋" w:hAnsi="仿宋" w:eastAsia="仿宋" w:cs="仿宋"/>
                <w:i w:val="0"/>
                <w:color w:val="000000"/>
                <w:sz w:val="24"/>
                <w:szCs w:val="24"/>
                <w:u w:val="none"/>
                <w:lang w:val="en-US"/>
              </w:rPr>
            </w:pPr>
            <w:r>
              <w:rPr>
                <w:rFonts w:hint="eastAsia" w:ascii="仿宋" w:hAnsi="仿宋" w:eastAsia="仿宋" w:cs="仿宋"/>
                <w:i w:val="0"/>
                <w:color w:val="000000"/>
                <w:kern w:val="0"/>
                <w:sz w:val="24"/>
                <w:szCs w:val="24"/>
                <w:u w:val="none"/>
                <w:lang w:val="en-US" w:eastAsia="zh-CN" w:bidi="ar"/>
              </w:rPr>
              <w:t>35</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w:t>
            </w:r>
          </w:p>
        </w:tc>
        <w:tc>
          <w:tcPr>
            <w:tcW w:w="9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仿宋" w:hAnsi="仿宋" w:eastAsia="仿宋" w:cs="仿宋"/>
                <w:i w:val="0"/>
                <w:color w:val="000000"/>
                <w:sz w:val="24"/>
                <w:szCs w:val="24"/>
                <w:u w:val="none"/>
                <w:lang w:val="en-US"/>
              </w:rPr>
            </w:pPr>
            <w:r>
              <w:rPr>
                <w:rFonts w:hint="eastAsia" w:ascii="仿宋" w:hAnsi="仿宋" w:eastAsia="仿宋" w:cs="仿宋"/>
                <w:i w:val="0"/>
                <w:color w:val="000000"/>
                <w:kern w:val="0"/>
                <w:sz w:val="24"/>
                <w:szCs w:val="24"/>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专职铁路护路队员工资</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仿宋" w:hAnsi="仿宋" w:eastAsia="仿宋" w:cs="仿宋"/>
                <w:i w:val="0"/>
                <w:color w:val="000000"/>
                <w:sz w:val="24"/>
                <w:szCs w:val="24"/>
                <w:u w:val="none"/>
                <w:lang w:val="en-US"/>
              </w:rPr>
            </w:pPr>
            <w:r>
              <w:rPr>
                <w:rFonts w:hint="eastAsia" w:ascii="仿宋" w:hAnsi="仿宋" w:eastAsia="仿宋" w:cs="仿宋"/>
                <w:i w:val="0"/>
                <w:color w:val="000000"/>
                <w:kern w:val="0"/>
                <w:sz w:val="24"/>
                <w:szCs w:val="24"/>
                <w:u w:val="none"/>
                <w:lang w:val="en-US" w:eastAsia="zh-CN" w:bidi="ar"/>
              </w:rPr>
              <w:t>38</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仿宋" w:hAnsi="仿宋" w:eastAsia="仿宋" w:cs="仿宋"/>
                <w:i w:val="0"/>
                <w:color w:val="000000"/>
                <w:sz w:val="24"/>
                <w:szCs w:val="24"/>
                <w:u w:val="none"/>
                <w:lang w:val="en-US"/>
              </w:rPr>
            </w:pPr>
            <w:r>
              <w:rPr>
                <w:rFonts w:hint="eastAsia" w:ascii="仿宋" w:hAnsi="仿宋" w:eastAsia="仿宋" w:cs="仿宋"/>
                <w:i w:val="0"/>
                <w:color w:val="000000"/>
                <w:kern w:val="0"/>
                <w:sz w:val="24"/>
                <w:szCs w:val="24"/>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仿宋" w:hAnsi="仿宋" w:eastAsia="仿宋" w:cs="仿宋"/>
                <w:i w:val="0"/>
                <w:color w:val="000000"/>
                <w:sz w:val="24"/>
                <w:szCs w:val="24"/>
                <w:u w:val="none"/>
                <w:lang w:val="en-US"/>
              </w:rPr>
            </w:pPr>
            <w:r>
              <w:rPr>
                <w:rFonts w:hint="eastAsia" w:ascii="仿宋" w:hAnsi="仿宋" w:eastAsia="仿宋" w:cs="仿宋"/>
                <w:i w:val="0"/>
                <w:color w:val="000000"/>
                <w:kern w:val="0"/>
                <w:sz w:val="24"/>
                <w:szCs w:val="24"/>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维稳工作经费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37</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w:t>
            </w:r>
          </w:p>
        </w:tc>
        <w:tc>
          <w:tcPr>
            <w:tcW w:w="9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综治中心运行费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仿宋" w:hAnsi="仿宋" w:eastAsia="仿宋" w:cs="仿宋"/>
                <w:i w:val="0"/>
                <w:color w:val="000000"/>
                <w:sz w:val="24"/>
                <w:szCs w:val="24"/>
                <w:u w:val="none"/>
                <w:lang w:val="en-US"/>
              </w:rPr>
            </w:pPr>
            <w:r>
              <w:rPr>
                <w:rFonts w:hint="eastAsia" w:ascii="仿宋" w:hAnsi="仿宋" w:eastAsia="仿宋" w:cs="仿宋"/>
                <w:i w:val="0"/>
                <w:color w:val="000000"/>
                <w:kern w:val="0"/>
                <w:sz w:val="24"/>
                <w:szCs w:val="24"/>
                <w:u w:val="none"/>
                <w:lang w:val="en-US" w:eastAsia="zh-CN" w:bidi="ar"/>
              </w:rPr>
              <w:t>37</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仿宋" w:hAnsi="仿宋" w:eastAsia="仿宋" w:cs="仿宋"/>
                <w:i w:val="0"/>
                <w:color w:val="000000"/>
                <w:sz w:val="24"/>
                <w:szCs w:val="24"/>
                <w:u w:val="none"/>
                <w:lang w:val="en-US"/>
              </w:rPr>
            </w:pPr>
            <w:r>
              <w:rPr>
                <w:rFonts w:hint="eastAsia" w:ascii="仿宋" w:hAnsi="仿宋" w:eastAsia="仿宋" w:cs="仿宋"/>
                <w:i w:val="0"/>
                <w:color w:val="000000"/>
                <w:kern w:val="0"/>
                <w:sz w:val="24"/>
                <w:szCs w:val="24"/>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仿宋" w:hAnsi="仿宋" w:eastAsia="仿宋" w:cs="仿宋"/>
                <w:i w:val="0"/>
                <w:color w:val="000000"/>
                <w:sz w:val="24"/>
                <w:szCs w:val="24"/>
                <w:u w:val="none"/>
                <w:lang w:val="en-US"/>
              </w:rPr>
            </w:pPr>
            <w:r>
              <w:rPr>
                <w:rFonts w:hint="eastAsia" w:ascii="仿宋" w:hAnsi="仿宋" w:eastAsia="仿宋" w:cs="仿宋"/>
                <w:i w:val="0"/>
                <w:color w:val="000000"/>
                <w:kern w:val="0"/>
                <w:sz w:val="24"/>
                <w:szCs w:val="24"/>
                <w:u w:val="none"/>
                <w:lang w:val="en-US" w:eastAsia="zh-CN" w:bidi="ar"/>
              </w:rPr>
              <w:t>38</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w:t>
            </w:r>
          </w:p>
        </w:tc>
        <w:tc>
          <w:tcPr>
            <w:tcW w:w="9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仿宋" w:hAnsi="仿宋" w:eastAsia="仿宋" w:cs="仿宋"/>
                <w:i w:val="0"/>
                <w:color w:val="000000"/>
                <w:sz w:val="24"/>
                <w:szCs w:val="24"/>
                <w:u w:val="none"/>
                <w:lang w:val="en-US"/>
              </w:rPr>
            </w:pPr>
            <w:r>
              <w:rPr>
                <w:rFonts w:hint="eastAsia" w:ascii="仿宋" w:hAnsi="仿宋" w:eastAsia="仿宋" w:cs="仿宋"/>
                <w:i w:val="0"/>
                <w:color w:val="000000"/>
                <w:kern w:val="0"/>
                <w:sz w:val="24"/>
                <w:szCs w:val="24"/>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调解服务经费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38</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w:t>
            </w:r>
          </w:p>
        </w:tc>
        <w:tc>
          <w:tcPr>
            <w:tcW w:w="9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打击处置“全能神”邪教组织专项经费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35</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“雪亮工程”维护费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37</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38</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综治工作经费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两会期间铁路护路雇佣人员补助</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39</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政法网运行维护经费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36</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网格化服务管理经费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37</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38</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涉法涉诉专项资金</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38</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38</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严重精神障碍患者监护人以奖代补</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38</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精神障碍患者监护人责任保险</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39</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政法四级网维保费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38</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网格员手机APP服务费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39</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社会矛盾纠纷多元化解中心项目建设</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37</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2089</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石财行[2023]33号 市财政局下达的社会治安综合治理专项经费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35</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2090</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石财行[2023]17号 市财政局下达的涉法涉诉工作经费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36</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2091</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石平安字[2023]1号 关于2022年度县乡村平安建设先进单位工作经费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35</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2825</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信访维稳工作经费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37</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2826</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党的二十大期间铁路护路工作经费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39</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38</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2827</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铁路护路服务工作经费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37</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39</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w:t>
            </w:r>
          </w:p>
        </w:tc>
      </w:tr>
      <w:bookmarkEnd w:id="1"/>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31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平均分</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96.652</w:t>
            </w:r>
          </w:p>
        </w:tc>
      </w:tr>
    </w:tbl>
    <w:p>
      <w:pPr>
        <w:pStyle w:val="7"/>
        <w:numPr>
          <w:ilvl w:val="0"/>
          <w:numId w:val="0"/>
        </w:numPr>
        <w:rPr>
          <w:rFonts w:hint="eastAsia"/>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pStyle w:val="2"/>
        <w:numPr>
          <w:ilvl w:val="0"/>
          <w:numId w:val="0"/>
        </w:numPr>
        <w:ind w:left="840" w:leftChars="0"/>
        <w:rPr>
          <w:rFonts w:hint="eastAsia"/>
          <w:lang w:val="en-US" w:eastAsia="zh-CN"/>
        </w:rPr>
      </w:pPr>
      <w:r>
        <w:rPr>
          <w:rFonts w:hint="eastAsia"/>
          <w:lang w:val="en-US" w:eastAsia="zh-CN"/>
        </w:rPr>
        <w:t>（一）存在主要问题</w:t>
      </w:r>
    </w:p>
    <w:p>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1.绩效目标设定工作有待提升。因事前绩效评估不足，项目数据库数据不够全面，完整，导致部分项目绩效目标设置不够简明 扼要，清晰直观，不便于理解和衡量。部分项目预算数量关键点不突出，数量不够精准。</w:t>
      </w:r>
    </w:p>
    <w:p>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 xml:space="preserve"> 2.绩效工作管理有待加强。绩效工作管理还存在一定的薄弱环节，绩效管理相关制度不健全，个别科室绩效理念尚未全面树立、绩效管理职责不明确，绩效指标激励约束作用不强，存在重投入轻管理、重支出轻绩效的问题，绩效工作管理的广度和深度不足。 </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ascii="仿宋" w:hAnsi="仿宋" w:eastAsia="仿宋"/>
          <w:sz w:val="32"/>
          <w:szCs w:val="32"/>
        </w:rPr>
        <w:t>3.部分科室未能有效协同推进实施绩效管理，未做好预算项目 的梳理和总结工作，不能全面掌握绩效目标、指标的实际完成情况以及预算资金执行情况。部分较复杂的综合性预算项目，所设 指标涉及多个科室，部分科室之间未能协同推进实施绩效管理， 不能综合地反映预算项目的产出和效果。</w:t>
      </w:r>
    </w:p>
    <w:p>
      <w:pPr>
        <w:pStyle w:val="2"/>
        <w:ind w:firstLine="960" w:firstLineChars="300"/>
        <w:rPr>
          <w:rFonts w:hint="eastAsia"/>
          <w:lang w:val="en-US" w:eastAsia="zh-CN"/>
        </w:rPr>
      </w:pPr>
      <w:r>
        <w:rPr>
          <w:rFonts w:hint="eastAsia"/>
          <w:b w:val="0"/>
          <w:bCs w:val="0"/>
          <w:sz w:val="32"/>
          <w:lang w:eastAsia="zh-CN"/>
        </w:rPr>
        <w:t>（二）整</w:t>
      </w:r>
      <w:r>
        <w:rPr>
          <w:rFonts w:hint="eastAsia" w:ascii="仿宋_GB2312" w:eastAsia="仿宋_GB2312"/>
          <w:b w:val="0"/>
          <w:bCs w:val="0"/>
          <w:sz w:val="32"/>
        </w:rPr>
        <w:t>改</w:t>
      </w:r>
      <w:r>
        <w:rPr>
          <w:rFonts w:hint="eastAsia"/>
          <w:b w:val="0"/>
          <w:bCs w:val="0"/>
          <w:sz w:val="32"/>
          <w:lang w:eastAsia="zh-CN"/>
        </w:rPr>
        <w:t>思路及工作</w:t>
      </w:r>
      <w:r>
        <w:rPr>
          <w:rFonts w:hint="eastAsia" w:ascii="仿宋_GB2312" w:eastAsia="仿宋_GB2312"/>
          <w:b w:val="0"/>
          <w:bCs w:val="0"/>
          <w:sz w:val="32"/>
        </w:rPr>
        <w:t>措施</w:t>
      </w:r>
    </w:p>
    <w:p>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 xml:space="preserve">1.科学规范的设定绩效目标，提升绩效目标的质量。使绩效目 标清晰的反映预算资金的预期产出和效果，并以精准的指向性绩效指标予以细化。能量化的绩效指标尽可能的量化，既要符合统计工作的特点和实际情况，又要实事求是，客观公正。 </w:t>
      </w:r>
    </w:p>
    <w:p>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2.建立健全相关绩效管理制度，强化预算绩效约束。 坚持权责对等、约束有力，明确各责任科室的预算绩效申报 和管理责任，做到“谁支出，谁自评”“花钱必问效，无效必问责”。建立健全激励约束机制，实现绩效评价结果与预算安排相 挂钩。增强预算统筹能力，优化预算管理流程，调动各科室的积极性、主动性。</w:t>
      </w:r>
    </w:p>
    <w:p>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 xml:space="preserve"> 3.及时梳理和总结，协同推进实施绩效管理。 各科室要做好项目的梳理和总结工作，掌握项目预算资金的 执行情况以及绩效目标、指标的完成情况。针对多部门共同实施 的较复杂的综合性项目，由项目责任科室牵头，各部门积极参与 配合，完成预算项目的综合评价工作，保证准确地、全面地反映 和评价预算项目的产出和效果，实现预算项目的价值与意义。</w:t>
      </w:r>
    </w:p>
    <w:p>
      <w:pPr>
        <w:adjustRightInd w:val="0"/>
        <w:snapToGrid w:val="0"/>
        <w:spacing w:line="560" w:lineRule="exact"/>
        <w:ind w:firstLine="640" w:firstLineChars="200"/>
        <w:rPr>
          <w:rFonts w:ascii="仿宋" w:hAnsi="仿宋" w:eastAsia="仿宋" w:cs="黑体"/>
          <w:sz w:val="32"/>
          <w:szCs w:val="32"/>
        </w:rPr>
      </w:pPr>
      <w:r>
        <w:rPr>
          <w:rFonts w:ascii="仿宋" w:hAnsi="仿宋" w:eastAsia="仿宋"/>
          <w:sz w:val="32"/>
          <w:szCs w:val="32"/>
        </w:rPr>
        <w:t xml:space="preserve"> 4.建立健全业务制度。 结合此次总结出来的问题，对相关制度进行进一步修订和完善，在实际工作中严格依规办事、照章办事，强化制度的刚性执行。</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9"/>
        <w:tblpPr w:leftFromText="180" w:rightFromText="180" w:vertAnchor="text" w:horzAnchor="page" w:tblpX="1992" w:tblpY="559"/>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1370"/>
        <w:gridCol w:w="1667"/>
        <w:gridCol w:w="2516"/>
        <w:gridCol w:w="21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trPr>
        <w:tc>
          <w:tcPr>
            <w:tcW w:w="82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序号</w:t>
            </w:r>
          </w:p>
        </w:tc>
        <w:tc>
          <w:tcPr>
            <w:tcW w:w="137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姓名</w:t>
            </w:r>
          </w:p>
        </w:tc>
        <w:tc>
          <w:tcPr>
            <w:tcW w:w="1667"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工作单位</w:t>
            </w:r>
          </w:p>
        </w:tc>
        <w:tc>
          <w:tcPr>
            <w:tcW w:w="2516"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职务</w:t>
            </w:r>
          </w:p>
        </w:tc>
        <w:tc>
          <w:tcPr>
            <w:tcW w:w="214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p>
        </w:tc>
        <w:tc>
          <w:tcPr>
            <w:tcW w:w="137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王利国</w:t>
            </w:r>
          </w:p>
        </w:tc>
        <w:tc>
          <w:tcPr>
            <w:tcW w:w="1667"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常务副书记</w:t>
            </w:r>
          </w:p>
        </w:tc>
        <w:tc>
          <w:tcPr>
            <w:tcW w:w="214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p>
        </w:tc>
        <w:tc>
          <w:tcPr>
            <w:tcW w:w="137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张立红</w:t>
            </w:r>
          </w:p>
        </w:tc>
        <w:tc>
          <w:tcPr>
            <w:tcW w:w="1667"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副书记</w:t>
            </w:r>
          </w:p>
        </w:tc>
        <w:tc>
          <w:tcPr>
            <w:tcW w:w="214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p>
        </w:tc>
        <w:tc>
          <w:tcPr>
            <w:tcW w:w="137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董光辉</w:t>
            </w:r>
          </w:p>
        </w:tc>
        <w:tc>
          <w:tcPr>
            <w:tcW w:w="1667"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政法委</w:t>
            </w:r>
          </w:p>
        </w:tc>
        <w:tc>
          <w:tcPr>
            <w:tcW w:w="2516"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一级主任科员</w:t>
            </w:r>
          </w:p>
        </w:tc>
        <w:tc>
          <w:tcPr>
            <w:tcW w:w="214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p>
        </w:tc>
        <w:tc>
          <w:tcPr>
            <w:tcW w:w="137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张友波</w:t>
            </w:r>
          </w:p>
        </w:tc>
        <w:tc>
          <w:tcPr>
            <w:tcW w:w="1667"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专职委员</w:t>
            </w:r>
          </w:p>
        </w:tc>
        <w:tc>
          <w:tcPr>
            <w:tcW w:w="214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w:t>
            </w:r>
          </w:p>
        </w:tc>
        <w:tc>
          <w:tcPr>
            <w:tcW w:w="137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冯玉琢</w:t>
            </w:r>
          </w:p>
        </w:tc>
        <w:tc>
          <w:tcPr>
            <w:tcW w:w="1667"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组织宣传股股长</w:t>
            </w:r>
          </w:p>
        </w:tc>
        <w:tc>
          <w:tcPr>
            <w:tcW w:w="214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val="en-US" w:eastAsia="zh-CN"/>
              </w:rPr>
              <w:t>6</w:t>
            </w:r>
          </w:p>
        </w:tc>
        <w:tc>
          <w:tcPr>
            <w:tcW w:w="137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聂</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栋</w:t>
            </w:r>
          </w:p>
        </w:tc>
        <w:tc>
          <w:tcPr>
            <w:tcW w:w="1667"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综治督</w:t>
            </w:r>
            <w:r>
              <w:rPr>
                <w:rFonts w:hint="eastAsia" w:ascii="仿宋_GB2312" w:hAnsi="仿宋_GB2312" w:eastAsia="仿宋_GB2312" w:cs="仿宋_GB2312"/>
                <w:sz w:val="32"/>
                <w:szCs w:val="32"/>
                <w:lang w:val="en-US" w:eastAsia="zh-CN"/>
              </w:rPr>
              <w:t>导股股长</w:t>
            </w:r>
          </w:p>
        </w:tc>
        <w:tc>
          <w:tcPr>
            <w:tcW w:w="214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val="en-US" w:eastAsia="zh-CN"/>
              </w:rPr>
              <w:t>7</w:t>
            </w:r>
          </w:p>
        </w:tc>
        <w:tc>
          <w:tcPr>
            <w:tcW w:w="137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牛彦会</w:t>
            </w:r>
          </w:p>
        </w:tc>
        <w:tc>
          <w:tcPr>
            <w:tcW w:w="1667"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基层治理股股长</w:t>
            </w:r>
          </w:p>
        </w:tc>
        <w:tc>
          <w:tcPr>
            <w:tcW w:w="214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val="en-US" w:eastAsia="zh-CN"/>
              </w:rPr>
              <w:t>8</w:t>
            </w:r>
          </w:p>
        </w:tc>
        <w:tc>
          <w:tcPr>
            <w:tcW w:w="137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崔亚林</w:t>
            </w:r>
          </w:p>
        </w:tc>
        <w:tc>
          <w:tcPr>
            <w:tcW w:w="1667"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信访股股长</w:t>
            </w:r>
          </w:p>
        </w:tc>
        <w:tc>
          <w:tcPr>
            <w:tcW w:w="214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val="en-US" w:eastAsia="zh-CN"/>
              </w:rPr>
              <w:t>9</w:t>
            </w:r>
          </w:p>
        </w:tc>
        <w:tc>
          <w:tcPr>
            <w:tcW w:w="137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代兴伟</w:t>
            </w:r>
          </w:p>
        </w:tc>
        <w:tc>
          <w:tcPr>
            <w:tcW w:w="1667"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扫黑办</w:t>
            </w:r>
          </w:p>
        </w:tc>
        <w:tc>
          <w:tcPr>
            <w:tcW w:w="214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val="en-US" w:eastAsia="zh-CN"/>
              </w:rPr>
              <w:t>10</w:t>
            </w:r>
          </w:p>
        </w:tc>
        <w:tc>
          <w:tcPr>
            <w:tcW w:w="137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张力杰</w:t>
            </w:r>
          </w:p>
        </w:tc>
        <w:tc>
          <w:tcPr>
            <w:tcW w:w="1667"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网络中心股长</w:t>
            </w:r>
          </w:p>
        </w:tc>
        <w:tc>
          <w:tcPr>
            <w:tcW w:w="214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val="en-US" w:eastAsia="zh-CN"/>
              </w:rPr>
              <w:t>11</w:t>
            </w:r>
          </w:p>
        </w:tc>
        <w:tc>
          <w:tcPr>
            <w:tcW w:w="137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杨成</w:t>
            </w:r>
          </w:p>
        </w:tc>
        <w:tc>
          <w:tcPr>
            <w:tcW w:w="1667"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政法委</w:t>
            </w:r>
          </w:p>
        </w:tc>
        <w:tc>
          <w:tcPr>
            <w:tcW w:w="2516"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维稳指导股股长</w:t>
            </w:r>
          </w:p>
        </w:tc>
        <w:tc>
          <w:tcPr>
            <w:tcW w:w="214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val="en-US" w:eastAsia="zh-CN"/>
              </w:rPr>
              <w:t>12</w:t>
            </w:r>
          </w:p>
        </w:tc>
        <w:tc>
          <w:tcPr>
            <w:tcW w:w="137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张建鹏</w:t>
            </w:r>
          </w:p>
        </w:tc>
        <w:tc>
          <w:tcPr>
            <w:tcW w:w="1667"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办公室主任</w:t>
            </w:r>
          </w:p>
        </w:tc>
        <w:tc>
          <w:tcPr>
            <w:tcW w:w="214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val="en-US" w:eastAsia="zh-CN"/>
              </w:rPr>
              <w:t>13</w:t>
            </w:r>
          </w:p>
        </w:tc>
        <w:tc>
          <w:tcPr>
            <w:tcW w:w="137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梁丽艳</w:t>
            </w:r>
          </w:p>
        </w:tc>
        <w:tc>
          <w:tcPr>
            <w:tcW w:w="1667"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政法委</w:t>
            </w:r>
          </w:p>
        </w:tc>
        <w:tc>
          <w:tcPr>
            <w:tcW w:w="2516"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财务</w:t>
            </w:r>
          </w:p>
        </w:tc>
        <w:tc>
          <w:tcPr>
            <w:tcW w:w="214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p>
      <w:pPr>
        <w:pStyle w:val="2"/>
        <w:rPr>
          <w:rFonts w:hint="eastAsia" w:ascii="仿宋_GB2312" w:hAnsi="仿宋_GB2312" w:eastAsia="仿宋_GB2312" w:cs="仿宋_GB2312"/>
          <w:sz w:val="32"/>
          <w:szCs w:val="32"/>
          <w:lang w:eastAsia="zh-CN"/>
        </w:rPr>
      </w:pPr>
    </w:p>
    <w:p>
      <w:pPr>
        <w:pStyle w:val="2"/>
        <w:rPr>
          <w:rFonts w:hint="eastAsia" w:ascii="仿宋_GB2312" w:hAnsi="仿宋_GB2312" w:eastAsia="仿宋_GB2312" w:cs="仿宋_GB2312"/>
          <w:sz w:val="32"/>
          <w:szCs w:val="32"/>
          <w:lang w:eastAsia="zh-CN"/>
        </w:rPr>
      </w:pPr>
    </w:p>
    <w:p>
      <w:pPr>
        <w:pStyle w:val="2"/>
        <w:rPr>
          <w:rFonts w:hint="eastAsia" w:ascii="仿宋_GB2312" w:hAnsi="仿宋_GB2312" w:eastAsia="仿宋_GB2312" w:cs="仿宋_GB2312"/>
          <w:sz w:val="32"/>
          <w:szCs w:val="32"/>
          <w:lang w:eastAsia="zh-CN"/>
        </w:rPr>
      </w:pPr>
    </w:p>
    <w:p>
      <w:pPr>
        <w:pStyle w:val="2"/>
        <w:rPr>
          <w:rFonts w:hint="eastAsia" w:ascii="仿宋_GB2312" w:hAnsi="仿宋_GB2312" w:eastAsia="仿宋_GB2312" w:cs="仿宋_GB2312"/>
          <w:sz w:val="32"/>
          <w:szCs w:val="32"/>
          <w:lang w:eastAsia="zh-CN"/>
        </w:rPr>
      </w:pPr>
    </w:p>
    <w:p>
      <w:pPr>
        <w:pStyle w:val="2"/>
        <w:rPr>
          <w:rFonts w:hint="eastAsia" w:ascii="仿宋_GB2312" w:hAnsi="仿宋_GB2312" w:eastAsia="仿宋_GB2312" w:cs="仿宋_GB2312"/>
          <w:sz w:val="32"/>
          <w:szCs w:val="32"/>
          <w:lang w:eastAsia="zh-CN"/>
        </w:rPr>
      </w:pPr>
    </w:p>
    <w:p>
      <w:pPr>
        <w:pStyle w:val="2"/>
        <w:jc w:val="righ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中共石家庄市藁城区委政法委</w:t>
      </w:r>
    </w:p>
    <w:p>
      <w:pPr>
        <w:pStyle w:val="2"/>
        <w:jc w:val="righ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2024年5月21日</w:t>
      </w: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B3DFEF2A"/>
    <w:multiLevelType w:val="singleLevel"/>
    <w:tmpl w:val="B3DFEF2A"/>
    <w:lvl w:ilvl="0" w:tentative="0">
      <w:start w:val="1"/>
      <w:numFmt w:val="decimal"/>
      <w:suff w:val="nothing"/>
      <w:lvlText w:val="%1、"/>
      <w:lvlJc w:val="left"/>
    </w:lvl>
  </w:abstractNum>
  <w:abstractNum w:abstractNumId="2">
    <w:nsid w:val="C683B212"/>
    <w:multiLevelType w:val="singleLevel"/>
    <w:tmpl w:val="C683B212"/>
    <w:lvl w:ilvl="0" w:tentative="0">
      <w:start w:val="2"/>
      <w:numFmt w:val="chineseCounting"/>
      <w:suff w:val="nothing"/>
      <w:lvlText w:val="（%1）"/>
      <w:lvlJc w:val="left"/>
      <w:rPr>
        <w:rFonts w:hint="eastAsia"/>
      </w:rPr>
    </w:lvl>
  </w:abstractNum>
  <w:abstractNum w:abstractNumId="3">
    <w:nsid w:val="330718AF"/>
    <w:multiLevelType w:val="singleLevel"/>
    <w:tmpl w:val="330718AF"/>
    <w:lvl w:ilvl="0" w:tentative="0">
      <w:start w:val="5"/>
      <w:numFmt w:val="chineseCounting"/>
      <w:suff w:val="nothing"/>
      <w:lvlText w:val="%1、"/>
      <w:lvlJc w:val="left"/>
      <w:rPr>
        <w:rFonts w:hint="eastAsia"/>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JmZTNkZjM0ZmIzNDI2OWQwMmEwZGMzMTA5Yjc2Z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13B61930"/>
    <w:rsid w:val="187F1647"/>
    <w:rsid w:val="1A3B21A2"/>
    <w:rsid w:val="1BAF1154"/>
    <w:rsid w:val="1C655171"/>
    <w:rsid w:val="20276775"/>
    <w:rsid w:val="21ED538F"/>
    <w:rsid w:val="26B75F6B"/>
    <w:rsid w:val="2F2C2A40"/>
    <w:rsid w:val="344704E1"/>
    <w:rsid w:val="355F7EFA"/>
    <w:rsid w:val="39744C0B"/>
    <w:rsid w:val="3A6D2C1F"/>
    <w:rsid w:val="3AEF6FE7"/>
    <w:rsid w:val="3B253993"/>
    <w:rsid w:val="3D406BAD"/>
    <w:rsid w:val="3D680A02"/>
    <w:rsid w:val="402D7E6B"/>
    <w:rsid w:val="441F3676"/>
    <w:rsid w:val="44FC5765"/>
    <w:rsid w:val="45A32E70"/>
    <w:rsid w:val="46DC7E00"/>
    <w:rsid w:val="47B03BA9"/>
    <w:rsid w:val="493B718D"/>
    <w:rsid w:val="510A4FE4"/>
    <w:rsid w:val="52EC150A"/>
    <w:rsid w:val="53A42ADD"/>
    <w:rsid w:val="563B01B4"/>
    <w:rsid w:val="56604927"/>
    <w:rsid w:val="590F0BE0"/>
    <w:rsid w:val="59A70222"/>
    <w:rsid w:val="5C4A315B"/>
    <w:rsid w:val="60E97A82"/>
    <w:rsid w:val="661D3074"/>
    <w:rsid w:val="6B1C1E0E"/>
    <w:rsid w:val="6BDE7164"/>
    <w:rsid w:val="6E485B3A"/>
    <w:rsid w:val="7E5169F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1"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qFormat="1" w:unhideWhenUsed="0" w:uiPriority="0"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ody Text"/>
    <w:basedOn w:val="1"/>
    <w:qFormat/>
    <w:uiPriority w:val="1"/>
    <w:rPr>
      <w:rFonts w:ascii="仿宋" w:hAnsi="仿宋" w:eastAsia="仿宋" w:cs="仿宋"/>
      <w:sz w:val="32"/>
      <w:szCs w:val="32"/>
      <w:lang w:val="zh-CN" w:eastAsia="zh-CN" w:bidi="zh-CN"/>
    </w:rPr>
  </w:style>
  <w:style w:type="paragraph" w:styleId="3">
    <w:name w:val="Body Text Indent"/>
    <w:basedOn w:val="1"/>
    <w:next w:val="1"/>
    <w:qFormat/>
    <w:uiPriority w:val="0"/>
    <w:pPr>
      <w:ind w:left="200" w:leftChars="200"/>
    </w:p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7">
    <w:name w:val="Body Text First Indent 2"/>
    <w:basedOn w:val="3"/>
    <w:next w:val="1"/>
    <w:qFormat/>
    <w:uiPriority w:val="0"/>
    <w:pPr>
      <w:ind w:firstLine="200" w:firstLineChars="200"/>
    </w:pPr>
  </w:style>
  <w:style w:type="table" w:styleId="9">
    <w:name w:val="Table Grid"/>
    <w:basedOn w:val="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1">
    <w:name w:val="页眉 Char"/>
    <w:basedOn w:val="10"/>
    <w:link w:val="5"/>
    <w:qFormat/>
    <w:uiPriority w:val="99"/>
    <w:rPr>
      <w:sz w:val="18"/>
      <w:szCs w:val="18"/>
    </w:rPr>
  </w:style>
  <w:style w:type="character" w:customStyle="1" w:styleId="12">
    <w:name w:val="页脚 Char"/>
    <w:basedOn w:val="10"/>
    <w:link w:val="4"/>
    <w:qFormat/>
    <w:uiPriority w:val="99"/>
    <w:rPr>
      <w:sz w:val="18"/>
      <w:szCs w:val="18"/>
    </w:rPr>
  </w:style>
  <w:style w:type="paragraph" w:customStyle="1" w:styleId="13">
    <w:name w:val="Normal Indent1"/>
    <w:basedOn w:val="1"/>
    <w:qFormat/>
    <w:uiPriority w:val="0"/>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19</Pages>
  <Words>8756</Words>
  <Characters>9370</Characters>
  <Lines>3</Lines>
  <Paragraphs>1</Paragraphs>
  <TotalTime>21</TotalTime>
  <ScaleCrop>false</ScaleCrop>
  <LinksUpToDate>false</LinksUpToDate>
  <CharactersWithSpaces>9400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汤之锦水</cp:lastModifiedBy>
  <cp:lastPrinted>2024-05-29T06:05:46Z</cp:lastPrinted>
  <dcterms:modified xsi:type="dcterms:W3CDTF">2024-05-29T06:27:09Z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49CE16E069994F56A30DC5F98F926354_13</vt:lpwstr>
  </property>
</Properties>
</file>