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cs="黑体"/>
          <w:sz w:val="32"/>
          <w:szCs w:val="32"/>
        </w:rPr>
      </w:pPr>
      <w:r>
        <w:rPr>
          <w:rFonts w:hint="eastAsia" w:ascii="黑体" w:hAnsi="黑体" w:eastAsia="黑体" w:cs="黑体"/>
          <w:sz w:val="32"/>
          <w:szCs w:val="32"/>
        </w:rPr>
        <w:t>附件4</w:t>
      </w:r>
    </w:p>
    <w:p>
      <w:pPr>
        <w:adjustRightInd w:val="0"/>
        <w:snapToGrid w:val="0"/>
        <w:spacing w:line="560" w:lineRule="exact"/>
        <w:rPr>
          <w:rFonts w:ascii="黑体" w:hAnsi="黑体" w:eastAsia="黑体" w:cs="黑体"/>
          <w:sz w:val="32"/>
          <w:szCs w:val="32"/>
        </w:rPr>
      </w:pPr>
    </w:p>
    <w:p>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藁城区纪委</w:t>
      </w:r>
    </w:p>
    <w:p>
      <w:pPr>
        <w:snapToGrid w:val="0"/>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2023年度整体支出绩效自评工作报告</w:t>
      </w:r>
    </w:p>
    <w:p>
      <w:pPr>
        <w:snapToGrid w:val="0"/>
        <w:spacing w:line="560" w:lineRule="exact"/>
        <w:jc w:val="center"/>
        <w:rPr>
          <w:rFonts w:ascii="仿宋_GB2312" w:hAnsi="仿宋_GB2312" w:eastAsia="仿宋_GB2312" w:cs="仿宋_GB2312"/>
          <w:sz w:val="32"/>
          <w:szCs w:val="32"/>
        </w:rPr>
      </w:pP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贯彻落实区委区政府《关于全面落实预算绩效管理的实施意见》（藁发〔2019〕9号）文件精神，遵循“科学性、规范性、客观性和公正性”的原则，对藁城区纪委2023年整体支出情况实施了财政支出绩效自评价，形成本评价报告。</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一、部门基本情况</w:t>
      </w:r>
    </w:p>
    <w:p>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国共产党石家庄市藁城区纪律检查委员会单位性质为行政单位，经费形式为财政拨款，主要负责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等工作。</w:t>
      </w:r>
    </w:p>
    <w:p>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我委2023年共有监察委办公场所租赁费、办案专项经费、大要案专项工作经费等15个项目，预算资金共计605.15万元，实际到位资金605.15万元，资金到位率100%；应到位资金605.15 万元，及时到位资金605.15 万元，到位及时率100%。</w:t>
      </w:r>
    </w:p>
    <w:p>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根据项目执行情况和项目绩效情况，13个项目均完成了本年度项目绩效目标，综合评分均在95分以上，项目综合绩效评价为优秀。</w:t>
      </w:r>
    </w:p>
    <w:p>
      <w:pPr>
        <w:numPr>
          <w:ilvl w:val="0"/>
          <w:numId w:val="1"/>
        </w:num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绩效自评工作开展情况</w:t>
      </w:r>
    </w:p>
    <w:p>
      <w:pPr>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pPr>
        <w:snapToGrid w:val="0"/>
        <w:spacing w:line="560" w:lineRule="exact"/>
        <w:ind w:firstLine="643" w:firstLineChars="200"/>
        <w:rPr>
          <w:rFonts w:ascii="仿宋_GB2312" w:hAnsi="仿宋_GB2312" w:eastAsia="仿宋_GB2312" w:cs="仿宋_GB2312"/>
          <w:sz w:val="32"/>
          <w:szCs w:val="32"/>
        </w:rPr>
      </w:pPr>
      <w:r>
        <w:rPr>
          <w:rFonts w:hint="eastAsia" w:ascii="仿宋" w:hAnsi="仿宋" w:eastAsia="仿宋" w:cs="仿宋"/>
          <w:b/>
          <w:bCs/>
          <w:sz w:val="32"/>
          <w:szCs w:val="32"/>
        </w:rPr>
        <w:t>自评的组织工作:</w:t>
      </w:r>
      <w:r>
        <w:rPr>
          <w:rFonts w:hint="eastAsia" w:ascii="仿宋_GB2312" w:hAnsi="仿宋_GB2312" w:eastAsia="仿宋_GB2312" w:cs="仿宋_GB2312"/>
          <w:sz w:val="32"/>
          <w:szCs w:val="32"/>
        </w:rPr>
        <w:t>绩效评价工作由单位负责人牵头抓总负责推进并有分管常委、2名财务工作人员组成测评工作小组。</w:t>
      </w:r>
    </w:p>
    <w:p>
      <w:pPr>
        <w:snapToGrid w:val="0"/>
        <w:spacing w:line="560" w:lineRule="exact"/>
        <w:ind w:firstLine="643" w:firstLineChars="200"/>
        <w:rPr>
          <w:rFonts w:ascii="仿宋_GB2312" w:hAnsi="仿宋_GB2312" w:eastAsia="仿宋_GB2312" w:cs="仿宋_GB2312"/>
          <w:sz w:val="32"/>
          <w:szCs w:val="32"/>
        </w:rPr>
      </w:pPr>
      <w:r>
        <w:rPr>
          <w:rFonts w:hint="eastAsia" w:ascii="仿宋" w:hAnsi="仿宋" w:eastAsia="仿宋" w:cs="仿宋"/>
          <w:b/>
          <w:bCs/>
          <w:sz w:val="32"/>
          <w:szCs w:val="32"/>
        </w:rPr>
        <w:t>建立绩效评价指标体系：</w:t>
      </w:r>
      <w:bookmarkStart w:id="0" w:name="_Hlk167200493"/>
      <w:r>
        <w:rPr>
          <w:rFonts w:hint="eastAsia" w:ascii="仿宋_GB2312" w:hAnsi="仿宋_GB2312" w:eastAsia="仿宋_GB2312" w:cs="仿宋_GB2312"/>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部门整体支出绩效目标实现情况及指标分析涉及服务对象满意度内容或因服务对象满意度获取难度较大、成本较高而未能获取，则服务对象满意度的10分调入效益考核事项。</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二、三级指标所占权重应当根据指标重要程度、项目实施阶段等因素综合确定，准确反映预算项目的产出和效果。同类评价对象的指标权重设置应当基本一致，便于评价结果相互比较。</w:t>
      </w:r>
    </w:p>
    <w:bookmarkEnd w:id="0"/>
    <w:p>
      <w:pPr>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（二）自评的方法和过程</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工作由单位负责人统一布置安排，共分三个阶段进行。第一阶段，筹备资料阶段;第二阶段，集中测评阶段，绩效测评小组成员按照绩效评价指标体系以及提供材料进行测评打分;第三阶段，汇总生成报告阶段，根据对测评结果进行汇总审核并撰写自评报告。</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三、部门整体支出绩效目标实现情况及指标分析</w:t>
      </w:r>
    </w:p>
    <w:p>
      <w:pPr>
        <w:adjustRightInd w:val="0"/>
        <w:snapToGrid w:val="0"/>
        <w:spacing w:line="560" w:lineRule="exact"/>
        <w:ind w:firstLine="640" w:firstLineChars="200"/>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（一）总体绩效目标实现情况</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习近平新时代中国特色社会主义思想为指导，坚持稳中求进的工作总基调，以党的政治建设为统领，协助党委全面从严治党，推进国家建设清正廉洁的政治团队。组织协调全区党风廉政建设和反腐败宣传教育工作，加强党内政治生活监督检查，建设高素质专业化的纪检监察干部队伍，做忠诚干净担当、敢于善于斗争的战士。对受理信访、举报，集中管理问题线索、组织协调案件查办，调查、审查违纪违法案件，对案件审理提出处理意见达到</w:t>
      </w:r>
      <w:r>
        <w:rPr>
          <w:rFonts w:ascii="仿宋_GB2312" w:hAnsi="仿宋_GB2312" w:eastAsia="仿宋_GB2312" w:cs="仿宋_GB2312"/>
          <w:sz w:val="32"/>
          <w:szCs w:val="32"/>
        </w:rPr>
        <w:t>95%</w:t>
      </w:r>
      <w:r>
        <w:rPr>
          <w:rFonts w:hint="eastAsia" w:ascii="仿宋_GB2312" w:hAnsi="仿宋_GB2312" w:eastAsia="仿宋_GB2312" w:cs="仿宋_GB2312"/>
          <w:sz w:val="32"/>
          <w:szCs w:val="32"/>
        </w:rPr>
        <w:t>以上，并确保</w:t>
      </w:r>
      <w:r>
        <w:rPr>
          <w:rFonts w:ascii="仿宋_GB2312" w:hAnsi="仿宋_GB2312" w:eastAsia="仿宋_GB2312" w:cs="仿宋_GB2312"/>
          <w:sz w:val="32"/>
          <w:szCs w:val="32"/>
        </w:rPr>
        <w:t>2023</w:t>
      </w:r>
      <w:r>
        <w:rPr>
          <w:rFonts w:hint="eastAsia" w:ascii="仿宋_GB2312" w:hAnsi="仿宋_GB2312" w:eastAsia="仿宋_GB2312" w:cs="仿宋_GB2312"/>
          <w:sz w:val="32"/>
          <w:szCs w:val="32"/>
        </w:rPr>
        <w:t>年结案率达</w:t>
      </w:r>
      <w:r>
        <w:rPr>
          <w:rFonts w:ascii="仿宋_GB2312" w:hAnsi="仿宋_GB2312" w:eastAsia="仿宋_GB2312" w:cs="仿宋_GB2312"/>
          <w:sz w:val="32"/>
          <w:szCs w:val="32"/>
        </w:rPr>
        <w:t>90%</w:t>
      </w:r>
      <w:r>
        <w:rPr>
          <w:rFonts w:hint="eastAsia" w:ascii="仿宋_GB2312" w:hAnsi="仿宋_GB2312" w:eastAsia="仿宋_GB2312" w:cs="仿宋_GB2312"/>
          <w:sz w:val="32"/>
          <w:szCs w:val="32"/>
        </w:rPr>
        <w:t>，且结案时长均不超过法定时间。加强信息化建设，分阶段完成替代计划，定期对网络系统进行检查。</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根据项目执行情况和项目绩效情况，13个项目均完成了本年度项目绩效目标，综合评分为100 分。项目综合绩效评价为优秀。2个项目为零支出项目，原因是</w:t>
      </w:r>
      <w:r>
        <w:rPr>
          <w:rFonts w:hint="eastAsia" w:ascii="仿宋_GB2312" w:hAnsi="仿宋_GB2312" w:eastAsia="仿宋_GB2312" w:cs="仿宋_GB2312"/>
          <w:sz w:val="32"/>
          <w:szCs w:val="32"/>
          <w:lang w:val="en-US" w:eastAsia="zh-CN"/>
        </w:rPr>
        <w:t>列入下一年度支出计划</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本年度</w:t>
      </w:r>
      <w:bookmarkStart w:id="2" w:name="_GoBack"/>
      <w:bookmarkEnd w:id="2"/>
      <w:r>
        <w:rPr>
          <w:rFonts w:hint="eastAsia" w:ascii="仿宋_GB2312" w:hAnsi="仿宋_GB2312" w:eastAsia="仿宋_GB2312" w:cs="仿宋_GB2312"/>
          <w:sz w:val="32"/>
          <w:szCs w:val="32"/>
        </w:rPr>
        <w:t>未能按时支出，未能完成项目绩效目标。</w:t>
      </w:r>
    </w:p>
    <w:p>
      <w:pPr>
        <w:spacing w:line="560" w:lineRule="exact"/>
        <w:ind w:firstLine="640" w:firstLineChars="200"/>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1.加强案件审查调查工作</w:t>
      </w:r>
      <w:r>
        <w:rPr>
          <w:rFonts w:ascii="仿宋_GB2312" w:hAnsi="仿宋_GB2312" w:eastAsia="仿宋_GB2312" w:cs="仿宋_GB2312"/>
          <w:b/>
          <w:bCs/>
          <w:sz w:val="32"/>
          <w:szCs w:val="32"/>
        </w:rPr>
        <w:tab/>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接受关于党内法规政策、国家法律法规、党风廉政建设执行情况的举报，开展有关党风政风监督专项检查，查处各类违法违纪问题，加大问责力度，维护党纪国法尊严，坚决惩处腐败分子，有效遏制腐败现象。</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绩效指标：受理信访、举报，集中管理问题线索、组织协调案件查办，调查、审查违纪违法案件，对案件审理提出处理意见达到</w:t>
      </w:r>
      <w:r>
        <w:rPr>
          <w:rFonts w:ascii="仿宋_GB2312" w:hAnsi="仿宋_GB2312" w:eastAsia="仿宋_GB2312" w:cs="仿宋_GB2312"/>
          <w:sz w:val="32"/>
          <w:szCs w:val="32"/>
        </w:rPr>
        <w:t>95%</w:t>
      </w:r>
      <w:r>
        <w:rPr>
          <w:rFonts w:hint="eastAsia" w:ascii="仿宋_GB2312" w:hAnsi="仿宋_GB2312" w:eastAsia="仿宋_GB2312" w:cs="仿宋_GB2312"/>
          <w:sz w:val="32"/>
          <w:szCs w:val="32"/>
        </w:rPr>
        <w:t>以上。紧紧围绕监督基本职责，</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着力构建全覆盖、</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无盲区的大监督格局，切实加强对全区区直部门、</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乡镇等党组织管党治党情况的监督检查，用好问责利器，推动主体责任落地落实落细。全起底排查问题线索，着力解决核查不深入，定性量纪不精准问题，保持惩治腐败高压态。加强对中央八项规定及实施细则精神执行情况的监督检查，扎实开展纠正“四风”和作风纪律专项整治，</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坚决整治群众身边腐败问题，</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提高人民群众的获得感幸福感安全感。</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2.加强党风廉政建设</w:t>
      </w:r>
      <w:r>
        <w:rPr>
          <w:rFonts w:ascii="仿宋_GB2312" w:hAnsi="仿宋_GB2312" w:eastAsia="仿宋_GB2312" w:cs="仿宋_GB2312"/>
          <w:sz w:val="32"/>
          <w:szCs w:val="32"/>
        </w:rPr>
        <w:tab/>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绩效目标：积极发挥职能作用，加强党风廉政建设，营造风清气正、干事创业的工作氛围。</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组织协调全区党风廉政建设和反腐败宣传、教育、课题研究及规定、制度的起草修订；承担区委惩治和预防腐败体系领导小组办公室的日常工作，针对全区党风廉政建设，每月开展至少一次宣传教育活动，活动参与率达到</w:t>
      </w:r>
      <w:r>
        <w:rPr>
          <w:rFonts w:ascii="仿宋_GB2312" w:hAnsi="仿宋_GB2312" w:eastAsia="仿宋_GB2312" w:cs="仿宋_GB2312"/>
          <w:sz w:val="32"/>
          <w:szCs w:val="32"/>
        </w:rPr>
        <w:t>85%</w:t>
      </w:r>
      <w:r>
        <w:rPr>
          <w:rFonts w:hint="eastAsia" w:ascii="仿宋_GB2312" w:hAnsi="仿宋_GB2312" w:eastAsia="仿宋_GB2312" w:cs="仿宋_GB2312"/>
          <w:sz w:val="32"/>
          <w:szCs w:val="32"/>
        </w:rPr>
        <w:t>以上，实现教育挽救的作用。</w:t>
      </w:r>
    </w:p>
    <w:p>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3.加强监督检查的力度</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绩效目标：加大问责力度，促进</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两个责任</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有效落实；坚决纠正</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四风</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问题；监督常态化、全覆盖。</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绩效指标：监督检查党内法规政策、国家法律法规、党风廉政建设</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两个责任</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等落实执行情况达到</w:t>
      </w:r>
      <w:r>
        <w:rPr>
          <w:rFonts w:ascii="仿宋_GB2312" w:hAnsi="仿宋_GB2312" w:eastAsia="仿宋_GB2312" w:cs="仿宋_GB2312"/>
          <w:sz w:val="32"/>
          <w:szCs w:val="32"/>
        </w:rPr>
        <w:t>90%</w:t>
      </w:r>
      <w:r>
        <w:rPr>
          <w:rFonts w:hint="eastAsia" w:ascii="仿宋_GB2312" w:hAnsi="仿宋_GB2312" w:eastAsia="仿宋_GB2312" w:cs="仿宋_GB2312"/>
          <w:sz w:val="32"/>
          <w:szCs w:val="32"/>
        </w:rPr>
        <w:t>以上，履行区政府纠正行业不正之风办公室职能。</w:t>
      </w:r>
      <w:r>
        <w:rPr>
          <w:rFonts w:ascii="仿宋_GB2312" w:hAnsi="仿宋_GB2312" w:eastAsia="仿宋_GB2312" w:cs="仿宋_GB2312"/>
          <w:sz w:val="32"/>
          <w:szCs w:val="32"/>
        </w:rPr>
        <w:tab/>
      </w:r>
    </w:p>
    <w:p>
      <w:pPr>
        <w:spacing w:line="56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4.开展专项治理活动</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绩效目标：积极依法介入群体性事件，化解矛盾，维护稳定，努力为我区经济发展创造良好法治环境，为促进和谐社会构建发挥积极作用。</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绩效指标：重点开展</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预防职务犯罪，促进安全监管，减少伤亡事故</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专项治理活动，深入各单位，向各单位工作人员普及相关法治内容，每月各单位至少开展一次教育会，会议参与率达到</w:t>
      </w:r>
      <w:r>
        <w:rPr>
          <w:rFonts w:ascii="仿宋_GB2312" w:hAnsi="仿宋_GB2312" w:eastAsia="仿宋_GB2312" w:cs="仿宋_GB2312"/>
          <w:sz w:val="32"/>
          <w:szCs w:val="32"/>
        </w:rPr>
        <w:t>90%</w:t>
      </w:r>
      <w:r>
        <w:rPr>
          <w:rFonts w:hint="eastAsia" w:ascii="仿宋_GB2312" w:hAnsi="仿宋_GB2312" w:eastAsia="仿宋_GB2312" w:cs="仿宋_GB2312"/>
          <w:sz w:val="32"/>
          <w:szCs w:val="32"/>
        </w:rPr>
        <w:t>以上。</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四、评价结论和评价等级</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根据项目执行情况和项目绩效情况，运用绩效目标表的评价指标体系和评分标准，项目综合整体评分为100分，综合绩效评价等级为优秀。</w:t>
      </w:r>
    </w:p>
    <w:p>
      <w:pPr>
        <w:numPr>
          <w:ilvl w:val="0"/>
          <w:numId w:val="2"/>
        </w:numPr>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存在的问题及改进措施</w:t>
      </w:r>
    </w:p>
    <w:p>
      <w:pPr>
        <w:spacing w:line="560" w:lineRule="exact"/>
        <w:ind w:firstLine="640" w:firstLineChars="200"/>
        <w:rPr>
          <w:rFonts w:ascii="仿宋_GB2312" w:hAnsi="仿宋_GB2312" w:eastAsia="仿宋_GB2312" w:cs="仿宋_GB2312"/>
          <w:sz w:val="32"/>
          <w:szCs w:val="32"/>
        </w:rPr>
      </w:pPr>
      <w:bookmarkStart w:id="1" w:name="_Hlk167200567"/>
      <w:r>
        <w:rPr>
          <w:rFonts w:hint="eastAsia" w:ascii="仿宋_GB2312" w:hAnsi="仿宋_GB2312" w:eastAsia="仿宋_GB2312" w:cs="仿宋_GB2312"/>
          <w:sz w:val="32"/>
          <w:szCs w:val="32"/>
        </w:rPr>
        <w:t>建议评价结果整改应用机制，督促被评价项目落实整改，不定期抽查整改情况，将整改落实情况与年终考核挂钩；改进绩效自评工作管理，优化绩效自评工作流程，鼓励自查自纠，充分发挥主管能动性，提高财政资金使用效益；进一步完善绩效目标设置质量，进一步细化反映总体绩效目标实现程度的关键性指标，最终行成科学的评价指标体系。</w:t>
      </w:r>
    </w:p>
    <w:bookmarkEnd w:id="1"/>
    <w:p>
      <w:pPr>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6"/>
        <w:gridCol w:w="2237"/>
        <w:gridCol w:w="1701"/>
        <w:gridCol w:w="28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1636"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姓名</w:t>
            </w:r>
          </w:p>
        </w:tc>
        <w:tc>
          <w:tcPr>
            <w:tcW w:w="2237"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工作单位</w:t>
            </w:r>
          </w:p>
        </w:tc>
        <w:tc>
          <w:tcPr>
            <w:tcW w:w="1701"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职务</w:t>
            </w:r>
          </w:p>
        </w:tc>
        <w:tc>
          <w:tcPr>
            <w:tcW w:w="2857"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2" w:hRule="atLeast"/>
          <w:jc w:val="center"/>
        </w:trPr>
        <w:tc>
          <w:tcPr>
            <w:tcW w:w="1636"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聂素强</w:t>
            </w:r>
          </w:p>
        </w:tc>
        <w:tc>
          <w:tcPr>
            <w:tcW w:w="2237"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副书记</w:t>
            </w:r>
          </w:p>
        </w:tc>
        <w:tc>
          <w:tcPr>
            <w:tcW w:w="2857" w:type="dxa"/>
            <w:vAlign w:val="center"/>
          </w:tcPr>
          <w:p>
            <w:pPr>
              <w:snapToGrid w:val="0"/>
              <w:spacing w:line="560" w:lineRule="exac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636"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黄志伟</w:t>
            </w:r>
          </w:p>
        </w:tc>
        <w:tc>
          <w:tcPr>
            <w:tcW w:w="2237"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常委</w:t>
            </w:r>
          </w:p>
        </w:tc>
        <w:tc>
          <w:tcPr>
            <w:tcW w:w="2857" w:type="dxa"/>
            <w:vAlign w:val="center"/>
          </w:tcPr>
          <w:p>
            <w:pPr>
              <w:snapToGrid w:val="0"/>
              <w:spacing w:line="560" w:lineRule="exac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636"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甘彦荣</w:t>
            </w:r>
          </w:p>
        </w:tc>
        <w:tc>
          <w:tcPr>
            <w:tcW w:w="2237"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财务</w:t>
            </w:r>
          </w:p>
        </w:tc>
        <w:tc>
          <w:tcPr>
            <w:tcW w:w="2857" w:type="dxa"/>
            <w:vAlign w:val="center"/>
          </w:tcPr>
          <w:p>
            <w:pPr>
              <w:snapToGrid w:val="0"/>
              <w:spacing w:line="560" w:lineRule="exact"/>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636"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王玉聪</w:t>
            </w:r>
          </w:p>
        </w:tc>
        <w:tc>
          <w:tcPr>
            <w:tcW w:w="2237"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藁城区纪委</w:t>
            </w:r>
          </w:p>
        </w:tc>
        <w:tc>
          <w:tcPr>
            <w:tcW w:w="1701" w:type="dxa"/>
            <w:vAlign w:val="center"/>
          </w:tcPr>
          <w:p>
            <w:pPr>
              <w:snapToGrid w:val="0"/>
              <w:spacing w:line="560" w:lineRule="exact"/>
              <w:rPr>
                <w:rFonts w:ascii="仿宋" w:hAnsi="仿宋" w:eastAsia="仿宋" w:cs="仿宋"/>
                <w:sz w:val="32"/>
                <w:szCs w:val="32"/>
              </w:rPr>
            </w:pPr>
            <w:r>
              <w:rPr>
                <w:rFonts w:hint="eastAsia" w:ascii="仿宋" w:hAnsi="仿宋" w:eastAsia="仿宋" w:cs="仿宋"/>
                <w:sz w:val="32"/>
                <w:szCs w:val="32"/>
              </w:rPr>
              <w:t>财务</w:t>
            </w:r>
          </w:p>
        </w:tc>
        <w:tc>
          <w:tcPr>
            <w:tcW w:w="2857" w:type="dxa"/>
            <w:vAlign w:val="center"/>
          </w:tcPr>
          <w:p>
            <w:pPr>
              <w:snapToGrid w:val="0"/>
              <w:spacing w:line="560" w:lineRule="exact"/>
              <w:rPr>
                <w:rFonts w:ascii="仿宋" w:hAnsi="仿宋" w:eastAsia="仿宋" w:cs="仿宋"/>
                <w:sz w:val="32"/>
                <w:szCs w:val="32"/>
              </w:rPr>
            </w:pPr>
          </w:p>
        </w:tc>
      </w:tr>
    </w:tbl>
    <w:p>
      <w:pPr>
        <w:snapToGrid w:val="0"/>
        <w:spacing w:line="560" w:lineRule="exact"/>
        <w:rPr>
          <w:rFonts w:ascii="仿宋_GB2312" w:hAnsi="仿宋_GB2312" w:eastAsia="仿宋_GB2312" w:cs="仿宋_GB2312"/>
          <w:sz w:val="32"/>
          <w:szCs w:val="32"/>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NmOTlkZjMyZTcwNjAxYmQ1MzgwMTMwZDE4NzA5ZGEifQ=="/>
  </w:docVars>
  <w:rsids>
    <w:rsidRoot w:val="00EF16A3"/>
    <w:rsid w:val="00010BD3"/>
    <w:rsid w:val="00074282"/>
    <w:rsid w:val="00096F31"/>
    <w:rsid w:val="000D193E"/>
    <w:rsid w:val="000D29F1"/>
    <w:rsid w:val="000E05C8"/>
    <w:rsid w:val="001171BD"/>
    <w:rsid w:val="00124CB0"/>
    <w:rsid w:val="001627CF"/>
    <w:rsid w:val="001646B1"/>
    <w:rsid w:val="00176210"/>
    <w:rsid w:val="001D2D4C"/>
    <w:rsid w:val="00271DBD"/>
    <w:rsid w:val="00383AC5"/>
    <w:rsid w:val="003A354E"/>
    <w:rsid w:val="003B412A"/>
    <w:rsid w:val="00432709"/>
    <w:rsid w:val="0043554E"/>
    <w:rsid w:val="004919BA"/>
    <w:rsid w:val="00491FCD"/>
    <w:rsid w:val="004D38FE"/>
    <w:rsid w:val="004E6C05"/>
    <w:rsid w:val="004F6F9F"/>
    <w:rsid w:val="00546BCB"/>
    <w:rsid w:val="005860EE"/>
    <w:rsid w:val="005B610E"/>
    <w:rsid w:val="005C236C"/>
    <w:rsid w:val="005E6EC9"/>
    <w:rsid w:val="0061261F"/>
    <w:rsid w:val="00645AF3"/>
    <w:rsid w:val="00656B2A"/>
    <w:rsid w:val="00665896"/>
    <w:rsid w:val="006E7B17"/>
    <w:rsid w:val="006F351D"/>
    <w:rsid w:val="00702479"/>
    <w:rsid w:val="0071336C"/>
    <w:rsid w:val="0071475B"/>
    <w:rsid w:val="0077251A"/>
    <w:rsid w:val="00793214"/>
    <w:rsid w:val="007D43DA"/>
    <w:rsid w:val="007E50DB"/>
    <w:rsid w:val="007E661D"/>
    <w:rsid w:val="007F5EE6"/>
    <w:rsid w:val="007F7CC2"/>
    <w:rsid w:val="0081530B"/>
    <w:rsid w:val="008C31C3"/>
    <w:rsid w:val="008E0E58"/>
    <w:rsid w:val="009405F1"/>
    <w:rsid w:val="00941865"/>
    <w:rsid w:val="00966800"/>
    <w:rsid w:val="0097176D"/>
    <w:rsid w:val="00986803"/>
    <w:rsid w:val="0099577A"/>
    <w:rsid w:val="009F1522"/>
    <w:rsid w:val="00A06D88"/>
    <w:rsid w:val="00A14A22"/>
    <w:rsid w:val="00AB70A8"/>
    <w:rsid w:val="00AF5C06"/>
    <w:rsid w:val="00B723C7"/>
    <w:rsid w:val="00B8177D"/>
    <w:rsid w:val="00B86365"/>
    <w:rsid w:val="00BB0C5A"/>
    <w:rsid w:val="00BE032C"/>
    <w:rsid w:val="00BE5049"/>
    <w:rsid w:val="00C11C22"/>
    <w:rsid w:val="00C242EC"/>
    <w:rsid w:val="00C331BC"/>
    <w:rsid w:val="00C475E9"/>
    <w:rsid w:val="00C90A95"/>
    <w:rsid w:val="00CD766D"/>
    <w:rsid w:val="00CE156F"/>
    <w:rsid w:val="00CF7EA5"/>
    <w:rsid w:val="00DA58E7"/>
    <w:rsid w:val="00DE50A2"/>
    <w:rsid w:val="00DF6FF4"/>
    <w:rsid w:val="00E03726"/>
    <w:rsid w:val="00E17D5D"/>
    <w:rsid w:val="00E35116"/>
    <w:rsid w:val="00E61BFC"/>
    <w:rsid w:val="00E841B7"/>
    <w:rsid w:val="00EA780B"/>
    <w:rsid w:val="00ED5E84"/>
    <w:rsid w:val="00EF16A3"/>
    <w:rsid w:val="00F57E52"/>
    <w:rsid w:val="00FB4297"/>
    <w:rsid w:val="055B525F"/>
    <w:rsid w:val="0A6B4D4D"/>
    <w:rsid w:val="13B61930"/>
    <w:rsid w:val="1A3B21A2"/>
    <w:rsid w:val="1BAF1154"/>
    <w:rsid w:val="1C655171"/>
    <w:rsid w:val="20276775"/>
    <w:rsid w:val="26B75F6B"/>
    <w:rsid w:val="2F2C2A40"/>
    <w:rsid w:val="344704E1"/>
    <w:rsid w:val="39744C0B"/>
    <w:rsid w:val="3AEF6FE7"/>
    <w:rsid w:val="441F3676"/>
    <w:rsid w:val="493B718D"/>
    <w:rsid w:val="53A42ADD"/>
    <w:rsid w:val="563B01B4"/>
    <w:rsid w:val="56604927"/>
    <w:rsid w:val="590F0BE0"/>
    <w:rsid w:val="5C4A315B"/>
    <w:rsid w:val="661D3074"/>
    <w:rsid w:val="6B1C1E0E"/>
    <w:rsid w:val="6BDE7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 w:type="paragraph" w:styleId="9">
    <w:name w:val="List Paragraph"/>
    <w:basedOn w:val="1"/>
    <w:unhideWhenUsed/>
    <w:qFormat/>
    <w:uiPriority w:val="99"/>
    <w:pPr>
      <w:ind w:firstLine="420" w:firstLineChars="200"/>
    </w:pPr>
  </w:style>
  <w:style w:type="paragraph" w:customStyle="1" w:styleId="10">
    <w:name w:val="插入文本样式-插入职责分类绩效目标文件"/>
    <w:basedOn w:val="1"/>
    <w:qFormat/>
    <w:uiPriority w:val="0"/>
    <w:pPr>
      <w:widowControl/>
      <w:spacing w:line="500" w:lineRule="exact"/>
      <w:ind w:firstLine="560"/>
      <w:jc w:val="left"/>
    </w:pPr>
    <w:rPr>
      <w:rFonts w:eastAsia="方正仿宋_GBK"/>
      <w:kern w:val="0"/>
      <w:sz w:val="28"/>
      <w:lang w:eastAsia="uk-UA"/>
    </w:rPr>
  </w:style>
  <w:style w:type="paragraph" w:customStyle="1" w:styleId="11">
    <w:name w:val="插入文本样式-插入总体目标文件"/>
    <w:basedOn w:val="1"/>
    <w:qFormat/>
    <w:uiPriority w:val="0"/>
    <w:pPr>
      <w:widowControl/>
      <w:spacing w:line="500" w:lineRule="exact"/>
      <w:ind w:firstLine="560"/>
      <w:jc w:val="left"/>
    </w:pPr>
    <w:rPr>
      <w:rFonts w:eastAsia="方正仿宋_GBK"/>
      <w:kern w:val="0"/>
      <w:sz w:val="2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2547</Words>
  <Characters>2619</Characters>
  <Lines>19</Lines>
  <Paragraphs>5</Paragraphs>
  <TotalTime>125</TotalTime>
  <ScaleCrop>false</ScaleCrop>
  <LinksUpToDate>false</LinksUpToDate>
  <CharactersWithSpaces>2629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2024-05-15T01:58:00Z</dcterms:created>
  <dc:creator>user</dc:creator>
  <cp:lastModifiedBy>JW212</cp:lastModifiedBy>
  <cp:lastPrinted>2021-02-24T05:43:00Z</cp:lastPrinted>
  <dcterms:modified xsi:type="dcterms:W3CDTF">2024-07-04T08:58:05Z</dcterms:modified>
  <dc:title>附件2： </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28C64EFCB758481798A31117B3E7B5E3</vt:lpwstr>
  </property>
</Properties>
</file>