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石家庄市藁城区红十字会</w:t>
      </w:r>
      <w:r>
        <w:rPr>
          <w:rFonts w:hint="eastAsia" w:ascii="方正小标宋简体" w:hAnsi="方正小标宋简体" w:eastAsia="方正小标宋简体" w:cs="方正小标宋简体"/>
          <w:b w:val="0"/>
          <w:bCs w:val="0"/>
          <w:sz w:val="44"/>
          <w:szCs w:val="44"/>
        </w:rPr>
        <w:t>部门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石家庄市藁城区红十字会</w:t>
      </w:r>
      <w:r>
        <w:rPr>
          <w:rFonts w:hint="eastAsia" w:ascii="仿宋_GB2312" w:hAnsi="仿宋_GB2312" w:eastAsia="仿宋_GB2312" w:cs="仿宋_GB2312"/>
          <w:sz w:val="32"/>
          <w:szCs w:val="32"/>
          <w:highlight w:val="none"/>
          <w:lang w:eastAsia="zh-CN"/>
        </w:rPr>
        <w:t>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snapToGrid w:val="0"/>
        <w:spacing w:line="52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1．主要职能</w:t>
      </w:r>
    </w:p>
    <w:p>
      <w:pPr>
        <w:snapToGrid w:val="0"/>
        <w:spacing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宣传和执行《中华人民共和国红十字会法》、《中国红十字会章程》和《中国红十字会标志使用办法》等相关法律法规；开展</w:t>
      </w:r>
      <w:r>
        <w:rPr>
          <w:rFonts w:hint="eastAsia" w:ascii="仿宋_GB2312" w:hAnsi="仿宋_GB2312" w:eastAsia="仿宋_GB2312" w:cs="仿宋_GB2312"/>
          <w:sz w:val="32"/>
          <w:szCs w:val="32"/>
          <w:lang w:val="en-US" w:eastAsia="zh-CN"/>
        </w:rPr>
        <w:t>救援、</w:t>
      </w:r>
      <w:r>
        <w:rPr>
          <w:rFonts w:hint="eastAsia" w:ascii="仿宋_GB2312" w:hAnsi="仿宋_GB2312" w:eastAsia="仿宋_GB2312" w:cs="仿宋_GB2312"/>
          <w:sz w:val="32"/>
          <w:szCs w:val="32"/>
        </w:rPr>
        <w:t>救灾</w:t>
      </w:r>
      <w:r>
        <w:rPr>
          <w:rFonts w:hint="eastAsia" w:ascii="仿宋_GB2312" w:hAnsi="仿宋_GB2312" w:eastAsia="仿宋_GB2312" w:cs="仿宋_GB2312"/>
          <w:sz w:val="32"/>
          <w:szCs w:val="32"/>
          <w:lang w:val="en-US" w:eastAsia="zh-CN"/>
        </w:rPr>
        <w:t>的相关</w:t>
      </w:r>
      <w:r>
        <w:rPr>
          <w:rFonts w:hint="eastAsia" w:ascii="仿宋_GB2312" w:hAnsi="仿宋_GB2312" w:eastAsia="仿宋_GB2312" w:cs="仿宋_GB2312"/>
          <w:sz w:val="32"/>
          <w:szCs w:val="32"/>
        </w:rPr>
        <w:t>工作；开展应急救护</w:t>
      </w:r>
      <w:r>
        <w:rPr>
          <w:rFonts w:hint="eastAsia" w:ascii="仿宋_GB2312" w:hAnsi="仿宋_GB2312" w:eastAsia="仿宋_GB2312" w:cs="仿宋_GB2312"/>
          <w:sz w:val="32"/>
          <w:szCs w:val="32"/>
          <w:lang w:val="en-US" w:eastAsia="zh-CN"/>
        </w:rPr>
        <w:t>培训，普及应急救护、防灾避险和卫生健康知识，组织志愿者参与现场救护</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参与、推动</w:t>
      </w:r>
      <w:r>
        <w:rPr>
          <w:rFonts w:hint="eastAsia" w:ascii="仿宋_GB2312" w:hAnsi="仿宋_GB2312" w:eastAsia="仿宋_GB2312" w:cs="仿宋_GB2312"/>
          <w:sz w:val="32"/>
          <w:szCs w:val="32"/>
        </w:rPr>
        <w:t>无偿献血、遗体</w:t>
      </w:r>
      <w:r>
        <w:rPr>
          <w:rFonts w:hint="eastAsia" w:ascii="仿宋_GB2312" w:hAnsi="仿宋_GB2312" w:eastAsia="仿宋_GB2312" w:cs="仿宋_GB2312"/>
          <w:sz w:val="32"/>
          <w:szCs w:val="32"/>
          <w:lang w:val="en-US" w:eastAsia="zh-CN"/>
        </w:rPr>
        <w:t>和人体</w:t>
      </w:r>
      <w:r>
        <w:rPr>
          <w:rFonts w:hint="eastAsia" w:ascii="仿宋_GB2312" w:hAnsi="仿宋_GB2312" w:eastAsia="仿宋_GB2312" w:cs="仿宋_GB2312"/>
          <w:sz w:val="32"/>
          <w:szCs w:val="32"/>
        </w:rPr>
        <w:t>器官捐献</w:t>
      </w:r>
      <w:r>
        <w:rPr>
          <w:rFonts w:hint="eastAsia" w:ascii="仿宋_GB2312" w:hAnsi="仿宋_GB2312" w:eastAsia="仿宋_GB2312" w:cs="仿宋_GB2312"/>
          <w:sz w:val="32"/>
          <w:szCs w:val="32"/>
          <w:lang w:val="en-US" w:eastAsia="zh-CN"/>
        </w:rPr>
        <w:t>工作，参与开展</w:t>
      </w:r>
      <w:r>
        <w:rPr>
          <w:rFonts w:hint="eastAsia" w:ascii="仿宋_GB2312" w:hAnsi="仿宋_GB2312" w:eastAsia="仿宋_GB2312" w:cs="仿宋_GB2312"/>
          <w:sz w:val="32"/>
          <w:szCs w:val="32"/>
        </w:rPr>
        <w:t>造血干细胞</w:t>
      </w:r>
      <w:r>
        <w:rPr>
          <w:rFonts w:hint="eastAsia" w:ascii="仿宋_GB2312" w:hAnsi="仿宋_GB2312" w:eastAsia="仿宋_GB2312" w:cs="仿宋_GB2312"/>
          <w:sz w:val="32"/>
          <w:szCs w:val="32"/>
          <w:lang w:val="en-US" w:eastAsia="zh-CN"/>
        </w:rPr>
        <w:t>捐献的相关</w:t>
      </w:r>
      <w:r>
        <w:rPr>
          <w:rFonts w:hint="eastAsia" w:ascii="仿宋_GB2312" w:hAnsi="仿宋_GB2312" w:eastAsia="仿宋_GB2312" w:cs="仿宋_GB2312"/>
          <w:sz w:val="32"/>
          <w:szCs w:val="32"/>
        </w:rPr>
        <w:t>工作；开展社会救助及相关服务工作；开展有益于青少年身心健康的红十字青少年活动；组织开展志愿服务工作；依法开展募捐活动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协助人民政府开展与其职责相关的其他人道主义服务活动</w:t>
      </w:r>
      <w:r>
        <w:rPr>
          <w:rFonts w:hint="eastAsia" w:ascii="仿宋_GB2312" w:hAnsi="仿宋_GB2312" w:eastAsia="仿宋_GB2312" w:cs="仿宋_GB2312"/>
          <w:sz w:val="32"/>
          <w:szCs w:val="32"/>
        </w:rPr>
        <w:t>。</w:t>
      </w:r>
    </w:p>
    <w:p>
      <w:pPr>
        <w:numPr>
          <w:ilvl w:val="0"/>
          <w:numId w:val="1"/>
        </w:numPr>
        <w:snapToGrid w:val="0"/>
        <w:spacing w:line="52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组织</w:t>
      </w:r>
      <w:r>
        <w:rPr>
          <w:rFonts w:hint="eastAsia" w:ascii="仿宋_GB2312" w:hAnsi="仿宋_GB2312" w:eastAsia="仿宋_GB2312" w:cs="仿宋_GB2312"/>
          <w:b/>
          <w:bCs/>
          <w:sz w:val="32"/>
          <w:szCs w:val="32"/>
        </w:rPr>
        <w:t>机构情况</w:t>
      </w:r>
    </w:p>
    <w:p>
      <w:pPr>
        <w:pStyle w:val="9"/>
        <w:spacing w:line="520" w:lineRule="atLeas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2023年，纳入本部门决算汇编范围的独立核算机构共1个，即</w:t>
      </w:r>
      <w:r>
        <w:rPr>
          <w:rFonts w:hint="eastAsia" w:ascii="仿宋_GB2312" w:hAnsi="仿宋_GB2312" w:eastAsia="仿宋_GB2312" w:cs="仿宋_GB2312"/>
          <w:sz w:val="32"/>
          <w:szCs w:val="32"/>
        </w:rPr>
        <w:t>藁城区红十字会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单位性质为</w:t>
      </w:r>
      <w:r>
        <w:rPr>
          <w:rFonts w:hint="eastAsia" w:ascii="仿宋_GB2312" w:hAnsi="仿宋_GB2312" w:eastAsia="仿宋_GB2312" w:cs="仿宋_GB2312"/>
          <w:sz w:val="32"/>
          <w:szCs w:val="32"/>
        </w:rPr>
        <w:t>参公群团单位，内设办公室和捐赠管理股。</w:t>
      </w:r>
    </w:p>
    <w:p>
      <w:pPr>
        <w:numPr>
          <w:ilvl w:val="0"/>
          <w:numId w:val="1"/>
        </w:numPr>
        <w:snapToGrid w:val="0"/>
        <w:spacing w:line="52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人员情况</w:t>
      </w:r>
    </w:p>
    <w:p>
      <w:pPr>
        <w:pStyle w:val="9"/>
        <w:spacing w:line="520" w:lineRule="atLeas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藁城区红十字会</w:t>
      </w:r>
      <w:r>
        <w:rPr>
          <w:rFonts w:hint="eastAsia" w:ascii="仿宋_GB2312" w:hAnsi="宋体" w:eastAsia="仿宋_GB2312" w:cs="宋体"/>
          <w:kern w:val="0"/>
          <w:sz w:val="32"/>
          <w:szCs w:val="32"/>
          <w:lang w:val="en-US" w:eastAsia="zh-CN" w:bidi="ar-SA"/>
        </w:rPr>
        <w:t>规格为正科级，单位性质为群团，核定行政编制4名，领导职数2名，常务副会长1名（正科级），秘书长1名（副科级），</w:t>
      </w:r>
      <w:r>
        <w:rPr>
          <w:rFonts w:hint="eastAsia" w:ascii="仿宋_GB2312" w:hAnsi="仿宋_GB2312" w:eastAsia="仿宋_GB2312" w:cs="仿宋_GB2312"/>
          <w:sz w:val="32"/>
          <w:szCs w:val="32"/>
          <w:lang w:val="en-US" w:eastAsia="zh-CN"/>
        </w:rPr>
        <w:t>年末</w:t>
      </w:r>
      <w:r>
        <w:rPr>
          <w:rFonts w:hint="eastAsia" w:ascii="仿宋_GB2312" w:hAnsi="仿宋_GB2312" w:eastAsia="仿宋_GB2312" w:cs="仿宋_GB2312"/>
          <w:sz w:val="32"/>
          <w:szCs w:val="32"/>
        </w:rPr>
        <w:t>在职人员</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人，全部财政开支。</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snapToGrid w:val="0"/>
        <w:spacing w:line="560" w:lineRule="exact"/>
        <w:ind w:firstLine="960" w:firstLineChars="300"/>
        <w:rPr>
          <w:rFonts w:hint="eastAsia" w:ascii="仿宋_GB2312" w:hAnsi="仿宋_GB2312" w:eastAsia="仿宋_GB2312" w:cs="仿宋_GB2312"/>
          <w:sz w:val="32"/>
          <w:szCs w:val="32"/>
        </w:rPr>
      </w:pPr>
      <w:r>
        <w:rPr>
          <w:rFonts w:hint="eastAsia" w:ascii="楷体_GB2312" w:hAnsi="楷体_GB2312" w:eastAsia="楷体_GB2312" w:cs="楷体_GB2312"/>
          <w:bCs/>
          <w:sz w:val="32"/>
          <w:szCs w:val="32"/>
          <w:lang w:val="en-US" w:eastAsia="zh-CN"/>
        </w:rPr>
        <w:t xml:space="preserve">   </w:t>
      </w:r>
      <w:r>
        <w:rPr>
          <w:rFonts w:hint="eastAsia" w:ascii="仿宋_GB2312" w:hAnsi="仿宋_GB2312" w:eastAsia="仿宋_GB2312" w:cs="仿宋_GB2312"/>
          <w:sz w:val="32"/>
          <w:szCs w:val="32"/>
          <w:lang w:val="en-US" w:eastAsia="zh-CN"/>
        </w:rPr>
        <w:t>2023年预算</w:t>
      </w:r>
      <w:r>
        <w:rPr>
          <w:rFonts w:hint="eastAsia" w:ascii="仿宋_GB2312" w:hAnsi="仿宋_GB2312" w:eastAsia="仿宋_GB2312" w:cs="仿宋_GB2312"/>
          <w:sz w:val="32"/>
          <w:szCs w:val="32"/>
        </w:rPr>
        <w:t>收入为</w:t>
      </w:r>
      <w:r>
        <w:rPr>
          <w:rFonts w:hint="eastAsia" w:ascii="仿宋_GB2312" w:hAnsi="仿宋_GB2312" w:eastAsia="仿宋_GB2312" w:cs="仿宋_GB2312"/>
          <w:sz w:val="32"/>
          <w:szCs w:val="32"/>
          <w:lang w:val="en-US" w:eastAsia="zh-CN"/>
        </w:rPr>
        <w:t>131.19</w:t>
      </w:r>
      <w:r>
        <w:rPr>
          <w:rFonts w:hint="eastAsia" w:ascii="仿宋_GB2312" w:hAnsi="仿宋_GB2312" w:eastAsia="仿宋_GB2312" w:cs="仿宋_GB2312"/>
          <w:sz w:val="32"/>
          <w:szCs w:val="32"/>
        </w:rPr>
        <w:t>元，其中：</w:t>
      </w:r>
      <w:r>
        <w:rPr>
          <w:rFonts w:hint="eastAsia" w:ascii="仿宋_GB2312" w:hAnsi="仿宋_GB2312" w:eastAsia="仿宋_GB2312" w:cs="仿宋_GB2312"/>
          <w:sz w:val="32"/>
          <w:szCs w:val="32"/>
          <w:lang w:val="en-US" w:eastAsia="zh-CN"/>
        </w:rPr>
        <w:t>一般公共预算</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val="en-US" w:eastAsia="zh-CN"/>
        </w:rPr>
        <w:t>131.19</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val="en-US" w:eastAsia="zh-CN"/>
        </w:rPr>
        <w:t>基金预算收入0元，</w:t>
      </w:r>
      <w:r>
        <w:rPr>
          <w:rFonts w:hint="eastAsia" w:ascii="仿宋_GB2312" w:hAnsi="仿宋_GB2312" w:eastAsia="仿宋_GB2312" w:cs="仿宋_GB2312"/>
          <w:sz w:val="32"/>
          <w:szCs w:val="32"/>
        </w:rPr>
        <w:t>非财政补助收入0元。</w:t>
      </w:r>
    </w:p>
    <w:p>
      <w:pPr>
        <w:snapToGrid w:val="0"/>
        <w:spacing w:line="56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2023</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部门决算</w:t>
      </w:r>
      <w:r>
        <w:rPr>
          <w:rFonts w:hint="eastAsia" w:ascii="仿宋_GB2312" w:hAnsi="仿宋_GB2312" w:eastAsia="仿宋_GB2312" w:cs="仿宋_GB2312"/>
          <w:sz w:val="32"/>
          <w:szCs w:val="32"/>
        </w:rPr>
        <w:t>支出为</w:t>
      </w:r>
      <w:r>
        <w:rPr>
          <w:rFonts w:hint="eastAsia" w:ascii="仿宋_GB2312" w:hAnsi="仿宋_GB2312" w:eastAsia="仿宋_GB2312" w:cs="仿宋_GB2312"/>
          <w:sz w:val="32"/>
          <w:szCs w:val="32"/>
          <w:lang w:val="en-US" w:eastAsia="zh-CN"/>
        </w:rPr>
        <w:t>131.19万</w:t>
      </w:r>
      <w:r>
        <w:rPr>
          <w:rFonts w:hint="eastAsia" w:ascii="仿宋_GB2312" w:hAnsi="仿宋_GB2312" w:eastAsia="仿宋_GB2312" w:cs="仿宋_GB2312"/>
          <w:sz w:val="32"/>
          <w:szCs w:val="32"/>
        </w:rPr>
        <w:t>元。其中：行政支出：</w:t>
      </w:r>
      <w:r>
        <w:rPr>
          <w:rFonts w:hint="eastAsia" w:ascii="仿宋_GB2312" w:hAnsi="仿宋_GB2312" w:eastAsia="仿宋_GB2312" w:cs="仿宋_GB2312"/>
          <w:sz w:val="32"/>
          <w:szCs w:val="32"/>
          <w:lang w:val="en-US" w:eastAsia="zh-CN"/>
        </w:rPr>
        <w:t>128.77万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包括人员经费115.55万元和日常工经费13.22万元；</w:t>
      </w:r>
      <w:r>
        <w:rPr>
          <w:rFonts w:hint="eastAsia" w:ascii="仿宋_GB2312" w:hAnsi="仿宋_GB2312" w:eastAsia="仿宋_GB2312" w:cs="仿宋_GB2312"/>
          <w:sz w:val="32"/>
          <w:szCs w:val="32"/>
        </w:rPr>
        <w:t>项目支出2</w:t>
      </w:r>
      <w:r>
        <w:rPr>
          <w:rFonts w:hint="eastAsia" w:ascii="仿宋_GB2312" w:hAnsi="仿宋_GB2312" w:eastAsia="仿宋_GB2312" w:cs="仿宋_GB2312"/>
          <w:sz w:val="32"/>
          <w:szCs w:val="32"/>
          <w:lang w:val="en-US" w:eastAsia="zh-CN"/>
        </w:rPr>
        <w:t>.42万</w:t>
      </w:r>
      <w:r>
        <w:rPr>
          <w:rFonts w:hint="eastAsia" w:ascii="仿宋_GB2312" w:hAnsi="仿宋_GB2312" w:eastAsia="仿宋_GB2312" w:cs="仿宋_GB2312"/>
          <w:sz w:val="32"/>
          <w:szCs w:val="32"/>
        </w:rPr>
        <w:t>元。</w:t>
      </w:r>
    </w:p>
    <w:p>
      <w:pPr>
        <w:snapToGrid w:val="0"/>
        <w:spacing w:line="56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2023年度</w:t>
      </w:r>
      <w:r>
        <w:rPr>
          <w:rFonts w:hint="eastAsia" w:ascii="仿宋_GB2312" w:hAnsi="仿宋_GB2312" w:eastAsia="仿宋_GB2312" w:cs="仿宋_GB2312"/>
          <w:sz w:val="32"/>
          <w:szCs w:val="32"/>
        </w:rPr>
        <w:t>资金结存情况：财政拨款结转结余0元，其中财政拨款结转（项目结转）0元，财政结余0元，非财政拨款收入0元。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ind w:firstLine="960" w:firstLineChars="3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Cs/>
          <w:sz w:val="32"/>
          <w:szCs w:val="32"/>
          <w:lang w:val="en-US" w:eastAsia="zh-CN"/>
        </w:rPr>
        <w:t>2023年，以习近平新时代中国特色社会主义思想为统领，以党的二十大精神为指导，紧紧</w:t>
      </w:r>
      <w:r>
        <w:rPr>
          <w:rFonts w:hint="eastAsia" w:ascii="仿宋_GB2312" w:hAnsi="仿宋_GB2312" w:eastAsia="仿宋_GB2312" w:cs="仿宋_GB2312"/>
          <w:bCs/>
          <w:sz w:val="32"/>
          <w:szCs w:val="32"/>
        </w:rPr>
        <w:t>围绕</w:t>
      </w:r>
      <w:r>
        <w:rPr>
          <w:rFonts w:hint="eastAsia" w:ascii="仿宋_GB2312" w:hAnsi="仿宋_GB2312" w:eastAsia="仿宋_GB2312" w:cs="仿宋_GB2312"/>
          <w:bCs/>
          <w:sz w:val="32"/>
          <w:szCs w:val="32"/>
          <w:lang w:val="en-US" w:eastAsia="zh-CN"/>
        </w:rPr>
        <w:t>区委区政府</w:t>
      </w:r>
      <w:r>
        <w:rPr>
          <w:rFonts w:hint="eastAsia" w:ascii="仿宋_GB2312" w:hAnsi="仿宋_GB2312" w:eastAsia="仿宋_GB2312" w:cs="仿宋_GB2312"/>
          <w:bCs/>
          <w:sz w:val="32"/>
          <w:szCs w:val="32"/>
        </w:rPr>
        <w:t>中心</w:t>
      </w:r>
      <w:r>
        <w:rPr>
          <w:rFonts w:hint="eastAsia" w:ascii="仿宋_GB2312" w:hAnsi="仿宋_GB2312" w:eastAsia="仿宋_GB2312" w:cs="仿宋_GB2312"/>
          <w:bCs/>
          <w:sz w:val="32"/>
          <w:szCs w:val="32"/>
          <w:lang w:val="en-US" w:eastAsia="zh-CN"/>
        </w:rPr>
        <w:t>工作</w:t>
      </w:r>
      <w:r>
        <w:rPr>
          <w:rFonts w:hint="eastAsia" w:ascii="仿宋_GB2312" w:hAnsi="仿宋_GB2312" w:eastAsia="仿宋_GB2312" w:cs="仿宋_GB2312"/>
          <w:bCs/>
          <w:sz w:val="32"/>
          <w:szCs w:val="32"/>
        </w:rPr>
        <w:t>、服务大局，依法履行职责，积极发挥党委政府在人道领域的助手和联系群众的桥梁纽带作用</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将有限的财力用到促进我区红十字事业持续、协调、健康发展的关键环节</w:t>
      </w:r>
      <w:r>
        <w:rPr>
          <w:rFonts w:hint="eastAsia" w:ascii="仿宋_GB2312" w:hAnsi="仿宋_GB2312" w:eastAsia="仿宋_GB2312" w:cs="仿宋_GB2312"/>
          <w:bCs/>
          <w:sz w:val="32"/>
          <w:szCs w:val="32"/>
        </w:rPr>
        <w:t>。</w:t>
      </w:r>
      <w:r>
        <w:rPr>
          <w:rFonts w:hint="eastAsia" w:ascii="仿宋_GB2312" w:hAnsi="仿宋_GB2312" w:eastAsia="仿宋_GB2312" w:cs="仿宋_GB2312"/>
          <w:sz w:val="32"/>
          <w:szCs w:val="32"/>
        </w:rPr>
        <w:t>“三救”</w:t>
      </w:r>
      <w:r>
        <w:rPr>
          <w:rFonts w:hint="eastAsia" w:ascii="仿宋_GB2312" w:hAnsi="仿宋_GB2312" w:eastAsia="仿宋_GB2312" w:cs="仿宋_GB2312"/>
          <w:sz w:val="32"/>
          <w:szCs w:val="32"/>
          <w:lang w:val="en-US" w:eastAsia="zh-CN"/>
        </w:rPr>
        <w:t>工作不断提质，为保障和改善民生发挥红十字的独特作用</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一是</w:t>
      </w:r>
      <w:r>
        <w:rPr>
          <w:rFonts w:hint="eastAsia" w:ascii="仿宋_GB2312" w:hAnsi="仿宋_GB2312" w:eastAsia="仿宋_GB2312" w:cs="仿宋_GB2312"/>
          <w:sz w:val="32"/>
          <w:szCs w:val="32"/>
        </w:rPr>
        <w:t>主动融入政府应急救援体系,提升备灾救灾和应急救援能力；</w:t>
      </w: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把应急救护</w:t>
      </w:r>
      <w:r>
        <w:rPr>
          <w:rFonts w:hint="eastAsia" w:ascii="仿宋_GB2312" w:hAnsi="仿宋_GB2312" w:eastAsia="仿宋_GB2312" w:cs="仿宋_GB2312"/>
          <w:sz w:val="32"/>
          <w:szCs w:val="32"/>
          <w:lang w:val="en-US" w:eastAsia="zh-CN"/>
        </w:rPr>
        <w:t>宣传</w:t>
      </w:r>
      <w:r>
        <w:rPr>
          <w:rFonts w:hint="eastAsia" w:ascii="仿宋_GB2312" w:hAnsi="仿宋_GB2312" w:eastAsia="仿宋_GB2312" w:cs="仿宋_GB2312"/>
          <w:sz w:val="32"/>
          <w:szCs w:val="32"/>
        </w:rPr>
        <w:t>“五进”作为推进健康行动的重要抓手，不断扩大自救互救知识和技能的社会普及面；</w:t>
      </w:r>
      <w:r>
        <w:rPr>
          <w:rFonts w:hint="eastAsia" w:ascii="仿宋_GB2312" w:hAnsi="仿宋_GB2312" w:eastAsia="仿宋_GB2312" w:cs="仿宋_GB2312"/>
          <w:sz w:val="32"/>
          <w:szCs w:val="32"/>
          <w:lang w:val="en-US" w:eastAsia="zh-CN"/>
        </w:rPr>
        <w:t>三是</w:t>
      </w:r>
      <w:r>
        <w:rPr>
          <w:rFonts w:hint="eastAsia" w:ascii="仿宋_GB2312" w:hAnsi="仿宋_GB2312" w:eastAsia="仿宋_GB2312" w:cs="仿宋_GB2312"/>
          <w:color w:val="000000"/>
          <w:sz w:val="32"/>
          <w:szCs w:val="32"/>
        </w:rPr>
        <w:t>开展</w:t>
      </w:r>
      <w:r>
        <w:rPr>
          <w:rFonts w:hint="eastAsia" w:ascii="仿宋_GB2312" w:hAnsi="仿宋_GB2312" w:eastAsia="仿宋_GB2312" w:cs="仿宋_GB2312"/>
          <w:color w:val="000000"/>
          <w:sz w:val="32"/>
          <w:szCs w:val="32"/>
          <w:lang w:val="en-US" w:eastAsia="zh-CN"/>
        </w:rPr>
        <w:t>人道</w:t>
      </w:r>
      <w:r>
        <w:rPr>
          <w:rFonts w:hint="eastAsia" w:ascii="仿宋_GB2312" w:hAnsi="仿宋_GB2312" w:eastAsia="仿宋_GB2312" w:cs="仿宋_GB2312"/>
          <w:color w:val="000000"/>
          <w:sz w:val="32"/>
          <w:szCs w:val="32"/>
        </w:rPr>
        <w:t>救助活动，积极募捐资金，对因灾致贫、因病致贫及生活极度贫困的家庭实施救助以及用于自然灾害和突发事件的救援。“三献”</w:t>
      </w:r>
      <w:r>
        <w:rPr>
          <w:rFonts w:hint="eastAsia" w:ascii="仿宋_GB2312" w:hAnsi="仿宋_GB2312" w:eastAsia="仿宋_GB2312" w:cs="仿宋_GB2312"/>
          <w:color w:val="000000"/>
          <w:sz w:val="32"/>
          <w:szCs w:val="32"/>
          <w:lang w:val="en-US" w:eastAsia="zh-CN"/>
        </w:rPr>
        <w:t>工作持续推进，充分发挥政府在人道主义领域的助手作用</w:t>
      </w:r>
      <w:r>
        <w:rPr>
          <w:rFonts w:hint="eastAsia" w:ascii="仿宋_GB2312" w:hAnsi="仿宋_GB2312" w:eastAsia="仿宋_GB2312" w:cs="仿宋_GB2312"/>
          <w:color w:val="000000"/>
          <w:sz w:val="32"/>
          <w:szCs w:val="32"/>
        </w:rPr>
        <w:t>：开展群众性的卫生救护培训和造血干细胞捐献宣传工作，参与无偿献血、艾滋病预防、遗体（器官）捐献等科学知识的宣传普及活动。在志愿服务、红十字青少年活动、人道法传播方面：</w:t>
      </w:r>
      <w:r>
        <w:rPr>
          <w:rFonts w:hint="eastAsia" w:ascii="仿宋_GB2312" w:hAnsi="仿宋_GB2312" w:eastAsia="仿宋_GB2312" w:cs="仿宋_GB2312"/>
          <w:color w:val="000000"/>
          <w:sz w:val="32"/>
          <w:szCs w:val="32"/>
          <w:lang w:val="en-US" w:eastAsia="zh-CN"/>
        </w:rPr>
        <w:t>一是</w:t>
      </w:r>
      <w:r>
        <w:rPr>
          <w:rFonts w:hint="eastAsia" w:ascii="仿宋_GB2312" w:hAnsi="仿宋_GB2312" w:eastAsia="仿宋_GB2312" w:cs="仿宋_GB2312"/>
          <w:color w:val="000000"/>
          <w:sz w:val="32"/>
          <w:szCs w:val="32"/>
        </w:rPr>
        <w:t>大力发展红十字志愿者，做好红十字志愿者登记造册工作，组织不同专业、不同领域的红十字志愿者服务队伍，开展富有特色的志愿服务活动</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二是加强人道传播，积极拓宽宣传渠道，广泛传播红十字会精神，举办红十字纪念日宣传活动，通过融媒体、宣传册等途径进一步扩大红十字会法传播范围，营造有利于红十字事业发展的舆论环境，扩大红十字会的影响力。</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pStyle w:val="9"/>
        <w:autoSpaceDN w:val="0"/>
        <w:spacing w:line="560" w:lineRule="atLeas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为深入贯彻落实中共中央、国务院《关于全面实施预算绩效管理的意见》文件精神,强化预算支出责任，提高财政资金支出绩效，我会严格对照预算文本中制定的部门整体绩效目标，提早部署、分解任务、压实责任、严肃考评。按照《藁城区财政局关于开展2024年绩效自评工作的通知》要求，我会高度重视绩效自评工作，成立了绩效评估工作小组，</w:t>
      </w:r>
      <w:r>
        <w:rPr>
          <w:rFonts w:hint="eastAsia" w:ascii="仿宋_GB2312" w:hAnsi="仿宋_GB2312" w:eastAsia="仿宋_GB2312" w:cs="仿宋_GB2312"/>
          <w:sz w:val="32"/>
          <w:szCs w:val="32"/>
        </w:rPr>
        <w:t>单位主要负责人，分管财务负责人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主抓业务工作人员</w:t>
      </w:r>
      <w:r>
        <w:rPr>
          <w:rFonts w:hint="eastAsia" w:ascii="仿宋_GB2312" w:hAnsi="仿宋_GB2312" w:eastAsia="仿宋_GB2312" w:cs="仿宋_GB2312"/>
          <w:sz w:val="32"/>
          <w:szCs w:val="32"/>
        </w:rPr>
        <w:t>及财务人员组成自评小组，对202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红十字纪念日和</w:t>
      </w:r>
      <w:r>
        <w:rPr>
          <w:rFonts w:hint="eastAsia" w:ascii="仿宋_GB2312" w:hAnsi="仿宋_GB2312" w:eastAsia="仿宋_GB2312" w:cs="仿宋_GB2312"/>
          <w:sz w:val="32"/>
          <w:szCs w:val="32"/>
        </w:rPr>
        <w:t>应急救护</w:t>
      </w:r>
      <w:r>
        <w:rPr>
          <w:rFonts w:hint="eastAsia" w:ascii="仿宋_GB2312" w:hAnsi="仿宋_GB2312" w:eastAsia="仿宋_GB2312" w:cs="仿宋_GB2312"/>
          <w:sz w:val="32"/>
          <w:szCs w:val="32"/>
          <w:lang w:val="en-US" w:eastAsia="zh-CN"/>
        </w:rPr>
        <w:t>宣传</w:t>
      </w:r>
      <w:r>
        <w:rPr>
          <w:rFonts w:hint="eastAsia" w:ascii="仿宋_GB2312" w:hAnsi="仿宋_GB2312" w:eastAsia="仿宋_GB2312" w:cs="仿宋_GB2312"/>
          <w:sz w:val="32"/>
          <w:szCs w:val="32"/>
        </w:rPr>
        <w:t>经费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红十字应急救护大赛</w:t>
      </w:r>
      <w:r>
        <w:rPr>
          <w:rFonts w:hint="eastAsia" w:ascii="仿宋_GB2312" w:hAnsi="仿宋_GB2312" w:eastAsia="仿宋_GB2312" w:cs="仿宋_GB2312"/>
          <w:sz w:val="32"/>
          <w:szCs w:val="32"/>
          <w:lang w:val="en-US" w:eastAsia="zh-CN"/>
        </w:rPr>
        <w:t>经费</w:t>
      </w:r>
      <w:r>
        <w:rPr>
          <w:rFonts w:hint="eastAsia" w:ascii="仿宋_GB2312" w:hAnsi="仿宋_GB2312" w:eastAsia="仿宋_GB2312" w:cs="仿宋_GB2312"/>
          <w:sz w:val="32"/>
          <w:szCs w:val="32"/>
        </w:rPr>
        <w:t>项目财政支出的经济性、效率性及效益性进行重点评价，并针对评价内容做出分析及合理化建议。</w:t>
      </w:r>
    </w:p>
    <w:p>
      <w:pPr>
        <w:keepNext w:val="0"/>
        <w:keepLines w:val="0"/>
        <w:pageBreakBefore w:val="0"/>
        <w:widowControl w:val="0"/>
        <w:numPr>
          <w:ilvl w:val="0"/>
          <w:numId w:val="2"/>
        </w:numPr>
        <w:kinsoku/>
        <w:wordWrap/>
        <w:overflowPunct/>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自评的方法和过程</w:t>
      </w:r>
    </w:p>
    <w:p>
      <w:pPr>
        <w:adjustRightInd w:val="0"/>
        <w:snapToGrid w:val="0"/>
        <w:spacing w:line="62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一是绩效自评小组成员首先学习领会通知精神，掌握项目评价标准、评价方法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二是通过对收集、整理项目实施材料，财务提交的真实、准确各种报表，由项目负责人介绍项目预期绩效目标及具体实施取得的实际效果。三是评价小组成员集中检查、核实情况对应评审。</w:t>
      </w:r>
      <w:r>
        <w:rPr>
          <w:rFonts w:hint="eastAsia" w:ascii="仿宋_GB2312" w:hAnsi="仿宋_GB2312" w:eastAsia="仿宋_GB2312" w:cs="仿宋_GB2312"/>
          <w:sz w:val="32"/>
          <w:szCs w:val="32"/>
        </w:rPr>
        <w:t>在开展预算自评工作时，针对区红十字会的工作实际，</w:t>
      </w:r>
      <w:r>
        <w:rPr>
          <w:rFonts w:hint="eastAsia" w:ascii="仿宋_GB2312" w:hAnsi="仿宋_GB2312" w:eastAsia="仿宋_GB2312" w:cs="仿宋_GB2312"/>
          <w:sz w:val="32"/>
          <w:szCs w:val="32"/>
          <w:lang w:val="en-US" w:eastAsia="zh-CN"/>
        </w:rPr>
        <w:t>设计</w:t>
      </w:r>
      <w:r>
        <w:rPr>
          <w:rFonts w:hint="eastAsia" w:ascii="仿宋_GB2312" w:hAnsi="仿宋_GB2312" w:eastAsia="仿宋_GB2312" w:cs="仿宋_GB2312"/>
          <w:sz w:val="32"/>
          <w:szCs w:val="32"/>
        </w:rPr>
        <w:t>能够体现项目特点绩效评价指标体系。绩效指标权重根据本项目实际情况确定，总分设定为100分。产出指标为40分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数量、质量、时效、成本</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；预算执行率指标10分，包括预算资金使用到位100% 10分；效益指标40分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经济效益、社会效益、生态效益、可持续影响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；满意度指标10分，包括群众满意数量占总数的比例10分。</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2023年，藁城区红十字会在区委区政府的正确领导下，围绕区委区政府中心工作，</w:t>
      </w:r>
      <w:r>
        <w:rPr>
          <w:rFonts w:hint="eastAsia" w:ascii="仿宋_GB2312" w:hAnsi="仿宋_GB2312" w:eastAsia="仿宋_GB2312" w:cs="仿宋_GB2312"/>
          <w:kern w:val="0"/>
          <w:sz w:val="32"/>
          <w:szCs w:val="32"/>
        </w:rPr>
        <w:t>结合本单位实际，</w:t>
      </w:r>
      <w:r>
        <w:rPr>
          <w:rFonts w:hint="eastAsia" w:ascii="仿宋_GB2312" w:hAnsi="仿宋_GB2312" w:eastAsia="仿宋_GB2312" w:cs="仿宋_GB2312"/>
          <w:kern w:val="0"/>
          <w:sz w:val="32"/>
          <w:szCs w:val="32"/>
          <w:lang w:val="en-US" w:eastAsia="zh-CN"/>
        </w:rPr>
        <w:t>主动求新求变，提升服务质效，突出“三献”“三救”核心业务，巩固拓展红十字青少年和志愿服务等工作，统筹推进我会工作提速、提标、提质，各项工作圆满完成，实现了新发展、新突破</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sz w:val="32"/>
          <w:szCs w:val="32"/>
          <w:lang w:val="en-US" w:eastAsia="zh-CN"/>
        </w:rPr>
        <w:t>加强基层组织建设，打造特色红十字社区。西城街社区已成功申请石家庄市红十字会博爱家园试点并重点打造，按照省级博爱家园建设标准，完善了各类制度、台账和活动标准，致力于打造便民特色红十字社区。</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（二）分项绩效目标实现情况及指标分析</w:t>
      </w:r>
    </w:p>
    <w:p>
      <w:pPr>
        <w:numPr>
          <w:ilvl w:val="0"/>
          <w:numId w:val="0"/>
        </w:numPr>
        <w:ind w:firstLine="960" w:firstLineChars="3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2"/>
          <w:sz w:val="32"/>
          <w:szCs w:val="32"/>
          <w:lang w:val="en-US" w:eastAsia="zh-CN" w:bidi="ar-SA"/>
        </w:rPr>
        <w:t>1、</w:t>
      </w:r>
      <w:r>
        <w:rPr>
          <w:rFonts w:hint="eastAsia" w:ascii="仿宋_GB2312" w:hAnsi="仿宋_GB2312" w:eastAsia="仿宋_GB2312" w:cs="仿宋_GB2312"/>
          <w:sz w:val="32"/>
          <w:szCs w:val="32"/>
          <w:lang w:val="en-US" w:eastAsia="zh-CN"/>
        </w:rPr>
        <w:t>履职尽责，落实全面从严治党主体责任</w:t>
      </w:r>
    </w:p>
    <w:p>
      <w:pPr>
        <w:numPr>
          <w:ilvl w:val="0"/>
          <w:numId w:val="0"/>
        </w:numPr>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一是持续强化思想武装。</w:t>
      </w:r>
      <w:r>
        <w:rPr>
          <w:rFonts w:hint="eastAsia" w:ascii="仿宋_GB2312" w:hAnsi="仿宋_GB2312" w:eastAsia="仿宋_GB2312" w:cs="仿宋_GB2312"/>
          <w:sz w:val="32"/>
          <w:szCs w:val="32"/>
          <w:lang w:val="en-US" w:eastAsia="zh-CN"/>
        </w:rPr>
        <w:t>坚持集中学习和自主学习相结合，重点学习党的二十大精神和报告全文，习近平新时代中国特色社会主义思想和省、市、区会议精神以及中心工作要求，不断丰富学习内容和形式。</w:t>
      </w:r>
      <w:r>
        <w:rPr>
          <w:rFonts w:hint="eastAsia" w:ascii="仿宋_GB2312" w:hAnsi="仿宋_GB2312" w:eastAsia="仿宋_GB2312" w:cs="仿宋_GB2312"/>
          <w:b/>
          <w:bCs/>
          <w:sz w:val="32"/>
          <w:szCs w:val="32"/>
          <w:lang w:val="en-US" w:eastAsia="zh-CN"/>
        </w:rPr>
        <w:t>二是落实全面从严治党。</w:t>
      </w:r>
      <w:r>
        <w:rPr>
          <w:rFonts w:hint="eastAsia" w:ascii="仿宋_GB2312" w:hAnsi="仿宋_GB2312" w:eastAsia="仿宋_GB2312" w:cs="仿宋_GB2312"/>
          <w:sz w:val="32"/>
          <w:szCs w:val="32"/>
          <w:lang w:val="en-US" w:eastAsia="zh-CN"/>
        </w:rPr>
        <w:t xml:space="preserve">持续落实全面从严治党各项要求，强化党风廉政建设和反腐败工作，全面落实意识形态工作责任制，加强党的对群团组织的全面领导。 </w:t>
      </w:r>
    </w:p>
    <w:p>
      <w:pPr>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2、践行红十字精神，履行红十字职责</w:t>
      </w:r>
    </w:p>
    <w:p>
      <w:pPr>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打造红十字宣传基地，使红十字事业不断深入人心。一是</w:t>
      </w:r>
      <w:r>
        <w:rPr>
          <w:rFonts w:hint="eastAsia" w:ascii="仿宋_GB2312" w:hAnsi="仿宋_GB2312" w:eastAsia="仿宋_GB2312" w:cs="仿宋_GB2312"/>
          <w:sz w:val="32"/>
          <w:szCs w:val="32"/>
          <w:lang w:val="en-US" w:eastAsia="zh-CN"/>
        </w:rPr>
        <w:t>扎实开展各种宣传日活动。依托“5.8”世界红十字日、无偿献血日、世界急救日等主题宣传日，积极开展红十字应急救护知识进机关、进学校、进社区活动，向广大群众讲解红十字知识、无偿献血、造血干细胞捐献、器官捐献、应急救护、疾病防治等知识和操作技能。</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以媒体为平台，大力营造舆论氛围。通过“掌中藁城”公众号发表稿件17篇，省、市级以上主流媒体发表9篇，河北省红十字会网站、中国红十字报36篇。同时，今年上半年，我会在“5.8人道公益日”互联网公益项目中，被河北省红十字会评为“二星宣传先锋”。通过多方面的宣传，取得了良好的社会效果，提高了广大公众对红十字工作认知度。</w:t>
      </w:r>
      <w:r>
        <w:rPr>
          <w:rFonts w:hint="eastAsia" w:ascii="仿宋_GB2312" w:hAnsi="仿宋_GB2312" w:eastAsia="仿宋_GB2312" w:cs="仿宋_GB2312"/>
          <w:b/>
          <w:bCs/>
          <w:sz w:val="32"/>
          <w:szCs w:val="32"/>
          <w:lang w:val="en-US" w:eastAsia="zh-CN"/>
        </w:rPr>
        <w:t>关爱弱势群体，深入开展救助工作。</w:t>
      </w:r>
      <w:r>
        <w:rPr>
          <w:rFonts w:hint="eastAsia" w:ascii="仿宋_GB2312" w:hAnsi="仿宋_GB2312" w:eastAsia="仿宋_GB2312" w:cs="仿宋_GB2312"/>
          <w:b w:val="0"/>
          <w:bCs w:val="0"/>
          <w:sz w:val="32"/>
          <w:szCs w:val="32"/>
          <w:lang w:val="en-US" w:eastAsia="zh-CN"/>
        </w:rPr>
        <w:t>一是开展“红十字博爱送万家”活动。</w:t>
      </w:r>
      <w:r>
        <w:rPr>
          <w:rFonts w:hint="eastAsia" w:ascii="仿宋_GB2312" w:hAnsi="仿宋_GB2312" w:eastAsia="仿宋_GB2312" w:cs="仿宋_GB2312"/>
          <w:sz w:val="32"/>
          <w:szCs w:val="32"/>
          <w:lang w:val="en-US" w:eastAsia="zh-CN"/>
        </w:rPr>
        <w:t>1月重点开展了特困群众大病救助、“博爱送万家”工作，其中救助大病群众31人，救助金额15.5万元；“博爱送万家”自筹7万元购买了大米、面粉、食用油445份，红总会下拨家庭箱108份，市红会下拨家庭箱50份，累计慰问困难家庭603户，受益人数达2412人。</w:t>
      </w:r>
      <w:r>
        <w:rPr>
          <w:rFonts w:hint="eastAsia" w:ascii="仿宋_GB2312" w:hAnsi="仿宋_GB2312" w:eastAsia="仿宋_GB2312" w:cs="仿宋_GB2312"/>
          <w:b w:val="0"/>
          <w:bCs w:val="0"/>
          <w:sz w:val="32"/>
          <w:szCs w:val="32"/>
          <w:lang w:val="en-US" w:eastAsia="zh-CN"/>
        </w:rPr>
        <w:t>二是开展“百千万”活动。</w:t>
      </w:r>
      <w:r>
        <w:rPr>
          <w:rFonts w:hint="eastAsia" w:ascii="仿宋_GB2312" w:hAnsi="仿宋_GB2312" w:eastAsia="仿宋_GB2312" w:cs="仿宋_GB2312"/>
          <w:sz w:val="32"/>
          <w:szCs w:val="32"/>
          <w:lang w:val="en-US" w:eastAsia="zh-CN"/>
        </w:rPr>
        <w:t>我会成立了“百千万”工作专班，明确工作职责，通过实地调研，结合实际，确定了贾市庄镇贾庄村、南古庄村14户家庭困难户，对其进行慰问，将包联困难群众作为年度帮扶对象，计入困难群众救助名单，同时打造贾庄村、南古庄村红十字会基层组织试点，</w:t>
      </w:r>
      <w:r>
        <w:rPr>
          <w:rFonts w:hint="eastAsia" w:ascii="仿宋_GB2312" w:hAnsi="仿宋_GB2312" w:eastAsia="仿宋_GB2312" w:cs="仿宋_GB2312"/>
          <w:b w:val="0"/>
          <w:bCs w:val="0"/>
          <w:sz w:val="32"/>
          <w:szCs w:val="32"/>
          <w:lang w:val="en-US" w:eastAsia="zh-CN"/>
        </w:rPr>
        <w:t>发展会员人数150人，</w:t>
      </w:r>
      <w:r>
        <w:rPr>
          <w:rFonts w:hint="eastAsia" w:ascii="仿宋_GB2312" w:hAnsi="仿宋_GB2312" w:eastAsia="仿宋_GB2312" w:cs="仿宋_GB2312"/>
          <w:sz w:val="32"/>
          <w:szCs w:val="32"/>
          <w:lang w:val="en-US" w:eastAsia="zh-CN"/>
        </w:rPr>
        <w:t>并配备红十字制度牌匾2套、红十字会志愿者服装。全年我会开展走亲活动5次，为生活困难等弱势群体送去大米、面粉、食用油、方便面等慰问品，以实际行动传递党和政府的关爱及红十字会的温暖。</w:t>
      </w:r>
      <w:r>
        <w:rPr>
          <w:rFonts w:hint="eastAsia" w:ascii="仿宋_GB2312" w:hAnsi="仿宋_GB2312" w:eastAsia="仿宋_GB2312" w:cs="仿宋_GB2312"/>
          <w:b w:val="0"/>
          <w:bCs w:val="0"/>
          <w:sz w:val="32"/>
          <w:szCs w:val="32"/>
          <w:lang w:val="en-US" w:eastAsia="zh-CN"/>
        </w:rPr>
        <w:t>三是积极开展爱心助学活动。</w:t>
      </w:r>
      <w:r>
        <w:rPr>
          <w:rFonts w:hint="eastAsia" w:ascii="仿宋_GB2312" w:hAnsi="仿宋_GB2312" w:eastAsia="仿宋_GB2312" w:cs="仿宋_GB2312"/>
          <w:sz w:val="32"/>
          <w:szCs w:val="32"/>
          <w:lang w:val="en-US" w:eastAsia="zh-CN"/>
        </w:rPr>
        <w:t>开展建档立卡贫困家庭在校学生（包含幼儿园到大学所有在校生）资助活动，为54名贫困在校生提供了助学金，共计9.2万元。联合计生协开展“天使圆梦”计划，为9名重点大学贫困学生进行资助，共计9000元。</w:t>
      </w:r>
      <w:r>
        <w:rPr>
          <w:rFonts w:hint="eastAsia" w:ascii="仿宋_GB2312" w:hAnsi="仿宋_GB2312" w:eastAsia="仿宋_GB2312" w:cs="仿宋_GB2312"/>
          <w:b w:val="0"/>
          <w:bCs w:val="0"/>
          <w:sz w:val="32"/>
          <w:szCs w:val="32"/>
          <w:lang w:val="en-US" w:eastAsia="zh-CN"/>
        </w:rPr>
        <w:t>四是开展5.8公益日活动。</w:t>
      </w:r>
      <w:r>
        <w:rPr>
          <w:rFonts w:hint="eastAsia" w:ascii="仿宋_GB2312" w:hAnsi="仿宋_GB2312" w:eastAsia="仿宋_GB2312" w:cs="仿宋_GB2312"/>
          <w:sz w:val="32"/>
          <w:szCs w:val="32"/>
          <w:lang w:val="en-US" w:eastAsia="zh-CN"/>
        </w:rPr>
        <w:t>活动现场，分别为39位无偿献血金奖获得者、造血干细胞捐献者，以及73位“关爱困境儿童”救助、“冀小红”助学、“博爱一日捐”困难助学项目人员送上表彰和资助，累计金额2万余元。</w:t>
      </w:r>
      <w:r>
        <w:rPr>
          <w:rFonts w:hint="eastAsia" w:ascii="仿宋_GB2312" w:hAnsi="仿宋_GB2312" w:eastAsia="仿宋_GB2312" w:cs="仿宋_GB2312"/>
          <w:b/>
          <w:bCs/>
          <w:sz w:val="32"/>
          <w:szCs w:val="32"/>
          <w:lang w:val="en-US" w:eastAsia="zh-CN"/>
        </w:rPr>
        <w:t>持续开展应急救护知识培训，构建社会应急救护网络。</w:t>
      </w:r>
      <w:r>
        <w:rPr>
          <w:rFonts w:hint="eastAsia" w:ascii="仿宋_GB2312" w:hAnsi="仿宋_GB2312" w:eastAsia="仿宋_GB2312" w:cs="仿宋_GB2312"/>
          <w:sz w:val="32"/>
          <w:szCs w:val="32"/>
          <w:lang w:val="en-US" w:eastAsia="zh-CN"/>
        </w:rPr>
        <w:t>积极开展红十字应急救护知识进社区、进学校活动，分别到社区、学校、广场、超市等地开展应急救护知识培训，通过多媒体课件、现场演示、参与互动等多种形式，向大家普及了心肺复苏术、海姆立克急救法、夏季防溺亡等多种应急救护知识，增强了群众紧急避险和自救互救的能力。全年共开展救护培训10余场，其中进学校4次，进社区10余次，培训人员1500余人，累计发放应急救护知识手册、宣传包、纸杯等宣传资料1万余份。5月24日-26日，藁城区红十字会救护队参加了由石家庄市红十字会主办的以“红十字救在身边”为主题的石家庄市第三届红十字应急救护大赛，我区代表队获得了团体第二名，五个单项奖里取得四个单项奖第一名，一个第二名的好成绩。</w:t>
      </w:r>
    </w:p>
    <w:p>
      <w:pPr>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3、弘扬博爱精神，扎实做好博爱一日捐等捐赠活动</w:t>
      </w:r>
    </w:p>
    <w:p>
      <w:pPr>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根据省市要求和有关规定，2023年5月我会开展了“博爱一日捐”活动，在全区单位和社会各方力量积极推动下，共接收捐款51.9万元，</w:t>
      </w:r>
      <w:r>
        <w:rPr>
          <w:rFonts w:hint="eastAsia" w:ascii="仿宋_GB2312" w:eastAsia="仿宋_GB2312"/>
          <w:sz w:val="32"/>
          <w:szCs w:val="32"/>
        </w:rPr>
        <w:t>为开展人道救助提供了有力的资金保障</w:t>
      </w:r>
      <w:r>
        <w:rPr>
          <w:rFonts w:hint="eastAsia" w:ascii="仿宋_GB2312" w:hAnsi="仿宋_GB2312" w:eastAsia="仿宋_GB2312" w:cs="仿宋_GB2312"/>
          <w:sz w:val="32"/>
          <w:szCs w:val="32"/>
          <w:lang w:val="en-US" w:eastAsia="zh-CN"/>
        </w:rPr>
        <w:t>。</w:t>
      </w:r>
    </w:p>
    <w:p>
      <w:pPr>
        <w:numPr>
          <w:ilvl w:val="0"/>
          <w:numId w:val="0"/>
        </w:numPr>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2"/>
          <w:sz w:val="32"/>
          <w:szCs w:val="32"/>
          <w:lang w:val="en-US" w:eastAsia="zh-CN" w:bidi="ar-SA"/>
        </w:rPr>
        <w:t>4、</w:t>
      </w:r>
      <w:r>
        <w:rPr>
          <w:rFonts w:hint="eastAsia" w:ascii="仿宋_GB2312" w:hAnsi="仿宋_GB2312" w:eastAsia="仿宋_GB2312" w:cs="仿宋_GB2312"/>
          <w:sz w:val="32"/>
          <w:szCs w:val="32"/>
          <w:lang w:val="en-US" w:eastAsia="zh-CN"/>
        </w:rPr>
        <w:t>继续全力做好造血干细胞捐献工作</w:t>
      </w:r>
    </w:p>
    <w:p>
      <w:pPr>
        <w:numPr>
          <w:ilvl w:val="0"/>
          <w:numId w:val="0"/>
        </w:numPr>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积极开展多种形式的宣传活动，动员和组织红十字会基层组织和广大会员、志愿者带头参与，形成良好的社会氛围。今年又有2名志愿者成功捐献了造血干细胞，截止目前，全区累计捐献造血干细胞已达8例。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250" w:right="0" w:rightChars="0"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tbl>
      <w:tblPr>
        <w:tblStyle w:val="5"/>
        <w:tblpPr w:leftFromText="180" w:rightFromText="180" w:vertAnchor="text" w:horzAnchor="page" w:tblpX="1408" w:tblpY="584"/>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65"/>
        <w:gridCol w:w="1395"/>
        <w:gridCol w:w="1335"/>
        <w:gridCol w:w="1560"/>
        <w:gridCol w:w="1485"/>
        <w:gridCol w:w="9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tcPr>
          <w:p>
            <w:pPr>
              <w:snapToGrid w:val="0"/>
              <w:spacing w:line="360" w:lineRule="auto"/>
              <w:ind w:firstLine="630" w:firstLineChars="300"/>
              <w:rPr>
                <w:rFonts w:hint="eastAsia" w:ascii="仿宋" w:hAnsi="仿宋" w:eastAsia="仿宋" w:cs="黑体"/>
                <w:sz w:val="21"/>
                <w:szCs w:val="21"/>
                <w:highlight w:val="none"/>
                <w:lang w:eastAsia="zh-CN"/>
              </w:rPr>
            </w:pPr>
            <w:r>
              <w:rPr>
                <w:rFonts w:hint="eastAsia" w:ascii="仿宋" w:hAnsi="仿宋" w:eastAsia="仿宋" w:cs="黑体"/>
                <w:sz w:val="21"/>
                <w:szCs w:val="21"/>
                <w:highlight w:val="none"/>
                <w:lang w:eastAsia="zh-CN"/>
              </w:rPr>
              <w:t>项目名称</w:t>
            </w:r>
          </w:p>
        </w:tc>
        <w:tc>
          <w:tcPr>
            <w:tcW w:w="1395" w:type="dxa"/>
          </w:tcPr>
          <w:p>
            <w:pPr>
              <w:snapToGrid w:val="0"/>
              <w:spacing w:line="360" w:lineRule="auto"/>
              <w:rPr>
                <w:rFonts w:hint="eastAsia" w:ascii="仿宋" w:hAnsi="仿宋" w:eastAsia="仿宋" w:cs="黑体"/>
                <w:sz w:val="21"/>
                <w:szCs w:val="21"/>
                <w:highlight w:val="none"/>
                <w:lang w:eastAsia="zh-CN"/>
              </w:rPr>
            </w:pPr>
            <w:r>
              <w:rPr>
                <w:rFonts w:hint="eastAsia" w:ascii="仿宋" w:hAnsi="仿宋" w:eastAsia="仿宋" w:cs="黑体"/>
                <w:sz w:val="21"/>
                <w:szCs w:val="21"/>
                <w:highlight w:val="none"/>
                <w:lang w:eastAsia="zh-CN"/>
              </w:rPr>
              <w:t>产出</w:t>
            </w:r>
            <w:r>
              <w:rPr>
                <w:rFonts w:hint="eastAsia" w:ascii="仿宋" w:hAnsi="仿宋" w:eastAsia="仿宋" w:cs="黑体"/>
                <w:sz w:val="21"/>
                <w:szCs w:val="21"/>
                <w:highlight w:val="none"/>
              </w:rPr>
              <w:t>指标</w:t>
            </w:r>
            <w:r>
              <w:rPr>
                <w:rFonts w:hint="eastAsia" w:ascii="仿宋" w:hAnsi="仿宋" w:eastAsia="仿宋" w:cs="黑体"/>
                <w:sz w:val="21"/>
                <w:szCs w:val="21"/>
                <w:highlight w:val="none"/>
                <w:lang w:eastAsia="zh-CN"/>
              </w:rPr>
              <w:t>完成得分情况</w:t>
            </w:r>
          </w:p>
        </w:tc>
        <w:tc>
          <w:tcPr>
            <w:tcW w:w="1335" w:type="dxa"/>
          </w:tcPr>
          <w:p>
            <w:pPr>
              <w:snapToGrid w:val="0"/>
              <w:spacing w:line="360" w:lineRule="auto"/>
              <w:rPr>
                <w:rFonts w:hint="eastAsia" w:ascii="仿宋" w:hAnsi="仿宋" w:eastAsia="仿宋" w:cs="黑体"/>
                <w:sz w:val="21"/>
                <w:szCs w:val="21"/>
                <w:highlight w:val="none"/>
                <w:lang w:eastAsia="zh-CN"/>
              </w:rPr>
            </w:pPr>
            <w:r>
              <w:rPr>
                <w:rFonts w:hint="eastAsia" w:ascii="仿宋" w:hAnsi="仿宋" w:eastAsia="仿宋" w:cs="黑体"/>
                <w:sz w:val="21"/>
                <w:szCs w:val="21"/>
                <w:highlight w:val="none"/>
                <w:lang w:eastAsia="zh-CN"/>
              </w:rPr>
              <w:t>预算执行率指标完成得分情况</w:t>
            </w:r>
          </w:p>
        </w:tc>
        <w:tc>
          <w:tcPr>
            <w:tcW w:w="1560" w:type="dxa"/>
          </w:tcPr>
          <w:p>
            <w:pPr>
              <w:snapToGrid w:val="0"/>
              <w:spacing w:line="360" w:lineRule="auto"/>
              <w:rPr>
                <w:rFonts w:ascii="仿宋" w:hAnsi="仿宋" w:eastAsia="仿宋" w:cs="黑体"/>
                <w:sz w:val="21"/>
                <w:szCs w:val="21"/>
                <w:highlight w:val="none"/>
              </w:rPr>
            </w:pPr>
            <w:r>
              <w:rPr>
                <w:rFonts w:hint="eastAsia" w:ascii="仿宋" w:hAnsi="仿宋" w:eastAsia="仿宋" w:cs="黑体"/>
                <w:sz w:val="21"/>
                <w:szCs w:val="21"/>
                <w:highlight w:val="none"/>
                <w:lang w:eastAsia="zh-CN"/>
              </w:rPr>
              <w:t>效益指标完成得分情况</w:t>
            </w:r>
          </w:p>
        </w:tc>
        <w:tc>
          <w:tcPr>
            <w:tcW w:w="1485" w:type="dxa"/>
          </w:tcPr>
          <w:p>
            <w:pPr>
              <w:snapToGrid w:val="0"/>
              <w:spacing w:line="360" w:lineRule="auto"/>
              <w:rPr>
                <w:rFonts w:hint="eastAsia" w:ascii="仿宋" w:hAnsi="仿宋" w:eastAsia="仿宋" w:cs="黑体"/>
                <w:sz w:val="21"/>
                <w:szCs w:val="21"/>
                <w:highlight w:val="none"/>
                <w:lang w:eastAsia="zh-CN"/>
              </w:rPr>
            </w:pPr>
            <w:r>
              <w:rPr>
                <w:rFonts w:hint="eastAsia" w:ascii="仿宋" w:hAnsi="仿宋" w:eastAsia="仿宋" w:cs="黑体"/>
                <w:sz w:val="21"/>
                <w:szCs w:val="21"/>
                <w:highlight w:val="none"/>
                <w:lang w:eastAsia="zh-CN"/>
              </w:rPr>
              <w:t>满意度指标完成得分情况</w:t>
            </w:r>
          </w:p>
        </w:tc>
        <w:tc>
          <w:tcPr>
            <w:tcW w:w="900" w:type="dxa"/>
          </w:tcPr>
          <w:p>
            <w:pPr>
              <w:snapToGrid w:val="0"/>
              <w:spacing w:line="360" w:lineRule="auto"/>
              <w:rPr>
                <w:rFonts w:hint="eastAsia" w:ascii="仿宋" w:hAnsi="仿宋" w:eastAsia="仿宋" w:cs="黑体"/>
                <w:sz w:val="21"/>
                <w:szCs w:val="21"/>
                <w:highlight w:val="none"/>
                <w:lang w:eastAsia="zh-CN"/>
              </w:rPr>
            </w:pPr>
            <w:r>
              <w:rPr>
                <w:rFonts w:hint="eastAsia" w:ascii="仿宋" w:hAnsi="仿宋" w:eastAsia="仿宋" w:cs="黑体"/>
                <w:sz w:val="21"/>
                <w:szCs w:val="21"/>
                <w:highlight w:val="none"/>
                <w:lang w:eastAsia="zh-CN"/>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pPr>
              <w:snapToGrid w:val="0"/>
              <w:spacing w:line="360" w:lineRule="auto"/>
              <w:jc w:val="center"/>
              <w:rPr>
                <w:rFonts w:hint="eastAsia"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红十字纪念日和应急救护宣传经费</w:t>
            </w:r>
          </w:p>
        </w:tc>
        <w:tc>
          <w:tcPr>
            <w:tcW w:w="1395" w:type="dxa"/>
            <w:vAlign w:val="center"/>
          </w:tcPr>
          <w:p>
            <w:pPr>
              <w:snapToGrid w:val="0"/>
              <w:spacing w:line="360" w:lineRule="auto"/>
              <w:jc w:val="center"/>
              <w:rPr>
                <w:rFonts w:hint="default"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40</w:t>
            </w:r>
          </w:p>
        </w:tc>
        <w:tc>
          <w:tcPr>
            <w:tcW w:w="1335" w:type="dxa"/>
            <w:vAlign w:val="center"/>
          </w:tcPr>
          <w:p>
            <w:pPr>
              <w:snapToGrid w:val="0"/>
              <w:spacing w:line="360" w:lineRule="auto"/>
              <w:jc w:val="center"/>
              <w:rPr>
                <w:rFonts w:hint="default"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10</w:t>
            </w:r>
          </w:p>
        </w:tc>
        <w:tc>
          <w:tcPr>
            <w:tcW w:w="1560" w:type="dxa"/>
            <w:vAlign w:val="center"/>
          </w:tcPr>
          <w:p>
            <w:pPr>
              <w:snapToGrid w:val="0"/>
              <w:spacing w:line="360" w:lineRule="auto"/>
              <w:jc w:val="center"/>
              <w:rPr>
                <w:rFonts w:hint="default"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35</w:t>
            </w:r>
          </w:p>
        </w:tc>
        <w:tc>
          <w:tcPr>
            <w:tcW w:w="1485" w:type="dxa"/>
            <w:vAlign w:val="center"/>
          </w:tcPr>
          <w:p>
            <w:pPr>
              <w:snapToGrid w:val="0"/>
              <w:spacing w:line="360" w:lineRule="auto"/>
              <w:jc w:val="center"/>
              <w:rPr>
                <w:rFonts w:hint="eastAsia"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9</w:t>
            </w:r>
          </w:p>
        </w:tc>
        <w:tc>
          <w:tcPr>
            <w:tcW w:w="900" w:type="dxa"/>
            <w:vAlign w:val="center"/>
          </w:tcPr>
          <w:p>
            <w:pPr>
              <w:snapToGrid w:val="0"/>
              <w:spacing w:line="360" w:lineRule="auto"/>
              <w:jc w:val="center"/>
              <w:rPr>
                <w:rFonts w:hint="default"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pPr>
              <w:snapToGrid w:val="0"/>
              <w:spacing w:line="360" w:lineRule="auto"/>
              <w:jc w:val="center"/>
              <w:rPr>
                <w:rFonts w:hint="eastAsia" w:ascii="仿宋" w:hAnsi="仿宋" w:eastAsia="仿宋" w:cs="黑体"/>
                <w:sz w:val="21"/>
                <w:szCs w:val="21"/>
                <w:highlight w:val="none"/>
              </w:rPr>
            </w:pPr>
            <w:r>
              <w:rPr>
                <w:rFonts w:hint="eastAsia" w:ascii="仿宋" w:hAnsi="仿宋" w:eastAsia="仿宋" w:cs="黑体"/>
                <w:sz w:val="21"/>
                <w:szCs w:val="21"/>
                <w:highlight w:val="none"/>
                <w:lang w:val="en-US" w:eastAsia="zh-CN"/>
              </w:rPr>
              <w:t>红十字应急救护大赛经费</w:t>
            </w:r>
          </w:p>
        </w:tc>
        <w:tc>
          <w:tcPr>
            <w:tcW w:w="1395" w:type="dxa"/>
            <w:vAlign w:val="center"/>
          </w:tcPr>
          <w:p>
            <w:pPr>
              <w:snapToGrid w:val="0"/>
              <w:spacing w:line="360" w:lineRule="auto"/>
              <w:jc w:val="center"/>
              <w:rPr>
                <w:rFonts w:hint="default"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40</w:t>
            </w:r>
          </w:p>
        </w:tc>
        <w:tc>
          <w:tcPr>
            <w:tcW w:w="1335" w:type="dxa"/>
            <w:vAlign w:val="center"/>
          </w:tcPr>
          <w:p>
            <w:pPr>
              <w:snapToGrid w:val="0"/>
              <w:spacing w:line="360" w:lineRule="auto"/>
              <w:jc w:val="center"/>
              <w:rPr>
                <w:rFonts w:hint="default"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10</w:t>
            </w:r>
          </w:p>
        </w:tc>
        <w:tc>
          <w:tcPr>
            <w:tcW w:w="1560" w:type="dxa"/>
            <w:vAlign w:val="center"/>
          </w:tcPr>
          <w:p>
            <w:pPr>
              <w:snapToGrid w:val="0"/>
              <w:spacing w:line="360" w:lineRule="auto"/>
              <w:jc w:val="center"/>
              <w:rPr>
                <w:rFonts w:hint="default"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38</w:t>
            </w:r>
          </w:p>
        </w:tc>
        <w:tc>
          <w:tcPr>
            <w:tcW w:w="1485" w:type="dxa"/>
            <w:vAlign w:val="center"/>
          </w:tcPr>
          <w:p>
            <w:pPr>
              <w:snapToGrid w:val="0"/>
              <w:spacing w:line="360" w:lineRule="auto"/>
              <w:jc w:val="center"/>
              <w:rPr>
                <w:rFonts w:hint="default"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10</w:t>
            </w:r>
          </w:p>
        </w:tc>
        <w:tc>
          <w:tcPr>
            <w:tcW w:w="900" w:type="dxa"/>
            <w:vAlign w:val="center"/>
          </w:tcPr>
          <w:p>
            <w:pPr>
              <w:snapToGrid w:val="0"/>
              <w:spacing w:line="360" w:lineRule="auto"/>
              <w:jc w:val="center"/>
              <w:rPr>
                <w:rFonts w:hint="default"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tcPr>
          <w:p>
            <w:pPr>
              <w:snapToGrid w:val="0"/>
              <w:spacing w:line="360" w:lineRule="auto"/>
              <w:rPr>
                <w:rFonts w:hint="eastAsia"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平均得分</w:t>
            </w:r>
          </w:p>
        </w:tc>
        <w:tc>
          <w:tcPr>
            <w:tcW w:w="1395" w:type="dxa"/>
          </w:tcPr>
          <w:p>
            <w:pPr>
              <w:snapToGrid w:val="0"/>
              <w:spacing w:line="360" w:lineRule="auto"/>
              <w:ind w:firstLine="210" w:firstLineChars="100"/>
              <w:rPr>
                <w:rFonts w:hint="eastAsia" w:ascii="仿宋" w:hAnsi="仿宋" w:eastAsia="仿宋" w:cs="黑体"/>
                <w:sz w:val="21"/>
                <w:szCs w:val="21"/>
                <w:highlight w:val="none"/>
              </w:rPr>
            </w:pPr>
          </w:p>
        </w:tc>
        <w:tc>
          <w:tcPr>
            <w:tcW w:w="1335" w:type="dxa"/>
          </w:tcPr>
          <w:p>
            <w:pPr>
              <w:snapToGrid w:val="0"/>
              <w:spacing w:line="360" w:lineRule="auto"/>
              <w:rPr>
                <w:rFonts w:hint="eastAsia" w:ascii="仿宋" w:hAnsi="仿宋" w:eastAsia="仿宋" w:cs="黑体"/>
                <w:sz w:val="21"/>
                <w:szCs w:val="21"/>
                <w:highlight w:val="none"/>
              </w:rPr>
            </w:pPr>
          </w:p>
        </w:tc>
        <w:tc>
          <w:tcPr>
            <w:tcW w:w="1560" w:type="dxa"/>
          </w:tcPr>
          <w:p>
            <w:pPr>
              <w:snapToGrid w:val="0"/>
              <w:spacing w:line="360" w:lineRule="auto"/>
              <w:rPr>
                <w:rFonts w:hint="eastAsia" w:ascii="仿宋" w:hAnsi="仿宋" w:eastAsia="仿宋" w:cs="黑体"/>
                <w:sz w:val="21"/>
                <w:szCs w:val="21"/>
                <w:highlight w:val="none"/>
              </w:rPr>
            </w:pPr>
          </w:p>
        </w:tc>
        <w:tc>
          <w:tcPr>
            <w:tcW w:w="1485" w:type="dxa"/>
          </w:tcPr>
          <w:p>
            <w:pPr>
              <w:snapToGrid w:val="0"/>
              <w:spacing w:line="360" w:lineRule="auto"/>
              <w:rPr>
                <w:rFonts w:hint="eastAsia" w:ascii="仿宋" w:hAnsi="仿宋" w:eastAsia="仿宋" w:cs="黑体"/>
                <w:sz w:val="21"/>
                <w:szCs w:val="21"/>
                <w:highlight w:val="none"/>
              </w:rPr>
            </w:pPr>
          </w:p>
        </w:tc>
        <w:tc>
          <w:tcPr>
            <w:tcW w:w="900" w:type="dxa"/>
          </w:tcPr>
          <w:p>
            <w:pPr>
              <w:snapToGrid w:val="0"/>
              <w:spacing w:line="360" w:lineRule="auto"/>
              <w:rPr>
                <w:rFonts w:hint="default" w:ascii="仿宋" w:hAnsi="仿宋" w:eastAsia="仿宋" w:cs="黑体"/>
                <w:sz w:val="21"/>
                <w:szCs w:val="21"/>
                <w:highlight w:val="none"/>
                <w:lang w:val="en-US" w:eastAsia="zh-CN"/>
              </w:rPr>
            </w:pPr>
            <w:r>
              <w:rPr>
                <w:rFonts w:hint="eastAsia" w:ascii="仿宋" w:hAnsi="仿宋" w:eastAsia="仿宋" w:cs="黑体"/>
                <w:sz w:val="21"/>
                <w:szCs w:val="21"/>
                <w:highlight w:val="none"/>
                <w:lang w:val="en-US" w:eastAsia="zh-CN"/>
              </w:rPr>
              <w:t>96.5</w:t>
            </w:r>
          </w:p>
        </w:tc>
      </w:tr>
    </w:tbl>
    <w:p>
      <w:pPr>
        <w:widowControl w:val="0"/>
        <w:wordWrap/>
        <w:adjustRightInd w:val="0"/>
        <w:snapToGrid w:val="0"/>
        <w:spacing w:line="560" w:lineRule="exact"/>
        <w:ind w:right="0" w:firstLine="320" w:firstLineChars="100"/>
        <w:textAlignment w:val="auto"/>
        <w:outlineLvl w:val="9"/>
        <w:rPr>
          <w:rFonts w:hint="eastAsia" w:ascii="仿宋" w:hAnsi="仿宋" w:eastAsia="仿宋"/>
          <w:sz w:val="32"/>
          <w:szCs w:val="32"/>
        </w:rPr>
      </w:pPr>
      <w:bookmarkStart w:id="0" w:name="_GoBack"/>
      <w:bookmarkEnd w:id="0"/>
    </w:p>
    <w:p>
      <w:pPr>
        <w:widowControl w:val="0"/>
        <w:wordWrap/>
        <w:adjustRightInd w:val="0"/>
        <w:snapToGrid w:val="0"/>
        <w:spacing w:line="560" w:lineRule="exact"/>
        <w:ind w:right="0" w:firstLine="320" w:firstLineChars="100"/>
        <w:textAlignment w:val="auto"/>
        <w:outlineLvl w:val="9"/>
        <w:rPr>
          <w:rFonts w:hint="eastAsia" w:ascii="仿宋" w:hAnsi="仿宋" w:eastAsia="仿宋"/>
          <w:sz w:val="32"/>
          <w:szCs w:val="32"/>
          <w:lang w:val="en-US"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w:t>
      </w:r>
      <w:r>
        <w:rPr>
          <w:rFonts w:hint="eastAsia" w:ascii="仿宋" w:hAnsi="仿宋" w:eastAsia="仿宋"/>
          <w:sz w:val="32"/>
          <w:szCs w:val="32"/>
          <w:lang w:eastAsia="zh-CN"/>
        </w:rPr>
        <w:t>，并</w:t>
      </w:r>
      <w:r>
        <w:rPr>
          <w:rFonts w:hint="eastAsia" w:ascii="仿宋" w:hAnsi="仿宋" w:eastAsia="仿宋"/>
          <w:sz w:val="32"/>
          <w:szCs w:val="32"/>
        </w:rPr>
        <w:t>得出综合绩效评价等级。</w:t>
      </w:r>
      <w:r>
        <w:rPr>
          <w:rFonts w:hint="eastAsia" w:ascii="仿宋" w:hAnsi="仿宋" w:eastAsia="仿宋"/>
          <w:sz w:val="32"/>
          <w:szCs w:val="32"/>
          <w:lang w:eastAsia="zh-CN"/>
        </w:rPr>
        <w:t>我部门整体支出</w:t>
      </w:r>
      <w:r>
        <w:rPr>
          <w:rFonts w:hint="eastAsia" w:ascii="仿宋" w:hAnsi="仿宋" w:eastAsia="仿宋"/>
          <w:sz w:val="32"/>
          <w:szCs w:val="32"/>
        </w:rPr>
        <w:t>综合绩效评价</w:t>
      </w:r>
      <w:r>
        <w:rPr>
          <w:rFonts w:hint="eastAsia" w:ascii="仿宋" w:hAnsi="仿宋" w:eastAsia="仿宋"/>
          <w:sz w:val="32"/>
          <w:szCs w:val="32"/>
          <w:lang w:eastAsia="zh-CN"/>
        </w:rPr>
        <w:t>平均得分</w:t>
      </w:r>
      <w:r>
        <w:rPr>
          <w:rFonts w:hint="eastAsia" w:ascii="仿宋" w:hAnsi="仿宋" w:eastAsia="仿宋"/>
          <w:sz w:val="32"/>
          <w:szCs w:val="32"/>
          <w:lang w:val="en-US" w:eastAsia="zh-CN"/>
        </w:rPr>
        <w:t>96.5分，</w:t>
      </w:r>
      <w:r>
        <w:rPr>
          <w:rFonts w:hint="eastAsia" w:ascii="仿宋" w:hAnsi="仿宋" w:eastAsia="仿宋"/>
          <w:sz w:val="32"/>
          <w:szCs w:val="32"/>
        </w:rPr>
        <w:t>绩效评价等级</w:t>
      </w:r>
      <w:r>
        <w:rPr>
          <w:rFonts w:hint="eastAsia" w:ascii="仿宋" w:hAnsi="仿宋" w:eastAsia="仿宋"/>
          <w:sz w:val="32"/>
          <w:szCs w:val="32"/>
          <w:lang w:eastAsia="zh-CN"/>
        </w:rPr>
        <w:t>为</w:t>
      </w:r>
      <w:r>
        <w:rPr>
          <w:rFonts w:hint="eastAsia" w:ascii="仿宋" w:hAnsi="仿宋" w:eastAsia="仿宋"/>
          <w:sz w:val="32"/>
          <w:szCs w:val="32"/>
          <w:lang w:val="en-US" w:eastAsia="zh-CN"/>
        </w:rPr>
        <w:t>优秀。</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lang w:val="en-US" w:eastAsia="zh-CN"/>
        </w:rPr>
        <w:t>五、</w:t>
      </w:r>
      <w:r>
        <w:rPr>
          <w:rFonts w:hint="eastAsia" w:ascii="黑体" w:hAnsi="黑体" w:eastAsia="黑体"/>
          <w:sz w:val="32"/>
          <w:szCs w:val="32"/>
        </w:rPr>
        <w:t>存在的问题及改进措施</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pPr>
        <w:pStyle w:val="2"/>
        <w:numPr>
          <w:ilvl w:val="0"/>
          <w:numId w:val="0"/>
        </w:numPr>
        <w:ind w:firstLine="640" w:firstLineChars="200"/>
        <w:rPr>
          <w:rFonts w:hint="eastAsia"/>
          <w:lang w:val="en-US" w:eastAsia="zh-CN"/>
        </w:rPr>
      </w:pPr>
      <w:r>
        <w:rPr>
          <w:rFonts w:hint="eastAsia" w:ascii="楷体_GB2312" w:hAnsi="楷体_GB2312" w:eastAsia="楷体_GB2312" w:cs="楷体_GB2312"/>
          <w:bCs/>
          <w:sz w:val="32"/>
          <w:szCs w:val="32"/>
          <w:lang w:val="en-US" w:eastAsia="zh-CN"/>
        </w:rPr>
        <w:t xml:space="preserve">  </w:t>
      </w:r>
      <w:r>
        <w:rPr>
          <w:rFonts w:hint="eastAsia"/>
          <w:lang w:val="en-US" w:eastAsia="zh-CN"/>
        </w:rPr>
        <w:t>我部门2023年度绩效目标全部按时完成，在绩效评价工作过程中，我部门预算绩效管理评价工作小组发现，有个别项目存在绩效指标设定比较简单、不够全面、不够细化的问题。</w:t>
      </w:r>
    </w:p>
    <w:p>
      <w:pPr>
        <w:numPr>
          <w:ilvl w:val="0"/>
          <w:numId w:val="4"/>
        </w:numPr>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numPr>
          <w:ilvl w:val="0"/>
          <w:numId w:val="0"/>
        </w:num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1、加强项目绩效认识。提高机关及分管人员对绩效管理及预算资金使用效益的认识，把预算资金是否发挥使用效益与各岗位是否履职尽责相结合。</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2、加强预算绩效管理。进一步加强机关预算资金管理，减少预算资金使用的随意性，对预算的事前、事中、事后进行全过程控制，加大对预算编制与执行的监督管理力度，提高预算资金使用效率。</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3、加强项目实施监控。加强对项目实施进度的实时监控， 对项目实施过程中进度异常、实施范围调整等情况及时按照流程报批。</w:t>
      </w:r>
    </w:p>
    <w:p>
      <w:pPr>
        <w:adjustRightInd w:val="0"/>
        <w:snapToGrid w:val="0"/>
        <w:spacing w:line="560" w:lineRule="exact"/>
        <w:ind w:firstLine="640" w:firstLineChars="200"/>
        <w:rPr>
          <w:rFonts w:hint="eastAsia" w:ascii="仿宋_GB2312" w:hAnsi="仿宋_GB2312" w:eastAsia="仿宋_GB2312" w:cs="仿宋_GB2312"/>
          <w:b/>
          <w:sz w:val="32"/>
          <w:szCs w:val="32"/>
          <w:lang w:val="en-US" w:eastAsia="zh-CN"/>
        </w:rPr>
      </w:pPr>
      <w:r>
        <w:rPr>
          <w:rFonts w:hint="eastAsia" w:ascii="黑体" w:hAnsi="黑体" w:eastAsia="黑体"/>
          <w:sz w:val="32"/>
          <w:szCs w:val="32"/>
        </w:rPr>
        <w:t>六、评价工作组人员名单及签字</w:t>
      </w:r>
    </w:p>
    <w:tbl>
      <w:tblPr>
        <w:tblStyle w:val="5"/>
        <w:tblpPr w:leftFromText="180" w:rightFromText="180" w:vertAnchor="text" w:horzAnchor="page" w:tblpX="2005" w:tblpY="295"/>
        <w:tblOverlap w:val="never"/>
        <w:tblW w:w="9056" w:type="dxa"/>
        <w:tblInd w:w="0" w:type="dxa"/>
        <w:tblLayout w:type="fixed"/>
        <w:tblCellMar>
          <w:top w:w="0" w:type="dxa"/>
          <w:left w:w="108" w:type="dxa"/>
          <w:bottom w:w="0" w:type="dxa"/>
          <w:right w:w="108" w:type="dxa"/>
        </w:tblCellMar>
      </w:tblPr>
      <w:tblGrid>
        <w:gridCol w:w="832"/>
        <w:gridCol w:w="1395"/>
        <w:gridCol w:w="2220"/>
        <w:gridCol w:w="2797"/>
        <w:gridCol w:w="1812"/>
      </w:tblGrid>
      <w:tr>
        <w:tblPrEx>
          <w:tblCellMar>
            <w:top w:w="0" w:type="dxa"/>
            <w:left w:w="108" w:type="dxa"/>
            <w:bottom w:w="0" w:type="dxa"/>
            <w:right w:w="108" w:type="dxa"/>
          </w:tblCellMar>
        </w:tblPrEx>
        <w:trPr>
          <w:trHeight w:val="748" w:hRule="atLeast"/>
        </w:trPr>
        <w:tc>
          <w:tcPr>
            <w:tcW w:w="832"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序号</w:t>
            </w:r>
          </w:p>
        </w:tc>
        <w:tc>
          <w:tcPr>
            <w:tcW w:w="1395"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姓名</w:t>
            </w:r>
          </w:p>
        </w:tc>
        <w:tc>
          <w:tcPr>
            <w:tcW w:w="2220"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工作单位</w:t>
            </w:r>
          </w:p>
        </w:tc>
        <w:tc>
          <w:tcPr>
            <w:tcW w:w="2797"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职务</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签字</w:t>
            </w:r>
          </w:p>
        </w:tc>
      </w:tr>
      <w:tr>
        <w:tblPrEx>
          <w:tblCellMar>
            <w:top w:w="0" w:type="dxa"/>
            <w:left w:w="108" w:type="dxa"/>
            <w:bottom w:w="0" w:type="dxa"/>
            <w:right w:w="108" w:type="dxa"/>
          </w:tblCellMar>
        </w:tblPrEx>
        <w:trPr>
          <w:trHeight w:val="626" w:hRule="atLeast"/>
        </w:trPr>
        <w:tc>
          <w:tcPr>
            <w:tcW w:w="832"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1</w:t>
            </w:r>
          </w:p>
        </w:tc>
        <w:tc>
          <w:tcPr>
            <w:tcW w:w="1395"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lang w:eastAsia="zh-CN"/>
              </w:rPr>
            </w:pPr>
            <w:r>
              <w:rPr>
                <w:rFonts w:hint="eastAsia" w:ascii="仿宋_GB2312" w:hAnsi="仿宋_GB2312" w:eastAsia="仿宋_GB2312" w:cs="仿宋_GB2312"/>
                <w:kern w:val="0"/>
                <w:sz w:val="30"/>
                <w:szCs w:val="30"/>
                <w:lang w:val="en-US" w:eastAsia="zh-CN"/>
              </w:rPr>
              <w:t>张旭</w:t>
            </w:r>
          </w:p>
        </w:tc>
        <w:tc>
          <w:tcPr>
            <w:tcW w:w="2220"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区红十字会</w:t>
            </w:r>
          </w:p>
        </w:tc>
        <w:tc>
          <w:tcPr>
            <w:tcW w:w="2797"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常务副会长</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p>
        </w:tc>
      </w:tr>
      <w:tr>
        <w:tblPrEx>
          <w:tblCellMar>
            <w:top w:w="0" w:type="dxa"/>
            <w:left w:w="108" w:type="dxa"/>
            <w:bottom w:w="0" w:type="dxa"/>
            <w:right w:w="108" w:type="dxa"/>
          </w:tblCellMar>
        </w:tblPrEx>
        <w:trPr>
          <w:trHeight w:val="485" w:hRule="atLeast"/>
        </w:trPr>
        <w:tc>
          <w:tcPr>
            <w:tcW w:w="832"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2</w:t>
            </w:r>
          </w:p>
        </w:tc>
        <w:tc>
          <w:tcPr>
            <w:tcW w:w="1395"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rPr>
              <w:t>杨建坡</w:t>
            </w:r>
          </w:p>
        </w:tc>
        <w:tc>
          <w:tcPr>
            <w:tcW w:w="2220"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区红十字会</w:t>
            </w:r>
          </w:p>
        </w:tc>
        <w:tc>
          <w:tcPr>
            <w:tcW w:w="2797"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rPr>
              <w:t>捐赠</w:t>
            </w:r>
            <w:r>
              <w:rPr>
                <w:rFonts w:hint="eastAsia" w:ascii="仿宋_GB2312" w:hAnsi="仿宋_GB2312" w:eastAsia="仿宋_GB2312" w:cs="仿宋_GB2312"/>
                <w:kern w:val="0"/>
                <w:sz w:val="30"/>
                <w:szCs w:val="30"/>
                <w:lang w:val="en-US" w:eastAsia="zh-CN"/>
              </w:rPr>
              <w:t>管理</w:t>
            </w:r>
            <w:r>
              <w:rPr>
                <w:rFonts w:hint="eastAsia" w:ascii="仿宋_GB2312" w:hAnsi="仿宋_GB2312" w:eastAsia="仿宋_GB2312" w:cs="仿宋_GB2312"/>
                <w:kern w:val="0"/>
                <w:sz w:val="30"/>
                <w:szCs w:val="30"/>
              </w:rPr>
              <w:t>股股长</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p>
        </w:tc>
      </w:tr>
      <w:tr>
        <w:tblPrEx>
          <w:tblCellMar>
            <w:top w:w="0" w:type="dxa"/>
            <w:left w:w="108" w:type="dxa"/>
            <w:bottom w:w="0" w:type="dxa"/>
            <w:right w:w="108" w:type="dxa"/>
          </w:tblCellMar>
        </w:tblPrEx>
        <w:trPr>
          <w:trHeight w:val="538" w:hRule="atLeast"/>
        </w:trPr>
        <w:tc>
          <w:tcPr>
            <w:tcW w:w="832"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3</w:t>
            </w:r>
          </w:p>
        </w:tc>
        <w:tc>
          <w:tcPr>
            <w:tcW w:w="1395"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程世敏</w:t>
            </w:r>
          </w:p>
        </w:tc>
        <w:tc>
          <w:tcPr>
            <w:tcW w:w="2220"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区红十字会</w:t>
            </w:r>
          </w:p>
        </w:tc>
        <w:tc>
          <w:tcPr>
            <w:tcW w:w="2797"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办公室主任</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p>
        </w:tc>
      </w:tr>
      <w:tr>
        <w:tblPrEx>
          <w:tblCellMar>
            <w:top w:w="0" w:type="dxa"/>
            <w:left w:w="108" w:type="dxa"/>
            <w:bottom w:w="0" w:type="dxa"/>
            <w:right w:w="108" w:type="dxa"/>
          </w:tblCellMar>
        </w:tblPrEx>
        <w:trPr>
          <w:trHeight w:val="573" w:hRule="atLeast"/>
        </w:trPr>
        <w:tc>
          <w:tcPr>
            <w:tcW w:w="832"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4</w:t>
            </w:r>
          </w:p>
        </w:tc>
        <w:tc>
          <w:tcPr>
            <w:tcW w:w="1395"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郜建萍</w:t>
            </w:r>
          </w:p>
        </w:tc>
        <w:tc>
          <w:tcPr>
            <w:tcW w:w="2220"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区红十字会</w:t>
            </w:r>
          </w:p>
        </w:tc>
        <w:tc>
          <w:tcPr>
            <w:tcW w:w="2797"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财务人员</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仿宋_GB2312" w:hAnsi="仿宋_GB2312" w:eastAsia="仿宋_GB2312" w:cs="仿宋_GB2312"/>
                <w:kern w:val="0"/>
                <w:sz w:val="30"/>
                <w:szCs w:val="30"/>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A4991387"/>
    <w:multiLevelType w:val="singleLevel"/>
    <w:tmpl w:val="A4991387"/>
    <w:lvl w:ilvl="0" w:tentative="0">
      <w:start w:val="2"/>
      <w:numFmt w:val="chineseCounting"/>
      <w:suff w:val="nothing"/>
      <w:lvlText w:val="（%1）"/>
      <w:lvlJc w:val="left"/>
      <w:rPr>
        <w:rFonts w:hint="eastAsia"/>
      </w:rPr>
    </w:lvl>
  </w:abstractNum>
  <w:abstractNum w:abstractNumId="2">
    <w:nsid w:val="0000000D"/>
    <w:multiLevelType w:val="singleLevel"/>
    <w:tmpl w:val="0000000D"/>
    <w:lvl w:ilvl="0" w:tentative="0">
      <w:start w:val="2"/>
      <w:numFmt w:val="decimal"/>
      <w:suff w:val="nothing"/>
      <w:lvlText w:val="%1．"/>
      <w:lvlJc w:val="left"/>
    </w:lvl>
  </w:abstractNum>
  <w:abstractNum w:abstractNumId="3">
    <w:nsid w:val="50A9C9CB"/>
    <w:multiLevelType w:val="singleLevel"/>
    <w:tmpl w:val="50A9C9CB"/>
    <w:lvl w:ilvl="0" w:tentative="0">
      <w:start w:val="2"/>
      <w:numFmt w:val="chineseCounting"/>
      <w:suff w:val="nothing"/>
      <w:lvlText w:val="（%1）"/>
      <w:lvlJc w:val="left"/>
      <w:rPr>
        <w:rFonts w:hint="eastAsia"/>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UzOWFlYjJiNjA0NTMxYmRmMTVkYTUxOGRhM2Mz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AC61F07"/>
    <w:rsid w:val="10930890"/>
    <w:rsid w:val="13B61930"/>
    <w:rsid w:val="181546C2"/>
    <w:rsid w:val="1A3B21A2"/>
    <w:rsid w:val="1BAF1154"/>
    <w:rsid w:val="1C655171"/>
    <w:rsid w:val="20276775"/>
    <w:rsid w:val="26B75F6B"/>
    <w:rsid w:val="2C170443"/>
    <w:rsid w:val="2F2C2A40"/>
    <w:rsid w:val="344704E1"/>
    <w:rsid w:val="3540522B"/>
    <w:rsid w:val="35F84793"/>
    <w:rsid w:val="363C58F1"/>
    <w:rsid w:val="39744C0B"/>
    <w:rsid w:val="3AEF6FE7"/>
    <w:rsid w:val="441F3676"/>
    <w:rsid w:val="491366F4"/>
    <w:rsid w:val="493B718D"/>
    <w:rsid w:val="53A42ADD"/>
    <w:rsid w:val="557355CF"/>
    <w:rsid w:val="563B01B4"/>
    <w:rsid w:val="56604927"/>
    <w:rsid w:val="590F0BE0"/>
    <w:rsid w:val="5C4A315B"/>
    <w:rsid w:val="661D3074"/>
    <w:rsid w:val="68D00A0D"/>
    <w:rsid w:val="6B1C1E0E"/>
    <w:rsid w:val="6BDE7164"/>
    <w:rsid w:val="6BEC721C"/>
    <w:rsid w:val="75414630"/>
    <w:rsid w:val="765B56D5"/>
    <w:rsid w:val="7BA03C4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paragraph" w:customStyle="1" w:styleId="9">
    <w:name w:val="p0"/>
    <w:basedOn w:val="1"/>
    <w:autoRedefine/>
    <w:qFormat/>
    <w:uiPriority w:val="0"/>
    <w:pPr>
      <w:widowControl/>
    </w:pPr>
    <w:rPr>
      <w:rFonts w:hint="eastAsi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10</Pages>
  <Words>4292</Words>
  <Characters>4433</Characters>
  <Lines>3</Lines>
  <Paragraphs>1</Paragraphs>
  <TotalTime>25</TotalTime>
  <ScaleCrop>false</ScaleCrop>
  <LinksUpToDate>false</LinksUpToDate>
  <CharactersWithSpaces>4450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夏天</cp:lastModifiedBy>
  <cp:lastPrinted>2024-05-20T01:49:58Z</cp:lastPrinted>
  <dcterms:modified xsi:type="dcterms:W3CDTF">2024-05-20T01:50:22Z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28C64EFCB758481798A31117B3E7B5E3</vt:lpwstr>
  </property>
</Properties>
</file>