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1E9E995D">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藁城区纪委</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rPr>
        <w:t>藁城区纪委</w:t>
      </w:r>
      <w:r>
        <w:rPr>
          <w:rFonts w:hint="eastAsia" w:ascii="仿宋_GB2312" w:hAnsi="仿宋_GB2312" w:eastAsia="仿宋_GB2312" w:cs="仿宋_GB2312"/>
          <w:sz w:val="32"/>
          <w:szCs w:val="32"/>
          <w:highlight w:val="none"/>
          <w:lang w:eastAsia="zh-CN"/>
        </w:rPr>
        <w:t>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510F1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中国共产党石家庄市藁城区纪律检查委员会单位性质为行政单位，经费形式为财政拨款，主要负责</w:t>
      </w:r>
      <w:bookmarkStart w:id="1" w:name="_GoBack"/>
      <w:bookmarkEnd w:id="1"/>
      <w:r>
        <w:rPr>
          <w:rFonts w:hint="eastAsia" w:ascii="仿宋_GB2312" w:hAnsi="仿宋_GB2312" w:eastAsia="仿宋_GB2312" w:cs="仿宋_GB2312"/>
          <w:sz w:val="32"/>
          <w:szCs w:val="32"/>
          <w:lang w:eastAsia="zh-CN"/>
        </w:rPr>
        <w:t>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等工作。</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3EC9DF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我委202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年共有监察委办公场所租赁费、办案专项经费、大要案专项工作经费等1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个项目，预算资金共计</w:t>
      </w:r>
      <w:r>
        <w:rPr>
          <w:rFonts w:hint="eastAsia" w:ascii="仿宋_GB2312" w:hAnsi="仿宋_GB2312" w:eastAsia="仿宋_GB2312" w:cs="仿宋_GB2312"/>
          <w:sz w:val="32"/>
          <w:szCs w:val="32"/>
          <w:lang w:val="en-US" w:eastAsia="zh-CN"/>
        </w:rPr>
        <w:t>305.34</w:t>
      </w:r>
      <w:r>
        <w:rPr>
          <w:rFonts w:hint="eastAsia" w:ascii="仿宋_GB2312" w:hAnsi="仿宋_GB2312" w:eastAsia="仿宋_GB2312" w:cs="仿宋_GB2312"/>
          <w:sz w:val="32"/>
          <w:szCs w:val="32"/>
          <w:lang w:eastAsia="zh-CN"/>
        </w:rPr>
        <w:t>万元，实际到位资金</w:t>
      </w:r>
      <w:r>
        <w:rPr>
          <w:rFonts w:hint="eastAsia" w:ascii="仿宋_GB2312" w:hAnsi="仿宋_GB2312" w:eastAsia="仿宋_GB2312" w:cs="仿宋_GB2312"/>
          <w:sz w:val="32"/>
          <w:szCs w:val="32"/>
          <w:lang w:val="en-US" w:eastAsia="zh-CN"/>
        </w:rPr>
        <w:t>305.34</w:t>
      </w:r>
      <w:r>
        <w:rPr>
          <w:rFonts w:hint="eastAsia" w:ascii="仿宋_GB2312" w:hAnsi="仿宋_GB2312" w:eastAsia="仿宋_GB2312" w:cs="仿宋_GB2312"/>
          <w:sz w:val="32"/>
          <w:szCs w:val="32"/>
          <w:lang w:eastAsia="zh-CN"/>
        </w:rPr>
        <w:t>万元，资金到位率100%；应到位资金</w:t>
      </w:r>
      <w:r>
        <w:rPr>
          <w:rFonts w:hint="eastAsia" w:ascii="仿宋_GB2312" w:hAnsi="仿宋_GB2312" w:eastAsia="仿宋_GB2312" w:cs="仿宋_GB2312"/>
          <w:sz w:val="32"/>
          <w:szCs w:val="32"/>
          <w:lang w:val="en-US" w:eastAsia="zh-CN"/>
        </w:rPr>
        <w:t>305.34</w:t>
      </w:r>
      <w:r>
        <w:rPr>
          <w:rFonts w:hint="eastAsia" w:ascii="仿宋_GB2312" w:hAnsi="仿宋_GB2312" w:eastAsia="仿宋_GB2312" w:cs="仿宋_GB2312"/>
          <w:sz w:val="32"/>
          <w:szCs w:val="32"/>
          <w:lang w:eastAsia="zh-CN"/>
        </w:rPr>
        <w:t>万元，及时到位资金</w:t>
      </w:r>
      <w:r>
        <w:rPr>
          <w:rFonts w:hint="eastAsia" w:ascii="仿宋_GB2312" w:hAnsi="仿宋_GB2312" w:eastAsia="仿宋_GB2312" w:cs="仿宋_GB2312"/>
          <w:sz w:val="32"/>
          <w:szCs w:val="32"/>
          <w:lang w:val="en-US" w:eastAsia="zh-CN"/>
        </w:rPr>
        <w:t>305.34</w:t>
      </w:r>
      <w:r>
        <w:rPr>
          <w:rFonts w:hint="eastAsia" w:ascii="仿宋_GB2312" w:hAnsi="仿宋_GB2312" w:eastAsia="仿宋_GB2312" w:cs="仿宋_GB2312"/>
          <w:sz w:val="32"/>
          <w:szCs w:val="32"/>
          <w:lang w:eastAsia="zh-CN"/>
        </w:rPr>
        <w:t>万元，到位及时率100%。</w:t>
      </w:r>
    </w:p>
    <w:p w14:paraId="777897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ABD2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个项目均完成了本年度项目绩效目标，综合评分均在95分以上，项目综合绩效评价为优秀。</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49CEE6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为切实做好202</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年度部门绩效自评工作，提高财政资金使用效益，根据</w:t>
      </w:r>
      <w:r>
        <w:rPr>
          <w:rFonts w:hint="eastAsia" w:ascii="仿宋_GB2312" w:hAnsi="仿宋_GB2312" w:eastAsia="仿宋_GB2312" w:cs="仿宋_GB2312"/>
          <w:sz w:val="32"/>
          <w:szCs w:val="32"/>
          <w:lang w:eastAsia="zh-CN"/>
        </w:rPr>
        <w:t>区委区政府《关于全面落实预算绩效管理的实施意见》（藁发〔2019〕</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lang w:eastAsia="zh-CN"/>
        </w:rPr>
        <w:t>号）文件</w:t>
      </w:r>
      <w:r>
        <w:rPr>
          <w:rFonts w:hint="default" w:ascii="仿宋_GB2312" w:hAnsi="仿宋_GB2312" w:eastAsia="仿宋_GB2312" w:cs="仿宋_GB2312"/>
          <w:sz w:val="32"/>
          <w:szCs w:val="32"/>
          <w:lang w:val="en-US" w:eastAsia="zh-CN"/>
        </w:rPr>
        <w:t>要求，我</w:t>
      </w:r>
      <w:r>
        <w:rPr>
          <w:rFonts w:hint="eastAsia" w:ascii="仿宋_GB2312" w:hAnsi="仿宋_GB2312" w:eastAsia="仿宋_GB2312" w:cs="仿宋_GB2312"/>
          <w:sz w:val="32"/>
          <w:szCs w:val="32"/>
          <w:lang w:val="en-US" w:eastAsia="zh-CN"/>
        </w:rPr>
        <w:t>委</w:t>
      </w:r>
      <w:r>
        <w:rPr>
          <w:rFonts w:hint="default" w:ascii="仿宋_GB2312" w:hAnsi="仿宋_GB2312" w:eastAsia="仿宋_GB2312" w:cs="仿宋_GB2312"/>
          <w:sz w:val="32"/>
          <w:szCs w:val="32"/>
          <w:lang w:val="en-US" w:eastAsia="zh-CN"/>
        </w:rPr>
        <w:t>组织成立了由</w:t>
      </w:r>
      <w:r>
        <w:rPr>
          <w:rFonts w:hint="eastAsia" w:ascii="仿宋_GB2312" w:hAnsi="仿宋_GB2312" w:eastAsia="仿宋_GB2312" w:cs="仿宋_GB2312"/>
          <w:sz w:val="32"/>
          <w:szCs w:val="32"/>
          <w:lang w:val="en-US" w:eastAsia="zh-CN"/>
        </w:rPr>
        <w:t>单位负责人</w:t>
      </w:r>
      <w:r>
        <w:rPr>
          <w:rFonts w:hint="default" w:ascii="仿宋_GB2312" w:hAnsi="仿宋_GB2312" w:eastAsia="仿宋_GB2312" w:cs="仿宋_GB2312"/>
          <w:sz w:val="32"/>
          <w:szCs w:val="32"/>
          <w:lang w:val="en-US" w:eastAsia="zh-CN"/>
        </w:rPr>
        <w:t>任组长，</w:t>
      </w:r>
      <w:r>
        <w:rPr>
          <w:rFonts w:hint="eastAsia" w:ascii="仿宋_GB2312" w:hAnsi="仿宋_GB2312" w:eastAsia="仿宋_GB2312" w:cs="仿宋_GB2312"/>
          <w:sz w:val="32"/>
          <w:szCs w:val="32"/>
          <w:lang w:val="en-US" w:eastAsia="zh-CN"/>
        </w:rPr>
        <w:t>分管常委</w:t>
      </w:r>
      <w:r>
        <w:rPr>
          <w:rFonts w:hint="default" w:ascii="仿宋_GB2312" w:hAnsi="仿宋_GB2312" w:eastAsia="仿宋_GB2312" w:cs="仿宋_GB2312"/>
          <w:sz w:val="32"/>
          <w:szCs w:val="32"/>
          <w:lang w:val="en-US" w:eastAsia="zh-CN"/>
        </w:rPr>
        <w:t>任副组长，</w:t>
      </w:r>
      <w:r>
        <w:rPr>
          <w:rFonts w:hint="eastAsia" w:ascii="仿宋_GB2312" w:hAnsi="仿宋_GB2312" w:eastAsia="仿宋_GB2312" w:cs="仿宋_GB2312"/>
          <w:sz w:val="32"/>
          <w:szCs w:val="32"/>
          <w:lang w:val="en-US" w:eastAsia="zh-CN"/>
        </w:rPr>
        <w:t>2名财务人员任成员</w:t>
      </w:r>
      <w:r>
        <w:rPr>
          <w:rFonts w:hint="default" w:ascii="仿宋_GB2312" w:hAnsi="仿宋_GB2312" w:eastAsia="仿宋_GB2312" w:cs="仿宋_GB2312"/>
          <w:sz w:val="32"/>
          <w:szCs w:val="32"/>
          <w:lang w:val="en-US" w:eastAsia="zh-CN"/>
        </w:rPr>
        <w:t>的绩效管理工作领导小组。具体负责对应考评内容</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绩效目标</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的工作落实。切实把责任扛在肩上，精心组织、狠抓落实，确保各项工作做细做实。我</w:t>
      </w:r>
      <w:r>
        <w:rPr>
          <w:rFonts w:hint="eastAsia" w:ascii="仿宋_GB2312" w:hAnsi="仿宋_GB2312" w:eastAsia="仿宋_GB2312" w:cs="仿宋_GB2312"/>
          <w:sz w:val="32"/>
          <w:szCs w:val="32"/>
          <w:lang w:val="en-US" w:eastAsia="zh-CN"/>
        </w:rPr>
        <w:t>委</w:t>
      </w:r>
      <w:r>
        <w:rPr>
          <w:rFonts w:hint="default" w:ascii="仿宋_GB2312" w:hAnsi="仿宋_GB2312" w:eastAsia="仿宋_GB2312" w:cs="仿宋_GB2312"/>
          <w:sz w:val="32"/>
          <w:szCs w:val="32"/>
          <w:lang w:val="en-US" w:eastAsia="zh-CN"/>
        </w:rPr>
        <w:t>结合实际对202</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年度部门项目绩效进行了自评，评价采用定性分析与定量分析相结合的方法，从预算管理、预算执行、</w:t>
      </w:r>
      <w:r>
        <w:rPr>
          <w:rFonts w:hint="eastAsia" w:ascii="仿宋_GB2312" w:hAnsi="仿宋_GB2312" w:eastAsia="仿宋_GB2312" w:cs="仿宋_GB2312"/>
          <w:sz w:val="32"/>
          <w:szCs w:val="32"/>
          <w:lang w:val="en-US" w:eastAsia="zh-CN"/>
        </w:rPr>
        <w:t>社会效益</w:t>
      </w:r>
      <w:r>
        <w:rPr>
          <w:rFonts w:hint="default"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lang w:val="en-US" w:eastAsia="zh-CN"/>
        </w:rPr>
        <w:t>满意度</w:t>
      </w:r>
      <w:r>
        <w:rPr>
          <w:rFonts w:hint="default" w:ascii="仿宋_GB2312" w:hAnsi="仿宋_GB2312" w:eastAsia="仿宋_GB2312" w:cs="仿宋_GB2312"/>
          <w:sz w:val="32"/>
          <w:szCs w:val="32"/>
          <w:lang w:val="en-US" w:eastAsia="zh-CN"/>
        </w:rPr>
        <w:t>等方面进行了综合评价。通过优化支出结构、编细编实预算、加快履行政府采购手续、尽快启动项目、及时支付资金、按规定及时下达资金等多种措施，确保支出进度达标。</w:t>
      </w:r>
    </w:p>
    <w:p w14:paraId="2AC452ED">
      <w:pPr>
        <w:numPr>
          <w:ilvl w:val="0"/>
          <w:numId w:val="2"/>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7401CF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绩效评价工作由单位负责人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63DD68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95%以上，并确保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年结案率达90%，且结案时长均不超过法定时间。加强信息化建设，分阶段完成</w:t>
      </w:r>
      <w:r>
        <w:rPr>
          <w:rFonts w:hint="eastAsia" w:ascii="仿宋_GB2312" w:hAnsi="仿宋_GB2312" w:eastAsia="仿宋_GB2312" w:cs="仿宋_GB2312"/>
          <w:sz w:val="32"/>
          <w:szCs w:val="32"/>
          <w:lang w:val="en-US" w:eastAsia="zh-CN"/>
        </w:rPr>
        <w:t>设备</w:t>
      </w:r>
      <w:r>
        <w:rPr>
          <w:rFonts w:hint="eastAsia" w:ascii="仿宋_GB2312" w:hAnsi="仿宋_GB2312" w:eastAsia="仿宋_GB2312" w:cs="仿宋_GB2312"/>
          <w:sz w:val="32"/>
          <w:szCs w:val="32"/>
          <w:lang w:eastAsia="zh-CN"/>
        </w:rPr>
        <w:t>替代计划，定期对网络系统进行检查。</w:t>
      </w:r>
    </w:p>
    <w:p w14:paraId="5BBACF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根据项目执行情况和项目绩效情况，1</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个项目均完成了本年度项目绩效目标，综合评分为100 分。项目综合绩效评价为优秀。</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5D682C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1.加强案件审查调查工作</w:t>
      </w:r>
      <w:r>
        <w:rPr>
          <w:rFonts w:hint="eastAsia" w:ascii="仿宋_GB2312" w:hAnsi="仿宋_GB2312" w:eastAsia="仿宋_GB2312" w:cs="仿宋_GB2312"/>
          <w:sz w:val="32"/>
          <w:szCs w:val="32"/>
          <w:lang w:eastAsia="zh-CN"/>
        </w:rPr>
        <w:tab/>
      </w:r>
    </w:p>
    <w:p w14:paraId="00798A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接受关于党内法规政策、国家法律法规、党风廉政建设执行情况的举报，开展有关党风政风监督专项检查，查处各类违法违纪问题，加大问责力度，维护党纪国法尊严，坚决惩处腐败分子，有效遏制腐败现象。</w:t>
      </w:r>
    </w:p>
    <w:p w14:paraId="51BC7D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受理信访、举报，集中管理问题线索、组织协调案件查办，调查、审查违纪违法案件，对案件审理提出处理意见达到95%以上。紧紧围绕监督基本职责，着力构建全覆盖、无盲区的大监督格局，切实加强对全区区直部门、乡镇等党组织管党治党情况的监督检查，用好问责利器，推动主体责任落地落实落细。全起底排查问题线索，着力解决核查不深入，定性量纪不精准问题，保持惩治腐败高压态。加强对中央八项规定及实施细则精神执行情况的监督检查，扎实开展纠正“四风”和作风纪律专项整治，坚决整治群众身边腐败问题，提高人民群众的获得感幸福感安全感。</w:t>
      </w:r>
    </w:p>
    <w:p w14:paraId="471443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2.加强党风廉政建设</w:t>
      </w:r>
      <w:r>
        <w:rPr>
          <w:rFonts w:hint="eastAsia" w:ascii="仿宋_GB2312" w:hAnsi="仿宋_GB2312" w:eastAsia="仿宋_GB2312" w:cs="仿宋_GB2312"/>
          <w:sz w:val="32"/>
          <w:szCs w:val="32"/>
          <w:lang w:eastAsia="zh-CN"/>
        </w:rPr>
        <w:tab/>
      </w:r>
    </w:p>
    <w:p w14:paraId="6F71CD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绩效目标：积极发挥职能作用，加强党风廉政建设，营造风清气正、干事创业的工作氛围。</w:t>
      </w:r>
    </w:p>
    <w:p w14:paraId="7BF6B1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85%以上，实现教育挽救的作用。</w:t>
      </w:r>
    </w:p>
    <w:p w14:paraId="420FED1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3.加强监督检查的力度</w:t>
      </w:r>
    </w:p>
    <w:p w14:paraId="7807BA0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绩效目标：加大问责力度，促进“两个责任”有效落实；坚决纠正“四风”问题；监督常态化、全覆盖。</w:t>
      </w:r>
    </w:p>
    <w:p w14:paraId="5B77EE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绩效指标：监督检查党内法规政策、国家法律法规、党风廉政建设“两个责任”等落实执行情况达到90%以上，履行区政府纠正行业不正之风办公室职能。</w:t>
      </w:r>
      <w:r>
        <w:rPr>
          <w:rFonts w:hint="eastAsia" w:ascii="仿宋_GB2312" w:hAnsi="仿宋_GB2312" w:eastAsia="仿宋_GB2312" w:cs="仿宋_GB2312"/>
          <w:sz w:val="32"/>
          <w:szCs w:val="32"/>
          <w:lang w:eastAsia="zh-CN"/>
        </w:rPr>
        <w:tab/>
      </w:r>
    </w:p>
    <w:p w14:paraId="230327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4.开展专项治理活动</w:t>
      </w:r>
    </w:p>
    <w:p w14:paraId="4B0FAA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绩效目标：积极依法介入群体性事件，化解矛盾，维护稳定，努力为我区经济发展创造良好法治环境，为促进和谐社会构建发挥积极作用。</w:t>
      </w:r>
    </w:p>
    <w:p w14:paraId="331A34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绩效指标：重点开展“预防职务犯罪，促进安全监管，减少伤亡事故”专项治理活动，深入各单位，向各单位工作人员普及相关法治内容，每月各单位至少开展一次教育会，会议参与率达到90%以上。</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8DC52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根据项目执行情况和项目绩效情况，运用绩效目标表的评价指标体系和评分标准，项目综合整体评分为100分，综合绩效评价等级为优秀。</w:t>
      </w:r>
    </w:p>
    <w:p w14:paraId="37744A8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C3270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bookmarkStart w:id="0" w:name="_Hlk167200567"/>
      <w:r>
        <w:rPr>
          <w:rFonts w:hint="eastAsia" w:ascii="仿宋_GB2312" w:hAnsi="仿宋_GB2312" w:eastAsia="仿宋_GB2312" w:cs="仿宋_GB2312"/>
          <w:sz w:val="32"/>
          <w:szCs w:val="32"/>
          <w:lang w:eastAsia="zh-CN"/>
        </w:rPr>
        <w:t>建议评价结果整改应用机制，督促被评价项目落实整改，不定期抽查整改情况，将整改落实情况与年终考核挂钩；改进绩效自评工作管理，优化绩效自评工作流程，鼓励自查自纠，充分发挥主管能动性，提高财政资金使用效益；进一步完善绩效目标设置质量，进一步细化反映总体绩效目标实现程度的关键性指标，最终行成科学的评价指标体系。</w:t>
      </w:r>
    </w:p>
    <w:bookmarkEnd w:id="0"/>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9"/>
        <w:gridCol w:w="3925"/>
        <w:gridCol w:w="3046"/>
      </w:tblGrid>
      <w:tr w14:paraId="70059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9" w:type="dxa"/>
            <w:vAlign w:val="center"/>
          </w:tcPr>
          <w:p w14:paraId="61535274">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3925" w:type="dxa"/>
            <w:vAlign w:val="center"/>
          </w:tcPr>
          <w:p w14:paraId="240C07D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3046" w:type="dxa"/>
            <w:vAlign w:val="center"/>
          </w:tcPr>
          <w:p w14:paraId="300143E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295A1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929" w:type="dxa"/>
            <w:vMerge w:val="restart"/>
            <w:vAlign w:val="center"/>
          </w:tcPr>
          <w:p w14:paraId="4A6CB5AF">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 w:hAnsi="仿宋" w:eastAsia="仿宋" w:cs="仿宋"/>
                <w:sz w:val="32"/>
                <w:szCs w:val="32"/>
              </w:rPr>
              <w:t>藁城区纪委</w:t>
            </w:r>
          </w:p>
        </w:tc>
        <w:tc>
          <w:tcPr>
            <w:tcW w:w="3925" w:type="dxa"/>
            <w:tcBorders>
              <w:left w:val="single" w:color="auto" w:sz="4" w:space="0"/>
            </w:tcBorders>
            <w:vAlign w:val="center"/>
          </w:tcPr>
          <w:p w14:paraId="2F590006">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纪委副书记、监委副主任</w:t>
            </w:r>
          </w:p>
        </w:tc>
        <w:tc>
          <w:tcPr>
            <w:tcW w:w="3046" w:type="dxa"/>
            <w:tcBorders>
              <w:left w:val="single" w:color="auto" w:sz="4" w:space="0"/>
            </w:tcBorders>
            <w:vAlign w:val="center"/>
          </w:tcPr>
          <w:p w14:paraId="2BC5C5A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r>
      <w:tr w14:paraId="36AB4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929" w:type="dxa"/>
            <w:vMerge w:val="continue"/>
            <w:vAlign w:val="center"/>
          </w:tcPr>
          <w:p w14:paraId="22915466">
            <w:pPr>
              <w:jc w:val="center"/>
            </w:pPr>
          </w:p>
        </w:tc>
        <w:tc>
          <w:tcPr>
            <w:tcW w:w="3925" w:type="dxa"/>
            <w:tcBorders>
              <w:left w:val="single" w:color="auto" w:sz="4" w:space="0"/>
            </w:tcBorders>
            <w:vAlign w:val="center"/>
          </w:tcPr>
          <w:p w14:paraId="71104F67">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纪委常委</w:t>
            </w:r>
          </w:p>
        </w:tc>
        <w:tc>
          <w:tcPr>
            <w:tcW w:w="3046" w:type="dxa"/>
            <w:tcBorders>
              <w:left w:val="single" w:color="auto" w:sz="4" w:space="0"/>
            </w:tcBorders>
            <w:vAlign w:val="center"/>
          </w:tcPr>
          <w:p w14:paraId="74443726">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p>
        </w:tc>
      </w:tr>
      <w:tr w14:paraId="3A62E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929" w:type="dxa"/>
            <w:vMerge w:val="continue"/>
            <w:vAlign w:val="center"/>
          </w:tcPr>
          <w:p w14:paraId="131D513E">
            <w:pPr>
              <w:jc w:val="center"/>
            </w:pPr>
          </w:p>
        </w:tc>
        <w:tc>
          <w:tcPr>
            <w:tcW w:w="3925" w:type="dxa"/>
            <w:tcBorders>
              <w:left w:val="single" w:color="auto" w:sz="4" w:space="0"/>
            </w:tcBorders>
            <w:vAlign w:val="center"/>
          </w:tcPr>
          <w:p w14:paraId="4CBBF102">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财务人员</w:t>
            </w:r>
          </w:p>
        </w:tc>
        <w:tc>
          <w:tcPr>
            <w:tcW w:w="3046" w:type="dxa"/>
            <w:tcBorders>
              <w:left w:val="single" w:color="auto" w:sz="4" w:space="0"/>
            </w:tcBorders>
            <w:vAlign w:val="center"/>
          </w:tcPr>
          <w:p w14:paraId="384A3542">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tc>
      </w:tr>
      <w:tr w14:paraId="06DCA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929" w:type="dxa"/>
            <w:vMerge w:val="continue"/>
            <w:vAlign w:val="center"/>
          </w:tcPr>
          <w:p w14:paraId="404122FC">
            <w:pPr>
              <w:jc w:val="center"/>
            </w:pPr>
          </w:p>
        </w:tc>
        <w:tc>
          <w:tcPr>
            <w:tcW w:w="3925" w:type="dxa"/>
            <w:tcBorders>
              <w:left w:val="single" w:color="auto" w:sz="4" w:space="0"/>
            </w:tcBorders>
            <w:vAlign w:val="center"/>
          </w:tcPr>
          <w:p w14:paraId="1BD5660B">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财务人员</w:t>
            </w:r>
          </w:p>
        </w:tc>
        <w:tc>
          <w:tcPr>
            <w:tcW w:w="3046" w:type="dxa"/>
            <w:tcBorders>
              <w:left w:val="single" w:color="auto" w:sz="4" w:space="0"/>
            </w:tcBorders>
            <w:vAlign w:val="center"/>
          </w:tcPr>
          <w:p w14:paraId="4A6FDC02">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tc>
      </w:tr>
    </w:tbl>
    <w:p w14:paraId="026E52C6">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14:paraId="27DB1ABF">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5CFF6CF-518B-4F59-B818-A68A513E584B}"/>
  </w:font>
  <w:font w:name="黑体">
    <w:panose1 w:val="02010609060101010101"/>
    <w:charset w:val="86"/>
    <w:family w:val="auto"/>
    <w:pitch w:val="default"/>
    <w:sig w:usb0="800002BF" w:usb1="38CF7CFA" w:usb2="00000016" w:usb3="00000000" w:csb0="00040001" w:csb1="00000000"/>
    <w:embedRegular r:id="rId2" w:fontKey="{39975FCA-0DCD-4E03-AE2B-9269D1FD4C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embedRegular r:id="rId3" w:fontKey="{15A259C6-7B23-4B57-9FBD-248539070E13}"/>
  </w:font>
  <w:font w:name="仿宋_GB2312">
    <w:panose1 w:val="02010609030101010101"/>
    <w:charset w:val="86"/>
    <w:family w:val="auto"/>
    <w:pitch w:val="default"/>
    <w:sig w:usb0="00000001" w:usb1="080E0000" w:usb2="00000000" w:usb3="00000000" w:csb0="00040000" w:csb1="00000000"/>
    <w:embedRegular r:id="rId4" w:fontKey="{8C990746-CB2D-4F52-97E1-D223B03A7A7B}"/>
  </w:font>
  <w:font w:name="楷体_GB2312">
    <w:panose1 w:val="02010609030101010101"/>
    <w:charset w:val="86"/>
    <w:family w:val="auto"/>
    <w:pitch w:val="default"/>
    <w:sig w:usb0="00000001" w:usb1="080E0000" w:usb2="00000000" w:usb3="00000000" w:csb0="00040000" w:csb1="00000000"/>
    <w:embedRegular r:id="rId5" w:fontKey="{618EC8F6-6E0E-48C1-A685-C58952705C3B}"/>
  </w:font>
  <w:font w:name="楷体">
    <w:panose1 w:val="02010609060101010101"/>
    <w:charset w:val="86"/>
    <w:family w:val="modern"/>
    <w:pitch w:val="default"/>
    <w:sig w:usb0="800002BF" w:usb1="38CF7CFA" w:usb2="00000016" w:usb3="00000000" w:csb0="00040001" w:csb1="00000000"/>
    <w:embedRegular r:id="rId6" w:fontKey="{B1521D27-B2C1-4125-901E-15CB3DC9C0CF}"/>
  </w:font>
  <w:font w:name="仿宋">
    <w:panose1 w:val="02010609060101010101"/>
    <w:charset w:val="86"/>
    <w:family w:val="auto"/>
    <w:pitch w:val="default"/>
    <w:sig w:usb0="800002BF" w:usb1="38CF7CFA" w:usb2="00000016" w:usb3="00000000" w:csb0="00040001" w:csb1="00000000"/>
    <w:embedRegular r:id="rId7" w:fontKey="{EFFB11C6-FC82-44B2-A726-93A60B7D82A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5A259520"/>
    <w:multiLevelType w:val="singleLevel"/>
    <w:tmpl w:val="5A259520"/>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24A62FE7"/>
    <w:rsid w:val="3DDE37D0"/>
    <w:rsid w:val="58B8456C"/>
    <w:rsid w:val="5AA223E0"/>
    <w:rsid w:val="5FF417C7"/>
    <w:rsid w:val="69206851"/>
    <w:rsid w:val="703041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2385</Words>
  <Characters>2459</Characters>
  <Lines>0</Lines>
  <Paragraphs>31</Paragraphs>
  <TotalTime>5</TotalTime>
  <ScaleCrop>false</ScaleCrop>
  <LinksUpToDate>false</LinksUpToDate>
  <CharactersWithSpaces>2463</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2025-05-15T08:12:40Z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28C64EFCB758481798A31117B3E7B5E3</vt:lpwstr>
  </property>
  <property fmtid="{D5CDD505-2E9C-101B-9397-08002B2CF9AE}" pid="4" name="KSOTemplateDocerSaveRecord">
    <vt:lpwstr>eyJoZGlkIjoiYTRkZjYwODQyN2QxOTU4Mzc5MDkyZjcyNTA5NjE4M2QiLCJ1c2VySWQiOiIxNTUwMjQwMDk2In0=</vt:lpwstr>
  </property>
</Properties>
</file>