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藁城区文联</w:t>
      </w:r>
      <w:r>
        <w:rPr>
          <w:rFonts w:hint="eastAsia" w:ascii="方正小标宋简体" w:hAnsi="方正小标宋简体" w:eastAsia="方正小标宋简体" w:cs="方正小标宋简体"/>
          <w:b w:val="0"/>
          <w:bCs w:val="0"/>
          <w:sz w:val="44"/>
          <w:szCs w:val="44"/>
        </w:rPr>
        <w:t>部门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则，对藁城区文联部门202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pStyle w:val="11"/>
        <w:numPr>
          <w:ilvl w:val="0"/>
          <w:numId w:val="1"/>
        </w:num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部门基本职责情况</w:t>
      </w:r>
    </w:p>
    <w:p>
      <w:pPr>
        <w:pStyle w:val="5"/>
        <w:spacing w:before="0" w:beforeAutospacing="0" w:after="0" w:afterAutospacing="0" w:line="560" w:lineRule="exact"/>
        <w:ind w:firstLine="640" w:firstLineChars="200"/>
        <w:rPr>
          <w:rFonts w:hint="eastAsia" w:ascii="仿宋_GB2312" w:eastAsia="仿宋_GB2312"/>
          <w:sz w:val="32"/>
          <w:szCs w:val="32"/>
        </w:rPr>
      </w:pPr>
      <w:r>
        <w:rPr>
          <w:rFonts w:hint="eastAsia" w:ascii="仿宋_GB2312" w:eastAsia="仿宋_GB2312"/>
          <w:sz w:val="32"/>
          <w:szCs w:val="32"/>
          <w:lang w:eastAsia="zh-CN"/>
        </w:rPr>
        <w:t>区文联</w:t>
      </w:r>
      <w:r>
        <w:rPr>
          <w:rFonts w:hint="eastAsia" w:ascii="仿宋_GB2312" w:eastAsia="仿宋_GB2312"/>
          <w:sz w:val="32"/>
          <w:szCs w:val="32"/>
        </w:rPr>
        <w:t>主要职责：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pPr>
        <w:pStyle w:val="11"/>
        <w:numPr>
          <w:ilvl w:val="0"/>
          <w:numId w:val="1"/>
        </w:numPr>
        <w:ind w:left="0" w:leftChars="0"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部门组织机构及人员情况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藁城区文联规格为正科级，1个区文联本级单位，一级预算单位，无下属单位。领导职数1正1副，核定行政编制5名。设内设机构综合办公室，核定股级领导职数1名。单位性质为群团，资金保障形式为财政拨款。年末总人数5人，全部是行政编制。</w:t>
      </w:r>
    </w:p>
    <w:p>
      <w:pPr>
        <w:pStyle w:val="2"/>
        <w:numPr>
          <w:ilvl w:val="0"/>
          <w:numId w:val="1"/>
        </w:numPr>
        <w:ind w:left="0" w:leftChars="0" w:firstLine="960" w:firstLineChars="3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部门资产情况</w:t>
      </w:r>
    </w:p>
    <w:p>
      <w:pPr>
        <w:pStyle w:val="2"/>
        <w:numPr>
          <w:ilvl w:val="0"/>
          <w:numId w:val="0"/>
        </w:numPr>
        <w:ind w:leftChars="300" w:firstLine="640" w:firstLineChars="200"/>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截止2023年12月31日，资产总额28.76万元，其中行政单位国有资产28.76万元，占比100%。</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rPr>
      </w:pPr>
      <w:r>
        <w:rPr>
          <w:rFonts w:hint="eastAsia" w:ascii="仿宋_GB2312" w:hAnsi="宋体" w:eastAsia="仿宋_GB2312" w:cs="宋体"/>
          <w:kern w:val="0"/>
          <w:sz w:val="32"/>
          <w:szCs w:val="32"/>
          <w:lang w:val="en-US" w:eastAsia="zh-CN" w:bidi="ar-SA"/>
        </w:rPr>
        <w:t>2023年部门预算收入131.01万元，其中：一般公共预算收入131.01万元，基金预算收入0万元，财政专户核拨收入0万元，其他来源收入0万元。2023年部门支出预算为131.01万元，其中基本支出125.01万元，包括人员经费112.89万元和日常公用经费12.12万元；项目支出6万元，主要为文联联络交流经费；其他支出0万元。2023年度部门决算收入合计111.09万元，其中：财政拨款收入111.09万元，占100%；事业收入0万元，占0%；经营收入0万元，占0%；其他收入0万元，占0%。2023年度部门决算支出合计111.09万元，其中：基本支出105.09万元，占94.60%；项目支出6万元，占5.40%；经营支出0万元，占0%。</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pPr>
        <w:spacing w:before="156" w:beforeLines="50" w:after="156" w:afterLines="50" w:line="580" w:lineRule="exact"/>
        <w:ind w:firstLine="629"/>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总体绩效目标</w:t>
      </w:r>
    </w:p>
    <w:p>
      <w:pPr>
        <w:ind w:firstLine="640" w:firstLineChars="200"/>
        <w:rPr>
          <w:rFonts w:hint="eastAsia" w:ascii="仿宋" w:hAnsi="仿宋" w:eastAsia="仿宋" w:cs="仿宋"/>
          <w:b/>
          <w:sz w:val="32"/>
          <w:szCs w:val="32"/>
        </w:rPr>
      </w:pPr>
      <w:r>
        <w:rPr>
          <w:rFonts w:hint="eastAsia" w:ascii="仿宋" w:hAnsi="仿宋" w:eastAsia="仿宋" w:cs="仿宋"/>
          <w:sz w:val="32"/>
          <w:szCs w:val="32"/>
          <w:lang w:eastAsia="zh-CN"/>
        </w:rPr>
        <w:t>坚持以习近平新时代中国特色社会主义思想、</w:t>
      </w:r>
      <w:r>
        <w:rPr>
          <w:rFonts w:hint="eastAsia" w:ascii="仿宋" w:hAnsi="仿宋" w:eastAsia="仿宋" w:cs="仿宋"/>
          <w:sz w:val="32"/>
          <w:szCs w:val="32"/>
        </w:rPr>
        <w:t>区委、区政府的中心工作为指导，紧紧围绕区文联的中心工作，</w:t>
      </w:r>
      <w:r>
        <w:rPr>
          <w:rFonts w:hint="eastAsia" w:ascii="仿宋" w:hAnsi="仿宋" w:eastAsia="仿宋" w:cs="仿宋"/>
          <w:sz w:val="32"/>
          <w:szCs w:val="32"/>
          <w:lang w:eastAsia="zh-CN"/>
        </w:rPr>
        <w:t>依托</w:t>
      </w:r>
      <w:r>
        <w:rPr>
          <w:rFonts w:hint="eastAsia" w:ascii="仿宋" w:hAnsi="仿宋" w:eastAsia="仿宋" w:cs="仿宋"/>
          <w:sz w:val="32"/>
          <w:szCs w:val="32"/>
        </w:rPr>
        <w:t>十</w:t>
      </w:r>
      <w:r>
        <w:rPr>
          <w:rFonts w:hint="eastAsia" w:ascii="仿宋" w:hAnsi="仿宋" w:eastAsia="仿宋" w:cs="仿宋"/>
          <w:sz w:val="32"/>
          <w:szCs w:val="32"/>
          <w:lang w:eastAsia="zh-CN"/>
        </w:rPr>
        <w:t>二</w:t>
      </w:r>
      <w:r>
        <w:rPr>
          <w:rFonts w:hint="eastAsia" w:ascii="仿宋" w:hAnsi="仿宋" w:eastAsia="仿宋" w:cs="仿宋"/>
          <w:sz w:val="32"/>
          <w:szCs w:val="32"/>
        </w:rPr>
        <w:t>大协会，积极开展各类社会性文艺活动；</w:t>
      </w:r>
      <w:r>
        <w:rPr>
          <w:rFonts w:hint="eastAsia" w:ascii="仿宋_GB2312" w:eastAsia="仿宋_GB2312"/>
          <w:sz w:val="32"/>
        </w:rPr>
        <w:t>完善基层文联组织，发挥乡镇村文联的桥梁纽带作用</w:t>
      </w:r>
      <w:r>
        <w:rPr>
          <w:rFonts w:hint="eastAsia" w:ascii="仿宋_GB2312" w:eastAsia="仿宋_GB2312"/>
          <w:sz w:val="32"/>
          <w:lang w:eastAsia="zh-CN"/>
        </w:rPr>
        <w:t>；</w:t>
      </w:r>
      <w:r>
        <w:rPr>
          <w:rFonts w:hint="eastAsia" w:ascii="仿宋" w:hAnsi="仿宋" w:eastAsia="仿宋" w:cs="仿宋"/>
          <w:b w:val="0"/>
          <w:bCs w:val="0"/>
          <w:sz w:val="32"/>
          <w:szCs w:val="32"/>
        </w:rPr>
        <w:t>召开联络会议，组织会员活动，加大培训力度，为文艺事业健康快速发展提供组织保障。完善文艺精品扶持和奖励机制，论证确定一批既有藁城地域特色，又具备创作空间和社会影响力的题材。完成文化交流计划</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完成对外宣传，扩大文艺工作的覆盖面和社会影响力。</w:t>
      </w:r>
      <w:r>
        <w:rPr>
          <w:rFonts w:hint="eastAsia" w:ascii="仿宋" w:hAnsi="仿宋" w:eastAsia="仿宋" w:cs="仿宋"/>
          <w:sz w:val="32"/>
          <w:szCs w:val="32"/>
        </w:rPr>
        <w:t>建立人才库，发现、扶持和培养文艺新人，出作品，出人才，促进藁城区文艺事业的繁荣，实现为我区的改革开放、经济建设和社会发展服务的目标。</w:t>
      </w:r>
    </w:p>
    <w:p>
      <w:pPr>
        <w:spacing w:before="156" w:beforeLines="50" w:after="156" w:afterLines="50" w:line="580" w:lineRule="exact"/>
        <w:ind w:firstLine="629"/>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分项绩效目标</w:t>
      </w:r>
    </w:p>
    <w:p>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⑴</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lang w:eastAsia="zh-CN"/>
        </w:rPr>
        <w:t>加强文艺家协会组织建设</w:t>
      </w:r>
      <w:r>
        <w:rPr>
          <w:rFonts w:hint="eastAsia" w:ascii="仿宋" w:hAnsi="仿宋" w:eastAsia="仿宋" w:cs="仿宋"/>
          <w:b w:val="0"/>
          <w:bCs w:val="0"/>
          <w:sz w:val="32"/>
          <w:szCs w:val="32"/>
          <w:lang w:val="en-US" w:eastAsia="zh-CN"/>
        </w:rPr>
        <w:t>,培养文艺人才。</w:t>
      </w:r>
    </w:p>
    <w:p>
      <w:pPr>
        <w:tabs>
          <w:tab w:val="left" w:pos="2745"/>
        </w:tabs>
        <w:spacing w:line="580" w:lineRule="exact"/>
        <w:ind w:firstLine="630"/>
        <w:rPr>
          <w:rFonts w:hint="eastAsia" w:ascii="仿宋" w:hAnsi="仿宋" w:eastAsia="仿宋" w:cs="仿宋"/>
          <w:b w:val="0"/>
          <w:bCs w:val="0"/>
          <w:sz w:val="32"/>
          <w:szCs w:val="32"/>
        </w:rPr>
      </w:pPr>
      <w:r>
        <w:rPr>
          <w:rFonts w:hint="eastAsia" w:ascii="仿宋" w:hAnsi="仿宋" w:eastAsia="仿宋" w:cs="仿宋"/>
          <w:b w:val="0"/>
          <w:bCs w:val="0"/>
          <w:sz w:val="32"/>
          <w:szCs w:val="32"/>
        </w:rPr>
        <w:t>绩效目标：推进协会管理科学规范、保障文联正常有序运行，召开联络会议，组织会员活动，加大培训力度，为文艺事业健康快速发展提供组织保障。</w:t>
      </w:r>
      <w:r>
        <w:rPr>
          <w:rFonts w:hint="eastAsia" w:ascii="仿宋" w:hAnsi="仿宋" w:eastAsia="仿宋" w:cs="仿宋"/>
          <w:b w:val="0"/>
          <w:bCs w:val="0"/>
          <w:sz w:val="32"/>
          <w:szCs w:val="32"/>
        </w:rPr>
        <w:tab/>
      </w:r>
    </w:p>
    <w:p>
      <w:pPr>
        <w:spacing w:line="580" w:lineRule="exact"/>
        <w:ind w:firstLine="63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w:t>
      </w:r>
      <w:r>
        <w:rPr>
          <w:rFonts w:hint="eastAsia" w:ascii="仿宋" w:hAnsi="仿宋" w:eastAsia="仿宋" w:cs="仿宋"/>
          <w:b w:val="0"/>
          <w:bCs w:val="0"/>
          <w:sz w:val="32"/>
          <w:szCs w:val="32"/>
          <w:lang w:val="en-US" w:eastAsia="zh-CN"/>
        </w:rPr>
        <w:t>召开协会会议，加强会员管理，举办会员活动，维护活动场所，建设文艺人才资源库，组织文艺研修，提高广大文艺工作者的政治、业务素质。保障机关正常运行。文艺人才入省市文艺人才网资源库人数每年2人以上，，组织各类文艺活动8次以上，参加省市研修人数2人以上。</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⑵</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lang w:eastAsia="zh-CN"/>
        </w:rPr>
        <w:t>开展文艺家艺术创作，打造文艺精品。</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绩效目标：完善文艺精品扶持和奖励机制，论证确定一批既有本地地域特色，又具备创作空间和社会影响力的题材</w:t>
      </w:r>
      <w:r>
        <w:rPr>
          <w:rFonts w:hint="eastAsia" w:ascii="仿宋" w:hAnsi="仿宋" w:eastAsia="仿宋" w:cs="仿宋"/>
          <w:b w:val="0"/>
          <w:bCs w:val="0"/>
          <w:sz w:val="32"/>
          <w:szCs w:val="32"/>
          <w:lang w:eastAsia="zh-CN"/>
        </w:rPr>
        <w:t>。</w:t>
      </w:r>
    </w:p>
    <w:p>
      <w:pPr>
        <w:spacing w:line="580" w:lineRule="exact"/>
        <w:ind w:firstLine="63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绩效指标：组织艺术家深入生活，打造艺术精品。举办文艺活动，积极申报文艺奖项、组织好区内评奖，弘扬优秀传统文化，推动文化强区建设。组织艺术家创作次数</w:t>
      </w:r>
      <w:r>
        <w:rPr>
          <w:rFonts w:hint="eastAsia" w:ascii="仿宋" w:hAnsi="仿宋" w:eastAsia="仿宋" w:cs="仿宋"/>
          <w:b w:val="0"/>
          <w:bCs w:val="0"/>
          <w:sz w:val="32"/>
          <w:szCs w:val="32"/>
          <w:lang w:eastAsia="zh-CN"/>
        </w:rPr>
        <w:t>，每年</w:t>
      </w:r>
      <w:r>
        <w:rPr>
          <w:rFonts w:hint="eastAsia" w:ascii="仿宋" w:hAnsi="仿宋" w:eastAsia="仿宋" w:cs="仿宋"/>
          <w:b w:val="0"/>
          <w:bCs w:val="0"/>
          <w:sz w:val="32"/>
          <w:szCs w:val="32"/>
          <w:lang w:val="en-US" w:eastAsia="zh-CN"/>
        </w:rPr>
        <w:t>3次及以上。</w:t>
      </w:r>
      <w:r>
        <w:rPr>
          <w:rFonts w:hint="eastAsia" w:ascii="仿宋" w:hAnsi="仿宋" w:eastAsia="仿宋" w:cs="仿宋"/>
          <w:b w:val="0"/>
          <w:bCs w:val="0"/>
          <w:sz w:val="32"/>
          <w:szCs w:val="32"/>
        </w:rPr>
        <w:t>组织研讨推介活动次数</w:t>
      </w:r>
      <w:r>
        <w:rPr>
          <w:rFonts w:hint="eastAsia" w:ascii="仿宋" w:hAnsi="仿宋" w:eastAsia="仿宋" w:cs="仿宋"/>
          <w:b w:val="0"/>
          <w:bCs w:val="0"/>
          <w:sz w:val="32"/>
          <w:szCs w:val="32"/>
          <w:lang w:eastAsia="zh-CN"/>
        </w:rPr>
        <w:t>，每年</w:t>
      </w:r>
      <w:r>
        <w:rPr>
          <w:rFonts w:hint="eastAsia" w:ascii="仿宋" w:hAnsi="仿宋" w:eastAsia="仿宋" w:cs="仿宋"/>
          <w:b w:val="0"/>
          <w:bCs w:val="0"/>
          <w:sz w:val="32"/>
          <w:szCs w:val="32"/>
          <w:lang w:val="en-US" w:eastAsia="zh-CN"/>
        </w:rPr>
        <w:t>2次及以上。生产文艺精品数量1个以上。</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⑶</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lang w:eastAsia="zh-CN"/>
        </w:rPr>
        <w:t>做好文艺宣传工作，文化氛围进一步提升。</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eastAsia="zh-CN"/>
        </w:rPr>
        <w:t>进一步</w:t>
      </w:r>
      <w:r>
        <w:rPr>
          <w:rFonts w:hint="eastAsia" w:ascii="仿宋" w:hAnsi="仿宋" w:eastAsia="仿宋" w:cs="仿宋"/>
          <w:b w:val="0"/>
          <w:bCs w:val="0"/>
          <w:sz w:val="32"/>
          <w:szCs w:val="32"/>
        </w:rPr>
        <w:t>扩大文艺工作的覆盖面和社会影响力</w:t>
      </w:r>
      <w:r>
        <w:rPr>
          <w:rFonts w:hint="eastAsia" w:ascii="仿宋" w:hAnsi="仿宋" w:eastAsia="仿宋" w:cs="仿宋"/>
          <w:b w:val="0"/>
          <w:bCs w:val="0"/>
          <w:sz w:val="32"/>
          <w:szCs w:val="32"/>
          <w:lang w:eastAsia="zh-CN"/>
        </w:rPr>
        <w:t>。</w:t>
      </w:r>
    </w:p>
    <w:p>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绩效指标：广泛利用媒体多种形式推介优秀作品。营造积极向上的文化氛围</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媒体宣传、信息数量（篇）</w:t>
      </w:r>
      <w:r>
        <w:rPr>
          <w:rFonts w:hint="eastAsia" w:ascii="仿宋" w:hAnsi="仿宋" w:eastAsia="仿宋" w:cs="仿宋"/>
          <w:b w:val="0"/>
          <w:bCs w:val="0"/>
          <w:sz w:val="32"/>
          <w:szCs w:val="32"/>
          <w:lang w:eastAsia="zh-CN"/>
        </w:rPr>
        <w:t>，每年不少于</w:t>
      </w:r>
      <w:r>
        <w:rPr>
          <w:rFonts w:hint="eastAsia" w:ascii="仿宋" w:hAnsi="仿宋" w:eastAsia="仿宋" w:cs="仿宋"/>
          <w:b w:val="0"/>
          <w:bCs w:val="0"/>
          <w:sz w:val="32"/>
          <w:szCs w:val="32"/>
          <w:lang w:val="en-US" w:eastAsia="zh-CN"/>
        </w:rPr>
        <w:t>4篇。</w:t>
      </w:r>
    </w:p>
    <w:p>
      <w:pPr>
        <w:spacing w:line="580" w:lineRule="exact"/>
        <w:ind w:firstLine="63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⑷ 进一步加强文化交流活动。</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绩效目标：完成文化交流计划，促进区域文化艺术的影响力和美誉度进一步提高</w:t>
      </w:r>
      <w:r>
        <w:rPr>
          <w:rFonts w:hint="eastAsia" w:ascii="仿宋" w:hAnsi="仿宋" w:eastAsia="仿宋" w:cs="仿宋"/>
          <w:b w:val="0"/>
          <w:bCs w:val="0"/>
          <w:sz w:val="32"/>
          <w:szCs w:val="32"/>
          <w:lang w:eastAsia="zh-CN"/>
        </w:rPr>
        <w:t>。</w:t>
      </w:r>
    </w:p>
    <w:p>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绩效指标：积极参加文化交流活动，提高区域文化凝聚力和影响力</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组织民间文化交流次数（次）</w:t>
      </w:r>
      <w:r>
        <w:rPr>
          <w:rFonts w:hint="eastAsia" w:ascii="仿宋" w:hAnsi="仿宋" w:eastAsia="仿宋" w:cs="仿宋"/>
          <w:b w:val="0"/>
          <w:bCs w:val="0"/>
          <w:sz w:val="32"/>
          <w:szCs w:val="32"/>
          <w:lang w:eastAsia="zh-CN"/>
        </w:rPr>
        <w:t>，每年</w:t>
      </w:r>
      <w:r>
        <w:rPr>
          <w:rFonts w:hint="eastAsia" w:ascii="仿宋" w:hAnsi="仿宋" w:eastAsia="仿宋" w:cs="仿宋"/>
          <w:b w:val="0"/>
          <w:bCs w:val="0"/>
          <w:sz w:val="32"/>
          <w:szCs w:val="32"/>
          <w:lang w:val="en-US" w:eastAsia="zh-CN"/>
        </w:rPr>
        <w:t>3次以上。</w:t>
      </w:r>
    </w:p>
    <w:p>
      <w:pPr>
        <w:numPr>
          <w:ilvl w:val="0"/>
          <w:numId w:val="0"/>
        </w:numPr>
        <w:spacing w:line="580" w:lineRule="exact"/>
        <w:ind w:left="840" w:lef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⑸ 宣传文化，提高人民文化水平</w:t>
      </w:r>
    </w:p>
    <w:p>
      <w:pPr>
        <w:spacing w:line="580" w:lineRule="exact"/>
        <w:ind w:firstLine="630"/>
        <w:rPr>
          <w:rFonts w:hint="eastAsia" w:ascii="仿宋" w:hAnsi="仿宋" w:eastAsia="仿宋" w:cs="仿宋"/>
          <w:b w:val="0"/>
          <w:bCs w:val="0"/>
          <w:sz w:val="32"/>
          <w:szCs w:val="32"/>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val="en-US" w:eastAsia="zh-CN"/>
        </w:rPr>
        <w:t>宣传文化，提高人民文化水平</w:t>
      </w:r>
    </w:p>
    <w:p>
      <w:pPr>
        <w:pStyle w:val="2"/>
        <w:numPr>
          <w:ilvl w:val="0"/>
          <w:numId w:val="0"/>
        </w:numPr>
        <w:ind w:leftChars="200"/>
        <w:rPr>
          <w:rFonts w:hint="eastAsia" w:eastAsia="仿宋"/>
          <w:lang w:eastAsia="zh-CN"/>
        </w:rPr>
      </w:pPr>
      <w:r>
        <w:rPr>
          <w:rFonts w:hint="eastAsia" w:ascii="仿宋" w:hAnsi="仿宋" w:eastAsia="仿宋" w:cs="仿宋"/>
          <w:b w:val="0"/>
          <w:bCs w:val="0"/>
          <w:sz w:val="32"/>
          <w:szCs w:val="32"/>
        </w:rPr>
        <w:t>绩效指标：通过演出文化培训创作优秀作品交流等，达到丰富人民精神生活，弘扬社会主义核心价值观，增强文化自信，不断满足群众日益增长的精神文化生活需要</w:t>
      </w:r>
      <w:r>
        <w:rPr>
          <w:rFonts w:hint="eastAsia" w:ascii="仿宋" w:hAnsi="仿宋" w:eastAsia="仿宋" w:cs="仿宋"/>
          <w:b w:val="0"/>
          <w:bCs w:val="0"/>
          <w:sz w:val="32"/>
          <w:szCs w:val="32"/>
          <w:lang w:eastAsia="zh-CN"/>
        </w:rPr>
        <w:t>。</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自评的组织工作</w:t>
      </w:r>
    </w:p>
    <w:p>
      <w:pPr>
        <w:pStyle w:val="2"/>
        <w:numPr>
          <w:ilvl w:val="0"/>
          <w:numId w:val="0"/>
        </w:numPr>
        <w:ind w:firstLine="640" w:firstLineChars="200"/>
        <w:rPr>
          <w:rFonts w:hint="eastAsia" w:eastAsia="仿宋_GB2312"/>
          <w:lang w:eastAsia="zh-CN"/>
        </w:rPr>
      </w:pPr>
      <w:r>
        <w:rPr>
          <w:rFonts w:hint="eastAsia"/>
          <w:lang w:eastAsia="zh-CN"/>
        </w:rPr>
        <w:t>为完成好部门整体支出绩效自评工作，</w:t>
      </w:r>
      <w:r>
        <w:rPr>
          <w:rFonts w:hint="eastAsia" w:ascii="仿宋" w:hAnsi="仿宋" w:eastAsia="仿宋" w:cs="仿宋"/>
          <w:sz w:val="32"/>
          <w:szCs w:val="32"/>
          <w:lang w:val="en-US" w:eastAsia="zh-CN"/>
        </w:rPr>
        <w:t>成立了由区文联书记主席王敏同志任组长，区文联副主席杜宏军</w:t>
      </w:r>
      <w:r>
        <w:rPr>
          <w:rFonts w:hint="eastAsia" w:ascii="仿宋" w:hAnsi="仿宋" w:eastAsia="仿宋" w:cs="仿宋"/>
          <w:sz w:val="32"/>
          <w:szCs w:val="32"/>
          <w:lang w:eastAsia="zh-CN"/>
        </w:rPr>
        <w:t>（主抓业务工作）担任副组长，办公室主任魏颖宁、财务人员李荣霞为小组成员的绩效自评工作小组，明确需收集的资料及注意事项。对照总体绩效目标和分项绩效目标、指标设定情况，分析评价项目具体完成情况的相关资料以及有关财务资料。绩效评价工作组遵循“科学性、规范性、客观性和公正性”的原则，开展绩效评价工作，得出综合评价结果，撰写绩效评价报告。</w:t>
      </w:r>
    </w:p>
    <w:p>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rPr>
      </w:pPr>
      <w:r>
        <w:rPr>
          <w:rFonts w:hint="eastAsia" w:ascii="仿宋" w:hAnsi="仿宋" w:eastAsia="仿宋" w:cs="仿宋"/>
          <w:sz w:val="32"/>
          <w:szCs w:val="32"/>
          <w:lang w:eastAsia="zh-CN"/>
        </w:rPr>
        <w:t>我部门自评小组在</w:t>
      </w:r>
      <w:r>
        <w:rPr>
          <w:rFonts w:hint="eastAsia" w:ascii="仿宋" w:hAnsi="仿宋" w:eastAsia="仿宋" w:cs="仿宋"/>
          <w:sz w:val="32"/>
          <w:szCs w:val="32"/>
          <w:lang w:val="en-US" w:eastAsia="zh-CN"/>
        </w:rPr>
        <w:t>自评工作开展过程中多次召开专题会议，认真学习，掌握评价内容及方法，对照各实施项目的内容逐条逐项自评，将年度绩效指标分解到具体完成的工作中进行评价。</w:t>
      </w:r>
      <w:r>
        <w:rPr>
          <w:rFonts w:hint="eastAsia" w:ascii="仿宋" w:hAnsi="仿宋" w:eastAsia="仿宋" w:cs="仿宋"/>
          <w:sz w:val="32"/>
          <w:szCs w:val="32"/>
          <w:lang w:eastAsia="zh-CN"/>
        </w:rPr>
        <w:t>通过对收集、整理项目实施材料，财务提交的真实、准确各种报表</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由项目负责人介绍项目预期绩效目标及具体实施取得的实际效果，评价小组成员集中实地检查、核实佐证材料进行评价，</w:t>
      </w:r>
      <w:r>
        <w:rPr>
          <w:rFonts w:hint="eastAsia" w:ascii="仿宋" w:hAnsi="仿宋" w:eastAsia="仿宋" w:cs="仿宋"/>
          <w:sz w:val="32"/>
          <w:szCs w:val="32"/>
          <w:lang w:val="en-US" w:eastAsia="zh-CN"/>
        </w:rPr>
        <w:t>绩效自评覆盖率达到了100% 。在评价过程中科学制定指标体系，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w:t>
      </w:r>
      <w:r>
        <w:rPr>
          <w:rFonts w:hint="eastAsia" w:ascii="仿宋" w:hAnsi="仿宋" w:eastAsia="仿宋" w:cs="仿宋"/>
          <w:sz w:val="32"/>
          <w:szCs w:val="32"/>
        </w:rPr>
        <w:t>通过部门项目绩效自评小组集中评审，</w:t>
      </w:r>
      <w:r>
        <w:rPr>
          <w:rFonts w:hint="eastAsia" w:ascii="仿宋" w:hAnsi="仿宋" w:eastAsia="仿宋" w:cs="仿宋"/>
          <w:sz w:val="32"/>
          <w:szCs w:val="32"/>
          <w:lang w:eastAsia="zh-CN"/>
        </w:rPr>
        <w:t>我</w:t>
      </w:r>
      <w:r>
        <w:rPr>
          <w:rFonts w:hint="eastAsia" w:ascii="仿宋" w:hAnsi="仿宋" w:eastAsia="仿宋" w:cs="仿宋"/>
          <w:sz w:val="32"/>
          <w:szCs w:val="32"/>
        </w:rPr>
        <w:t>部门开展的项目评价等级均达到优。</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2023年以</w:t>
      </w:r>
      <w:r>
        <w:rPr>
          <w:rFonts w:hint="eastAsia" w:ascii="仿宋_GB2312" w:hAnsi="仿宋_GB2312" w:eastAsia="仿宋_GB2312" w:cs="仿宋_GB2312"/>
          <w:sz w:val="32"/>
          <w:szCs w:val="32"/>
        </w:rPr>
        <w:t>来，区文联紧紧</w:t>
      </w:r>
      <w:r>
        <w:rPr>
          <w:rFonts w:hint="eastAsia" w:ascii="仿宋_GB2312" w:hAnsi="仿宋_GB2312" w:eastAsia="仿宋_GB2312" w:cs="仿宋_GB2312"/>
          <w:sz w:val="32"/>
          <w:szCs w:val="32"/>
          <w:lang w:val="en-US" w:eastAsia="zh-CN"/>
        </w:rPr>
        <w:t>围绕</w:t>
      </w: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val="en-US" w:eastAsia="zh-CN"/>
        </w:rPr>
        <w:t>委</w:t>
      </w:r>
      <w:r>
        <w:rPr>
          <w:rFonts w:hint="eastAsia" w:ascii="仿宋_GB2312" w:hAnsi="仿宋_GB2312" w:eastAsia="仿宋_GB2312" w:cs="仿宋_GB2312"/>
          <w:sz w:val="32"/>
          <w:szCs w:val="32"/>
        </w:rPr>
        <w:t>中心</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在区委宣传部的指导支持下，</w:t>
      </w:r>
      <w:r>
        <w:rPr>
          <w:rFonts w:hint="eastAsia" w:ascii="仿宋" w:hAnsi="仿宋" w:eastAsia="仿宋" w:cs="仿宋"/>
          <w:color w:val="auto"/>
          <w:sz w:val="32"/>
          <w:szCs w:val="32"/>
          <w:shd w:val="clear" w:color="auto" w:fill="FFFFFF"/>
          <w:lang w:val="en-US" w:eastAsia="zh-CN"/>
        </w:rPr>
        <w:t>充分</w:t>
      </w:r>
      <w:r>
        <w:rPr>
          <w:rFonts w:hint="eastAsia" w:ascii="仿宋" w:hAnsi="仿宋" w:eastAsia="仿宋" w:cs="仿宋"/>
          <w:color w:val="auto"/>
          <w:sz w:val="32"/>
          <w:szCs w:val="32"/>
          <w:shd w:val="clear" w:color="auto" w:fill="FFFFFF"/>
        </w:rPr>
        <w:t>发挥</w:t>
      </w:r>
      <w:r>
        <w:rPr>
          <w:rFonts w:hint="eastAsia" w:ascii="仿宋" w:hAnsi="仿宋" w:eastAsia="仿宋" w:cs="仿宋"/>
          <w:color w:val="auto"/>
          <w:sz w:val="32"/>
          <w:szCs w:val="32"/>
          <w:shd w:val="clear" w:color="auto" w:fill="FFFFFF"/>
          <w:lang w:val="en-US" w:eastAsia="zh-CN"/>
        </w:rPr>
        <w:t>文联</w:t>
      </w:r>
      <w:r>
        <w:rPr>
          <w:rFonts w:hint="eastAsia" w:ascii="仿宋" w:hAnsi="仿宋" w:eastAsia="仿宋" w:cs="仿宋"/>
          <w:color w:val="auto"/>
          <w:sz w:val="32"/>
          <w:szCs w:val="32"/>
          <w:shd w:val="clear" w:color="auto" w:fill="FFFFFF"/>
        </w:rPr>
        <w:t>职能作用，</w:t>
      </w:r>
      <w:r>
        <w:rPr>
          <w:rFonts w:hint="eastAsia" w:ascii="仿宋" w:hAnsi="仿宋" w:eastAsia="仿宋" w:cs="仿宋"/>
          <w:color w:val="auto"/>
          <w:sz w:val="32"/>
          <w:szCs w:val="32"/>
          <w:shd w:val="clear" w:color="auto" w:fill="FFFFFF"/>
          <w:lang w:eastAsia="zh-CN"/>
        </w:rPr>
        <w:t>助</w:t>
      </w:r>
      <w:r>
        <w:rPr>
          <w:rFonts w:hint="eastAsia" w:ascii="仿宋" w:hAnsi="仿宋" w:eastAsia="仿宋" w:cs="仿宋"/>
          <w:color w:val="auto"/>
          <w:sz w:val="32"/>
          <w:szCs w:val="32"/>
          <w:shd w:val="clear" w:color="auto" w:fill="FFFFFF"/>
          <w:lang w:val="en-US" w:eastAsia="zh-CN"/>
        </w:rPr>
        <w:t>推全区文艺事业发展，</w:t>
      </w:r>
      <w:r>
        <w:rPr>
          <w:rFonts w:hint="eastAsia" w:ascii="仿宋_GB2312" w:hAnsi="仿宋_GB2312" w:eastAsia="仿宋_GB2312" w:cs="仿宋_GB2312"/>
          <w:sz w:val="32"/>
          <w:szCs w:val="32"/>
        </w:rPr>
        <w:t>文艺家协会和乡镇文联组织建设有效提升、系列主题文艺活动特色鲜明、文艺志愿服务成效显著，精品力作不断涌现。2月14日，河北省文联召开全省新时代文明实践现场观摩暨座谈交流会，藁城区文联作为石家庄市唯一县区文联做了交流发言；3月1日，石家庄市文联召开十届四次全委会暨2023年度工作会议，藁城区文联作为唯一县区文联做了典型发言；</w:t>
      </w:r>
      <w:r>
        <w:rPr>
          <w:rFonts w:hint="eastAsia" w:ascii="仿宋_GB2312" w:hAnsi="仿宋_GB2312" w:eastAsia="仿宋_GB2312" w:cs="仿宋_GB2312"/>
          <w:sz w:val="32"/>
          <w:szCs w:val="32"/>
          <w:lang w:val="en-US" w:eastAsia="zh-CN"/>
        </w:rPr>
        <w:t>11月3日，石家庄市文联组织全市各县市区文联到我区兴华公园文艺家协会研学基地观摩学习并召开观摩交流座谈会对藁城文联各项工作给与充分肯定;11月23日，在石家庄市文联召开的</w:t>
      </w:r>
      <w:r>
        <w:rPr>
          <w:rFonts w:hint="eastAsia" w:ascii="仿宋" w:hAnsi="仿宋" w:eastAsia="仿宋" w:cs="仿宋"/>
          <w:spacing w:val="-6"/>
          <w:kern w:val="2"/>
          <w:sz w:val="32"/>
          <w:szCs w:val="32"/>
          <w:lang w:val="en-US" w:eastAsia="zh-CN" w:bidi="ar-SA"/>
        </w:rPr>
        <w:t>“聚焦新跃升·展示新成果”主题文艺创作交流会上作典型发言</w:t>
      </w:r>
      <w:r>
        <w:rPr>
          <w:rFonts w:hint="eastAsia" w:ascii="仿宋_GB2312" w:hAnsi="仿宋_GB2312" w:eastAsia="仿宋_GB2312" w:cs="仿宋_GB2312"/>
          <w:sz w:val="32"/>
          <w:szCs w:val="32"/>
          <w:lang w:val="en-US" w:eastAsia="zh-CN"/>
        </w:rPr>
        <w:t>。一年来，区文联围绕中心、服务大局，深入生活、扎根人民，团结全区广大文艺工作者一手抓文艺创作、一手抓服务提升，较好完成了年初制定的各项目标任务，为推动藁城区文艺文化事业繁荣贡献文联力量。2023年度</w:t>
      </w:r>
      <w:r>
        <w:rPr>
          <w:rFonts w:hint="eastAsia" w:ascii="仿宋" w:hAnsi="仿宋" w:eastAsia="仿宋" w:cs="仿宋"/>
          <w:sz w:val="32"/>
          <w:szCs w:val="32"/>
        </w:rPr>
        <w:t>项目预算执行完成率为100%</w:t>
      </w:r>
      <w:r>
        <w:rPr>
          <w:rFonts w:hint="eastAsia" w:ascii="仿宋" w:hAnsi="仿宋" w:eastAsia="仿宋" w:cs="仿宋"/>
          <w:sz w:val="32"/>
          <w:szCs w:val="32"/>
          <w:lang w:val="en-US" w:eastAsia="zh-CN"/>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val="0"/>
        <w:numPr>
          <w:numId w:val="0"/>
        </w:numPr>
        <w:kinsoku/>
        <w:wordWrap/>
        <w:overflowPunct/>
        <w:topLinePunct w:val="0"/>
        <w:autoSpaceDE/>
        <w:autoSpaceDN/>
        <w:bidi w:val="0"/>
        <w:spacing w:line="560" w:lineRule="exact"/>
        <w:ind w:leftChars="0" w:right="0" w:rightChars="0"/>
        <w:textAlignment w:val="auto"/>
        <w:outlineLvl w:val="9"/>
        <w:rPr>
          <w:rFonts w:ascii="仿宋" w:hAnsi="仿宋" w:eastAsia="仿宋" w:cs="楷体_GB2312"/>
          <w:b w:val="0"/>
          <w:bCs w:val="0"/>
          <w:sz w:val="32"/>
          <w:szCs w:val="32"/>
        </w:rPr>
      </w:pPr>
      <w:r>
        <w:rPr>
          <w:rFonts w:hint="eastAsia" w:ascii="仿宋" w:hAnsi="仿宋" w:eastAsia="仿宋" w:cs="楷体_GB2312"/>
          <w:b w:val="0"/>
          <w:bCs w:val="0"/>
          <w:sz w:val="32"/>
          <w:szCs w:val="32"/>
          <w:lang w:val="en-US" w:eastAsia="zh-CN"/>
        </w:rPr>
        <w:t>1、</w:t>
      </w:r>
      <w:r>
        <w:rPr>
          <w:rFonts w:hint="eastAsia" w:ascii="仿宋" w:hAnsi="仿宋" w:eastAsia="仿宋" w:cs="楷体_GB2312"/>
          <w:b w:val="0"/>
          <w:bCs w:val="0"/>
          <w:sz w:val="32"/>
          <w:szCs w:val="32"/>
        </w:rPr>
        <w:t>预算执行情况</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eastAsia="zh-CN"/>
        </w:rPr>
        <w:t>该项目年初预算数</w:t>
      </w:r>
      <w:r>
        <w:rPr>
          <w:rFonts w:hint="eastAsia" w:ascii="仿宋" w:hAnsi="仿宋" w:eastAsia="仿宋" w:cs="楷体_GB2312"/>
          <w:b w:val="0"/>
          <w:bCs w:val="0"/>
          <w:sz w:val="32"/>
          <w:szCs w:val="32"/>
          <w:lang w:val="en-US" w:eastAsia="zh-CN"/>
        </w:rPr>
        <w:t>6万，年终实际资金执行数86万，预算资金使用率100%，分值10分。</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textAlignment w:val="auto"/>
        <w:outlineLvl w:val="9"/>
        <w:rPr>
          <w:rFonts w:ascii="仿宋" w:hAnsi="仿宋" w:eastAsia="仿宋"/>
          <w:b w:val="0"/>
          <w:bCs w:val="0"/>
          <w:sz w:val="32"/>
          <w:szCs w:val="32"/>
        </w:rPr>
      </w:pPr>
      <w:r>
        <w:rPr>
          <w:rFonts w:hint="eastAsia" w:ascii="仿宋" w:hAnsi="仿宋" w:eastAsia="仿宋" w:cs="楷体_GB2312"/>
          <w:b w:val="0"/>
          <w:bCs w:val="0"/>
          <w:sz w:val="32"/>
          <w:szCs w:val="32"/>
          <w:lang w:val="en-US" w:eastAsia="zh-CN"/>
        </w:rPr>
        <w:t>2、</w:t>
      </w:r>
      <w:r>
        <w:rPr>
          <w:rFonts w:hint="eastAsia" w:ascii="仿宋" w:hAnsi="仿宋" w:eastAsia="仿宋" w:cs="楷体_GB2312"/>
          <w:b w:val="0"/>
          <w:bCs w:val="0"/>
          <w:sz w:val="32"/>
          <w:szCs w:val="32"/>
        </w:rPr>
        <w:t>项目产出</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default" w:ascii="仿宋" w:hAnsi="仿宋" w:eastAsia="仿宋"/>
          <w:sz w:val="32"/>
          <w:szCs w:val="32"/>
          <w:lang w:val="en-US"/>
        </w:rPr>
      </w:pPr>
      <w:r>
        <w:rPr>
          <w:rFonts w:hint="eastAsia" w:ascii="仿宋" w:hAnsi="仿宋" w:eastAsia="仿宋"/>
          <w:sz w:val="32"/>
          <w:szCs w:val="32"/>
          <w:lang w:val="en-US" w:eastAsia="zh-CN"/>
        </w:rPr>
        <w:t>通过实地查证资料及媒体报道和会计核对，</w:t>
      </w:r>
      <w:r>
        <w:rPr>
          <w:rFonts w:hint="eastAsia" w:ascii="仿宋" w:hAnsi="仿宋" w:eastAsia="仿宋"/>
          <w:sz w:val="32"/>
          <w:szCs w:val="32"/>
          <w:lang w:eastAsia="zh-CN"/>
        </w:rPr>
        <w:t>该项目产出指标</w:t>
      </w:r>
      <w:r>
        <w:rPr>
          <w:rFonts w:hint="eastAsia" w:ascii="仿宋" w:hAnsi="仿宋" w:eastAsia="仿宋" w:cs="仿宋"/>
          <w:sz w:val="32"/>
          <w:szCs w:val="32"/>
          <w:lang w:val="en-US" w:eastAsia="zh-CN"/>
        </w:rPr>
        <w:t>文艺研修教育人数得</w:t>
      </w:r>
      <w:r>
        <w:rPr>
          <w:rFonts w:hint="eastAsia" w:ascii="仿宋" w:hAnsi="仿宋" w:eastAsia="仿宋"/>
          <w:sz w:val="32"/>
          <w:szCs w:val="32"/>
          <w:lang w:val="en-US" w:eastAsia="zh-CN"/>
        </w:rPr>
        <w:t>4分；</w:t>
      </w:r>
      <w:r>
        <w:rPr>
          <w:rFonts w:hint="eastAsia" w:ascii="仿宋" w:hAnsi="仿宋" w:eastAsia="仿宋" w:cs="仿宋"/>
          <w:sz w:val="32"/>
          <w:szCs w:val="32"/>
          <w:lang w:val="en-US" w:eastAsia="zh-CN"/>
        </w:rPr>
        <w:t>文艺人才资源库人数4</w:t>
      </w:r>
      <w:r>
        <w:rPr>
          <w:rFonts w:hint="eastAsia" w:ascii="仿宋" w:hAnsi="仿宋" w:eastAsia="仿宋"/>
          <w:sz w:val="32"/>
          <w:szCs w:val="32"/>
          <w:lang w:val="en-US" w:eastAsia="zh-CN"/>
        </w:rPr>
        <w:t>分；</w:t>
      </w:r>
      <w:r>
        <w:rPr>
          <w:rFonts w:hint="eastAsia" w:ascii="仿宋" w:hAnsi="仿宋" w:eastAsia="仿宋" w:cs="仿宋"/>
          <w:sz w:val="32"/>
          <w:szCs w:val="32"/>
          <w:lang w:val="en-US" w:eastAsia="zh-CN"/>
        </w:rPr>
        <w:t>组织活动的场次</w:t>
      </w:r>
      <w:r>
        <w:rPr>
          <w:rFonts w:hint="eastAsia" w:ascii="仿宋" w:hAnsi="仿宋" w:eastAsia="仿宋"/>
          <w:sz w:val="32"/>
          <w:szCs w:val="32"/>
          <w:lang w:val="en-US" w:eastAsia="zh-CN"/>
        </w:rPr>
        <w:t>5分；</w:t>
      </w:r>
      <w:r>
        <w:rPr>
          <w:rFonts w:hint="eastAsia" w:ascii="仿宋" w:hAnsi="仿宋" w:eastAsia="仿宋" w:cs="仿宋"/>
          <w:sz w:val="32"/>
          <w:szCs w:val="32"/>
          <w:lang w:val="en-US" w:eastAsia="zh-CN"/>
        </w:rPr>
        <w:t>组织艺术家创作次数5分；文艺精品生产数量4分；组织研讨推介活动次数5分；媒体宣传、信息数量（篇）5分；组织对外交流次数、组织民间文化交流次数5分；综合事务完成率10分；计划完成率10分；项目预算控制数10分；共分值67分。</w:t>
      </w:r>
    </w:p>
    <w:p>
      <w:pPr>
        <w:keepNext w:val="0"/>
        <w:keepLines w:val="0"/>
        <w:pageBreakBefore w:val="0"/>
        <w:widowControl w:val="0"/>
        <w:kinsoku/>
        <w:wordWrap/>
        <w:overflowPunct/>
        <w:topLinePunct w:val="0"/>
        <w:autoSpaceDE/>
        <w:autoSpaceDN/>
        <w:bidi w:val="0"/>
        <w:spacing w:line="560" w:lineRule="exact"/>
        <w:ind w:right="0"/>
        <w:textAlignment w:val="auto"/>
        <w:outlineLvl w:val="9"/>
        <w:rPr>
          <w:rFonts w:ascii="仿宋" w:hAnsi="仿宋" w:eastAsia="仿宋" w:cs="楷体_GB2312"/>
          <w:b w:val="0"/>
          <w:bCs w:val="0"/>
          <w:sz w:val="32"/>
          <w:szCs w:val="32"/>
        </w:rPr>
      </w:pPr>
      <w:r>
        <w:rPr>
          <w:rFonts w:hint="eastAsia" w:ascii="仿宋" w:hAnsi="仿宋" w:eastAsia="仿宋" w:cs="楷体_GB2312"/>
          <w:b w:val="0"/>
          <w:bCs w:val="0"/>
          <w:sz w:val="32"/>
          <w:szCs w:val="32"/>
          <w:lang w:val="en-US" w:eastAsia="zh-CN"/>
        </w:rPr>
        <w:t>3、</w:t>
      </w:r>
      <w:r>
        <w:rPr>
          <w:rFonts w:hint="eastAsia" w:ascii="仿宋" w:hAnsi="仿宋" w:eastAsia="仿宋" w:cs="楷体_GB2312"/>
          <w:b w:val="0"/>
          <w:bCs w:val="0"/>
          <w:sz w:val="32"/>
          <w:szCs w:val="32"/>
        </w:rPr>
        <w:t>项目效益</w:t>
      </w:r>
    </w:p>
    <w:p>
      <w:pPr>
        <w:keepNext w:val="0"/>
        <w:keepLines w:val="0"/>
        <w:pageBreakBefore w:val="0"/>
        <w:widowControl w:val="0"/>
        <w:kinsoku/>
        <w:wordWrap/>
        <w:overflowPunct/>
        <w:topLinePunct w:val="0"/>
        <w:autoSpaceDE/>
        <w:autoSpaceDN/>
        <w:bidi w:val="0"/>
        <w:spacing w:line="560" w:lineRule="exact"/>
        <w:ind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文艺联络交流经费</w:t>
      </w:r>
      <w:r>
        <w:rPr>
          <w:rFonts w:hint="eastAsia" w:ascii="仿宋" w:hAnsi="仿宋" w:eastAsia="仿宋"/>
          <w:sz w:val="32"/>
          <w:szCs w:val="32"/>
        </w:rPr>
        <w:t>资金项目</w:t>
      </w:r>
      <w:r>
        <w:rPr>
          <w:rFonts w:hint="eastAsia" w:ascii="仿宋" w:hAnsi="仿宋" w:eastAsia="仿宋"/>
          <w:sz w:val="32"/>
          <w:szCs w:val="32"/>
          <w:lang w:eastAsia="zh-CN"/>
        </w:rPr>
        <w:t>创作</w:t>
      </w:r>
      <w:r>
        <w:rPr>
          <w:rFonts w:hint="eastAsia" w:ascii="仿宋" w:hAnsi="仿宋" w:eastAsia="仿宋"/>
          <w:sz w:val="32"/>
          <w:szCs w:val="32"/>
        </w:rPr>
        <w:t>的</w:t>
      </w:r>
      <w:r>
        <w:rPr>
          <w:rFonts w:hint="eastAsia" w:ascii="仿宋" w:hAnsi="仿宋" w:eastAsia="仿宋"/>
          <w:sz w:val="32"/>
          <w:szCs w:val="32"/>
          <w:lang w:eastAsia="zh-CN"/>
        </w:rPr>
        <w:t>文艺精品可持续影响深远，自评分值</w:t>
      </w:r>
      <w:r>
        <w:rPr>
          <w:rFonts w:hint="eastAsia" w:ascii="仿宋" w:hAnsi="仿宋" w:eastAsia="仿宋"/>
          <w:sz w:val="32"/>
          <w:szCs w:val="32"/>
          <w:lang w:val="en-US" w:eastAsia="zh-CN"/>
        </w:rPr>
        <w:t>8分</w:t>
      </w:r>
      <w:r>
        <w:rPr>
          <w:rFonts w:hint="eastAsia" w:ascii="仿宋" w:hAnsi="仿宋" w:eastAsia="仿宋"/>
          <w:sz w:val="32"/>
          <w:szCs w:val="32"/>
        </w:rPr>
        <w:t>。</w:t>
      </w:r>
    </w:p>
    <w:p>
      <w:pPr>
        <w:keepNext w:val="0"/>
        <w:keepLines w:val="0"/>
        <w:pageBreakBefore w:val="0"/>
        <w:widowControl w:val="0"/>
        <w:kinsoku/>
        <w:wordWrap/>
        <w:overflowPunct/>
        <w:topLinePunct w:val="0"/>
        <w:autoSpaceDE/>
        <w:autoSpaceDN/>
        <w:bidi w:val="0"/>
        <w:spacing w:line="560" w:lineRule="exact"/>
        <w:ind w:right="0"/>
        <w:textAlignment w:val="auto"/>
        <w:outlineLvl w:val="9"/>
        <w:rPr>
          <w:rFonts w:ascii="仿宋" w:hAnsi="仿宋" w:eastAsia="仿宋" w:cs="楷体_GB2312"/>
          <w:b w:val="0"/>
          <w:bCs w:val="0"/>
          <w:sz w:val="32"/>
          <w:szCs w:val="32"/>
        </w:rPr>
      </w:pPr>
      <w:r>
        <w:rPr>
          <w:rFonts w:hint="eastAsia" w:ascii="仿宋" w:hAnsi="仿宋" w:eastAsia="仿宋" w:cs="楷体_GB2312"/>
          <w:b w:val="0"/>
          <w:bCs w:val="0"/>
          <w:sz w:val="32"/>
          <w:szCs w:val="32"/>
          <w:lang w:val="en-US" w:eastAsia="zh-CN"/>
        </w:rPr>
        <w:t>4、</w:t>
      </w:r>
      <w:r>
        <w:rPr>
          <w:rFonts w:hint="eastAsia" w:ascii="仿宋" w:hAnsi="仿宋" w:eastAsia="仿宋" w:cs="楷体_GB2312"/>
          <w:b w:val="0"/>
          <w:bCs w:val="0"/>
          <w:sz w:val="32"/>
          <w:szCs w:val="32"/>
        </w:rPr>
        <w:t>满意度</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ascii="仿宋" w:hAnsi="仿宋" w:eastAsia="仿宋" w:cs="楷体_GB2312"/>
          <w:b/>
          <w:bCs/>
          <w:sz w:val="32"/>
          <w:szCs w:val="32"/>
        </w:rPr>
      </w:pPr>
      <w:r>
        <w:rPr>
          <w:rFonts w:hint="eastAsia" w:ascii="仿宋" w:hAnsi="仿宋" w:eastAsia="仿宋"/>
          <w:sz w:val="32"/>
          <w:szCs w:val="32"/>
          <w:lang w:eastAsia="zh-CN"/>
        </w:rPr>
        <w:t>通过对该项目的</w:t>
      </w:r>
      <w:r>
        <w:rPr>
          <w:rFonts w:hint="eastAsia" w:ascii="仿宋" w:hAnsi="仿宋" w:eastAsia="仿宋"/>
          <w:sz w:val="32"/>
          <w:szCs w:val="32"/>
        </w:rPr>
        <w:t>服务对象满意度进行</w:t>
      </w:r>
      <w:r>
        <w:rPr>
          <w:rFonts w:hint="eastAsia" w:ascii="仿宋" w:hAnsi="仿宋" w:eastAsia="仿宋"/>
          <w:sz w:val="32"/>
          <w:szCs w:val="32"/>
          <w:lang w:eastAsia="zh-CN"/>
        </w:rPr>
        <w:t>调查</w:t>
      </w:r>
      <w:r>
        <w:rPr>
          <w:rFonts w:hint="eastAsia" w:ascii="仿宋" w:hAnsi="仿宋" w:eastAsia="仿宋"/>
          <w:sz w:val="32"/>
          <w:szCs w:val="32"/>
        </w:rPr>
        <w:t>，</w:t>
      </w:r>
      <w:r>
        <w:rPr>
          <w:rFonts w:hint="eastAsia" w:ascii="仿宋" w:hAnsi="仿宋" w:eastAsia="仿宋"/>
          <w:sz w:val="32"/>
          <w:szCs w:val="32"/>
          <w:lang w:eastAsia="zh-CN"/>
        </w:rPr>
        <w:t>满意率</w:t>
      </w:r>
      <w:r>
        <w:rPr>
          <w:rFonts w:hint="eastAsia" w:ascii="仿宋" w:hAnsi="仿宋" w:eastAsia="仿宋"/>
          <w:sz w:val="32"/>
          <w:szCs w:val="32"/>
          <w:lang w:val="en-US" w:eastAsia="zh-CN"/>
        </w:rPr>
        <w:t>96%，分值9分</w:t>
      </w:r>
      <w:r>
        <w:rPr>
          <w:rFonts w:hint="eastAsia" w:ascii="仿宋" w:hAnsi="仿宋" w:eastAsia="仿宋"/>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tbl>
      <w:tblPr>
        <w:tblStyle w:val="6"/>
        <w:tblpPr w:leftFromText="180" w:rightFromText="180" w:vertAnchor="text" w:horzAnchor="page" w:tblpX="1408" w:tblpY="584"/>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65"/>
        <w:gridCol w:w="1395"/>
        <w:gridCol w:w="1335"/>
        <w:gridCol w:w="1560"/>
        <w:gridCol w:w="1485"/>
        <w:gridCol w:w="9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665" w:type="dxa"/>
          </w:tcPr>
          <w:p>
            <w:pPr>
              <w:snapToGrid w:val="0"/>
              <w:spacing w:line="360" w:lineRule="auto"/>
              <w:ind w:firstLine="720" w:firstLineChars="300"/>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项目名称</w:t>
            </w:r>
          </w:p>
        </w:tc>
        <w:tc>
          <w:tcPr>
            <w:tcW w:w="1395"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产出</w:t>
            </w:r>
            <w:r>
              <w:rPr>
                <w:rFonts w:hint="eastAsia" w:ascii="仿宋" w:hAnsi="仿宋" w:eastAsia="仿宋" w:cs="黑体"/>
                <w:sz w:val="24"/>
                <w:highlight w:val="none"/>
              </w:rPr>
              <w:t>指标</w:t>
            </w:r>
            <w:r>
              <w:rPr>
                <w:rFonts w:hint="eastAsia" w:ascii="仿宋" w:hAnsi="仿宋" w:eastAsia="仿宋" w:cs="黑体"/>
                <w:sz w:val="24"/>
                <w:highlight w:val="none"/>
                <w:lang w:eastAsia="zh-CN"/>
              </w:rPr>
              <w:t>完成得分情况</w:t>
            </w:r>
          </w:p>
        </w:tc>
        <w:tc>
          <w:tcPr>
            <w:tcW w:w="1335"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预算执行率指标完成得分情况</w:t>
            </w:r>
          </w:p>
        </w:tc>
        <w:tc>
          <w:tcPr>
            <w:tcW w:w="1560" w:type="dxa"/>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lang w:eastAsia="zh-CN"/>
              </w:rPr>
              <w:t>效益指标完成得分情况</w:t>
            </w:r>
          </w:p>
        </w:tc>
        <w:tc>
          <w:tcPr>
            <w:tcW w:w="1485"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满意度指标完成得分情况</w:t>
            </w:r>
          </w:p>
        </w:tc>
        <w:tc>
          <w:tcPr>
            <w:tcW w:w="900" w:type="dxa"/>
          </w:tcPr>
          <w:p>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665" w:type="dxa"/>
            <w:vAlign w:val="center"/>
          </w:tcPr>
          <w:p>
            <w:pPr>
              <w:snapToGrid w:val="0"/>
              <w:spacing w:line="360" w:lineRule="auto"/>
              <w:jc w:val="center"/>
              <w:rPr>
                <w:rFonts w:hint="eastAsia" w:ascii="仿宋" w:hAnsi="仿宋" w:eastAsia="仿宋" w:cs="黑体"/>
                <w:sz w:val="24"/>
                <w:highlight w:val="none"/>
                <w:lang w:eastAsia="zh-CN"/>
              </w:rPr>
            </w:pPr>
            <w:r>
              <w:rPr>
                <w:rFonts w:hint="eastAsia" w:ascii="仿宋" w:hAnsi="仿宋" w:eastAsia="仿宋" w:cs="黑体"/>
                <w:sz w:val="24"/>
                <w:highlight w:val="none"/>
                <w:lang w:val="en-US" w:eastAsia="zh-CN"/>
              </w:rPr>
              <w:t>1</w:t>
            </w:r>
            <w:r>
              <w:rPr>
                <w:rFonts w:hint="eastAsia" w:ascii="仿宋" w:hAnsi="仿宋" w:eastAsia="仿宋" w:cs="黑体"/>
                <w:sz w:val="24"/>
                <w:highlight w:val="none"/>
              </w:rPr>
              <w:t>、</w:t>
            </w:r>
            <w:r>
              <w:rPr>
                <w:rFonts w:hint="eastAsia" w:ascii="仿宋" w:hAnsi="仿宋" w:eastAsia="仿宋" w:cs="黑体"/>
                <w:sz w:val="24"/>
                <w:highlight w:val="none"/>
                <w:lang w:eastAsia="zh-CN"/>
              </w:rPr>
              <w:t>文艺联络交流经费</w:t>
            </w:r>
          </w:p>
        </w:tc>
        <w:tc>
          <w:tcPr>
            <w:tcW w:w="139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67</w:t>
            </w:r>
          </w:p>
        </w:tc>
        <w:tc>
          <w:tcPr>
            <w:tcW w:w="133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8</w:t>
            </w:r>
          </w:p>
        </w:tc>
        <w:tc>
          <w:tcPr>
            <w:tcW w:w="1485"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w:t>
            </w:r>
          </w:p>
        </w:tc>
        <w:tc>
          <w:tcPr>
            <w:tcW w:w="900"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94</w:t>
            </w:r>
          </w:p>
        </w:tc>
      </w:tr>
    </w:tbl>
    <w:p>
      <w:pPr>
        <w:widowControl w:val="0"/>
        <w:wordWrap/>
        <w:adjustRightInd w:val="0"/>
        <w:snapToGrid w:val="0"/>
        <w:spacing w:line="560" w:lineRule="exact"/>
        <w:ind w:right="0"/>
        <w:textAlignment w:val="auto"/>
        <w:outlineLvl w:val="9"/>
        <w:rPr>
          <w:rFonts w:hint="eastAsia" w:ascii="仿宋" w:hAnsi="仿宋" w:eastAsia="仿宋"/>
          <w:sz w:val="32"/>
          <w:szCs w:val="32"/>
        </w:rPr>
      </w:pPr>
    </w:p>
    <w:p>
      <w:pPr>
        <w:widowControl w:val="0"/>
        <w:wordWrap/>
        <w:adjustRightInd w:val="0"/>
        <w:snapToGrid w:val="0"/>
        <w:spacing w:line="560" w:lineRule="exact"/>
        <w:ind w:right="0" w:firstLine="320" w:firstLineChars="100"/>
        <w:textAlignment w:val="auto"/>
        <w:outlineLvl w:val="9"/>
        <w:rPr>
          <w:rFonts w:hint="eastAsia" w:ascii="黑体" w:hAnsi="黑体" w:eastAsia="黑体" w:cs="黑体"/>
          <w:sz w:val="32"/>
          <w:szCs w:val="32"/>
          <w:lang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sz w:val="32"/>
          <w:szCs w:val="32"/>
          <w:lang w:eastAsia="zh-CN"/>
        </w:rPr>
        <w:t>，并</w:t>
      </w:r>
      <w:r>
        <w:rPr>
          <w:rFonts w:hint="eastAsia" w:ascii="仿宋" w:hAnsi="仿宋" w:eastAsia="仿宋"/>
          <w:sz w:val="32"/>
          <w:szCs w:val="32"/>
        </w:rPr>
        <w:t>得出综合绩效评价等级。</w:t>
      </w:r>
      <w:r>
        <w:rPr>
          <w:rFonts w:hint="eastAsia" w:ascii="仿宋" w:hAnsi="仿宋" w:eastAsia="仿宋"/>
          <w:sz w:val="32"/>
          <w:szCs w:val="32"/>
          <w:lang w:eastAsia="zh-CN"/>
        </w:rPr>
        <w:t>我部门整体支出</w:t>
      </w:r>
      <w:r>
        <w:rPr>
          <w:rFonts w:hint="eastAsia" w:ascii="仿宋" w:hAnsi="仿宋" w:eastAsia="仿宋"/>
          <w:sz w:val="32"/>
          <w:szCs w:val="32"/>
        </w:rPr>
        <w:t>综合绩效评价</w:t>
      </w:r>
      <w:r>
        <w:rPr>
          <w:rFonts w:hint="eastAsia" w:ascii="仿宋" w:hAnsi="仿宋" w:eastAsia="仿宋"/>
          <w:sz w:val="32"/>
          <w:szCs w:val="32"/>
          <w:lang w:eastAsia="zh-CN"/>
        </w:rPr>
        <w:t>得分</w:t>
      </w:r>
      <w:r>
        <w:rPr>
          <w:rFonts w:hint="eastAsia" w:ascii="仿宋" w:hAnsi="仿宋" w:eastAsia="仿宋"/>
          <w:sz w:val="32"/>
          <w:szCs w:val="32"/>
          <w:lang w:val="en-US" w:eastAsia="zh-CN"/>
        </w:rPr>
        <w:t>94分，</w:t>
      </w:r>
      <w:r>
        <w:rPr>
          <w:rFonts w:hint="eastAsia" w:ascii="仿宋" w:hAnsi="仿宋" w:eastAsia="仿宋"/>
          <w:sz w:val="32"/>
          <w:szCs w:val="32"/>
        </w:rPr>
        <w:t>绩效评价等级</w:t>
      </w:r>
      <w:r>
        <w:rPr>
          <w:rFonts w:hint="eastAsia" w:ascii="仿宋" w:hAnsi="仿宋" w:eastAsia="仿宋"/>
          <w:sz w:val="32"/>
          <w:szCs w:val="32"/>
          <w:lang w:eastAsia="zh-CN"/>
        </w:rPr>
        <w:t>为</w:t>
      </w:r>
      <w:r>
        <w:rPr>
          <w:rFonts w:hint="eastAsia" w:ascii="仿宋" w:hAnsi="仿宋" w:eastAsia="仿宋"/>
          <w:sz w:val="32"/>
          <w:szCs w:val="32"/>
          <w:lang w:val="en-US" w:eastAsia="zh-CN"/>
        </w:rPr>
        <w:t>优秀。</w:t>
      </w:r>
    </w:p>
    <w:p>
      <w:pPr>
        <w:keepNext w:val="0"/>
        <w:keepLines w:val="0"/>
        <w:pageBreakBefore w:val="0"/>
        <w:widowControl w:val="0"/>
        <w:numPr>
          <w:ilvl w:val="0"/>
          <w:numId w:val="5"/>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6"/>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pStyle w:val="2"/>
        <w:numPr>
          <w:ilvl w:val="0"/>
          <w:numId w:val="0"/>
        </w:numPr>
        <w:ind w:firstLine="640" w:firstLineChars="200"/>
        <w:rPr>
          <w:rFonts w:hint="eastAsia"/>
        </w:rPr>
      </w:pPr>
      <w:r>
        <w:rPr>
          <w:rFonts w:hint="eastAsia"/>
          <w:lang w:val="en-US" w:eastAsia="zh-CN"/>
        </w:rPr>
        <w:t>我部门2023</w:t>
      </w:r>
      <w:bookmarkStart w:id="0" w:name="_GoBack"/>
      <w:bookmarkEnd w:id="0"/>
      <w:r>
        <w:rPr>
          <w:rFonts w:hint="eastAsia"/>
          <w:lang w:val="en-US" w:eastAsia="zh-CN"/>
        </w:rPr>
        <w:t>年度绩效目标全部按时完成，在绩效评价工作过程中，我部门预算绩效管理评价工作小组发现，有个别项目年初绩效指标设定还是较为简单、不够全面、不易评价，不够详尽。</w:t>
      </w:r>
    </w:p>
    <w:p>
      <w:pPr>
        <w:keepNext w:val="0"/>
        <w:keepLines w:val="0"/>
        <w:pageBreakBefore w:val="0"/>
        <w:widowControl w:val="0"/>
        <w:numPr>
          <w:ilvl w:val="0"/>
          <w:numId w:val="6"/>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pStyle w:val="2"/>
        <w:ind w:firstLine="640" w:firstLineChars="200"/>
        <w:rPr>
          <w:rFonts w:hint="eastAsia"/>
        </w:rPr>
      </w:pPr>
      <w:r>
        <w:rPr>
          <w:rFonts w:hint="eastAsia"/>
          <w:sz w:val="32"/>
          <w:lang w:val="en-US" w:eastAsia="zh-CN"/>
        </w:rPr>
        <w:t>在今后的年度预算工作中将进行进一步加强对绩效管理工作的组织领导，提高于部职工对绩效自评的认识，完善工作方法，及时发现项目运行过程中出现的问题并加以改进，争取建立更加科学合理全面的绩效评价体系。</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pPr w:leftFromText="180" w:rightFromText="180" w:vertAnchor="text" w:horzAnchor="page" w:tblpX="1962" w:tblpY="668"/>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序号</w:t>
            </w:r>
          </w:p>
        </w:tc>
        <w:tc>
          <w:tcPr>
            <w:tcW w:w="1704"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姓名</w:t>
            </w:r>
          </w:p>
        </w:tc>
        <w:tc>
          <w:tcPr>
            <w:tcW w:w="1704"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工作单位</w:t>
            </w:r>
          </w:p>
        </w:tc>
        <w:tc>
          <w:tcPr>
            <w:tcW w:w="1705"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职务</w:t>
            </w:r>
          </w:p>
        </w:tc>
        <w:tc>
          <w:tcPr>
            <w:tcW w:w="1705"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8" w:hRule="atLeast"/>
        </w:trPr>
        <w:tc>
          <w:tcPr>
            <w:tcW w:w="1704"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1</w:t>
            </w:r>
          </w:p>
        </w:tc>
        <w:tc>
          <w:tcPr>
            <w:tcW w:w="1704"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王敏</w:t>
            </w:r>
          </w:p>
        </w:tc>
        <w:tc>
          <w:tcPr>
            <w:tcW w:w="1704"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党组书记、主席</w:t>
            </w:r>
          </w:p>
        </w:tc>
        <w:tc>
          <w:tcPr>
            <w:tcW w:w="1705"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8" w:hRule="atLeast"/>
        </w:trPr>
        <w:tc>
          <w:tcPr>
            <w:tcW w:w="1704" w:type="dxa"/>
            <w:noWrap w:val="0"/>
            <w:vAlign w:val="center"/>
          </w:tcPr>
          <w:p>
            <w:pPr>
              <w:numPr>
                <w:ilvl w:val="0"/>
                <w:numId w:val="0"/>
              </w:numPr>
              <w:adjustRightInd w:val="0"/>
              <w:snapToGrid w:val="0"/>
              <w:spacing w:line="360" w:lineRule="auto"/>
              <w:ind w:left="0" w:leftChars="0" w:firstLine="0" w:firstLineChars="0"/>
              <w:jc w:val="center"/>
              <w:rPr>
                <w:rFonts w:hint="default"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2</w:t>
            </w:r>
          </w:p>
        </w:tc>
        <w:tc>
          <w:tcPr>
            <w:tcW w:w="1704" w:type="dxa"/>
            <w:noWrap w:val="0"/>
            <w:vAlign w:val="center"/>
          </w:tcPr>
          <w:p>
            <w:pPr>
              <w:numPr>
                <w:ilvl w:val="0"/>
                <w:numId w:val="0"/>
              </w:numPr>
              <w:adjustRightInd w:val="0"/>
              <w:snapToGrid w:val="0"/>
              <w:spacing w:line="360" w:lineRule="auto"/>
              <w:ind w:left="0" w:leftChars="0" w:firstLine="0" w:firstLineChars="0"/>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杜宏军</w:t>
            </w:r>
          </w:p>
        </w:tc>
        <w:tc>
          <w:tcPr>
            <w:tcW w:w="1704" w:type="dxa"/>
            <w:noWrap w:val="0"/>
            <w:vAlign w:val="center"/>
          </w:tcPr>
          <w:p>
            <w:pPr>
              <w:numPr>
                <w:ilvl w:val="0"/>
                <w:numId w:val="0"/>
              </w:numPr>
              <w:adjustRightInd w:val="0"/>
              <w:snapToGrid w:val="0"/>
              <w:spacing w:line="360" w:lineRule="auto"/>
              <w:ind w:left="0" w:leftChars="0" w:firstLine="0" w:firstLineChars="0"/>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pPr>
              <w:numPr>
                <w:ilvl w:val="0"/>
                <w:numId w:val="0"/>
              </w:numPr>
              <w:adjustRightInd w:val="0"/>
              <w:snapToGrid w:val="0"/>
              <w:spacing w:line="360" w:lineRule="auto"/>
              <w:ind w:left="0" w:leftChars="0" w:firstLine="0" w:firstLineChars="0"/>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党组成员、副主席</w:t>
            </w:r>
          </w:p>
        </w:tc>
        <w:tc>
          <w:tcPr>
            <w:tcW w:w="1705"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noWrap w:val="0"/>
            <w:vAlign w:val="center"/>
          </w:tcPr>
          <w:p>
            <w:pPr>
              <w:numPr>
                <w:ilvl w:val="0"/>
                <w:numId w:val="0"/>
              </w:numPr>
              <w:adjustRightInd w:val="0"/>
              <w:snapToGrid w:val="0"/>
              <w:spacing w:line="360" w:lineRule="auto"/>
              <w:jc w:val="center"/>
              <w:rPr>
                <w:rFonts w:hint="default"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3</w:t>
            </w:r>
          </w:p>
        </w:tc>
        <w:tc>
          <w:tcPr>
            <w:tcW w:w="1704"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魏颖宁</w:t>
            </w:r>
          </w:p>
        </w:tc>
        <w:tc>
          <w:tcPr>
            <w:tcW w:w="1704"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党组成员、办公室主任</w:t>
            </w:r>
          </w:p>
        </w:tc>
        <w:tc>
          <w:tcPr>
            <w:tcW w:w="1705"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8" w:hRule="atLeast"/>
        </w:trPr>
        <w:tc>
          <w:tcPr>
            <w:tcW w:w="1704"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4</w:t>
            </w:r>
          </w:p>
        </w:tc>
        <w:tc>
          <w:tcPr>
            <w:tcW w:w="1704"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李荣霞</w:t>
            </w:r>
          </w:p>
        </w:tc>
        <w:tc>
          <w:tcPr>
            <w:tcW w:w="1704"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lang w:eastAsia="zh-CN"/>
              </w:rPr>
            </w:pPr>
            <w:r>
              <w:rPr>
                <w:rFonts w:hint="eastAsia" w:ascii="仿宋" w:hAnsi="仿宋" w:eastAsia="仿宋" w:cs="仿宋"/>
                <w:sz w:val="30"/>
                <w:szCs w:val="30"/>
                <w:vertAlign w:val="baseline"/>
                <w:lang w:eastAsia="zh-CN"/>
              </w:rPr>
              <w:t>区文联</w:t>
            </w:r>
          </w:p>
        </w:tc>
        <w:tc>
          <w:tcPr>
            <w:tcW w:w="1705" w:type="dxa"/>
            <w:noWrap w:val="0"/>
            <w:vAlign w:val="center"/>
          </w:tcPr>
          <w:p>
            <w:pPr>
              <w:numPr>
                <w:ilvl w:val="0"/>
                <w:numId w:val="0"/>
              </w:numPr>
              <w:adjustRightInd w:val="0"/>
              <w:snapToGrid w:val="0"/>
              <w:spacing w:line="360" w:lineRule="auto"/>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财务人员</w:t>
            </w:r>
          </w:p>
        </w:tc>
        <w:tc>
          <w:tcPr>
            <w:tcW w:w="1705" w:type="dxa"/>
            <w:noWrap w:val="0"/>
            <w:vAlign w:val="center"/>
          </w:tcPr>
          <w:p>
            <w:pPr>
              <w:numPr>
                <w:ilvl w:val="0"/>
                <w:numId w:val="0"/>
              </w:numPr>
              <w:adjustRightInd w:val="0"/>
              <w:snapToGrid w:val="0"/>
              <w:spacing w:line="360" w:lineRule="auto"/>
              <w:jc w:val="center"/>
              <w:rPr>
                <w:rFonts w:hint="eastAsia" w:ascii="仿宋" w:hAnsi="仿宋" w:eastAsia="仿宋" w:cs="仿宋"/>
                <w:sz w:val="30"/>
                <w:szCs w:val="30"/>
                <w:vertAlign w:val="baseline"/>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Arial Unicode MS"/>
    <w:panose1 w:val="02000000000000000000"/>
    <w:charset w:val="86"/>
    <w:family w:val="auto"/>
    <w:pitch w:val="default"/>
    <w:sig w:usb0="00000000" w:usb1="00000000" w:usb2="00000012"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8FCCCFE"/>
    <w:multiLevelType w:val="singleLevel"/>
    <w:tmpl w:val="88FCCCFE"/>
    <w:lvl w:ilvl="0" w:tentative="0">
      <w:start w:val="1"/>
      <w:numFmt w:val="decimal"/>
      <w:suff w:val="nothing"/>
      <w:lvlText w:val="%1、"/>
      <w:lvlJc w:val="left"/>
    </w:lvl>
  </w:abstractNum>
  <w:abstractNum w:abstractNumId="1">
    <w:nsid w:val="92712C47"/>
    <w:multiLevelType w:val="singleLevel"/>
    <w:tmpl w:val="92712C47"/>
    <w:lvl w:ilvl="0" w:tentative="0">
      <w:start w:val="2"/>
      <w:numFmt w:val="chineseCounting"/>
      <w:suff w:val="nothing"/>
      <w:lvlText w:val="（%1）"/>
      <w:lvlJc w:val="left"/>
      <w:rPr>
        <w:rFonts w:hint="eastAsia"/>
      </w:rPr>
    </w:lvl>
  </w:abstractNum>
  <w:abstractNum w:abstractNumId="2">
    <w:nsid w:val="98E0822F"/>
    <w:multiLevelType w:val="singleLevel"/>
    <w:tmpl w:val="98E0822F"/>
    <w:lvl w:ilvl="0" w:tentative="0">
      <w:start w:val="2"/>
      <w:numFmt w:val="chineseCounting"/>
      <w:suff w:val="nothing"/>
      <w:lvlText w:val="%1、"/>
      <w:lvlJc w:val="left"/>
      <w:rPr>
        <w:rFonts w:hint="eastAsia"/>
      </w:rPr>
    </w:lvl>
  </w:abstractNum>
  <w:abstractNum w:abstractNumId="3">
    <w:nsid w:val="A35F25B5"/>
    <w:multiLevelType w:val="singleLevel"/>
    <w:tmpl w:val="A35F25B5"/>
    <w:lvl w:ilvl="0" w:tentative="0">
      <w:start w:val="1"/>
      <w:numFmt w:val="chineseCounting"/>
      <w:suff w:val="nothing"/>
      <w:lvlText w:val="（%1）"/>
      <w:lvlJc w:val="left"/>
      <w:rPr>
        <w:rFonts w:hint="eastAsia"/>
      </w:rPr>
    </w:lvl>
  </w:abstractNum>
  <w:abstractNum w:abstractNumId="4">
    <w:nsid w:val="330718AF"/>
    <w:multiLevelType w:val="singleLevel"/>
    <w:tmpl w:val="330718AF"/>
    <w:lvl w:ilvl="0" w:tentative="0">
      <w:start w:val="5"/>
      <w:numFmt w:val="chineseCounting"/>
      <w:suff w:val="nothing"/>
      <w:lvlText w:val="%1、"/>
      <w:lvlJc w:val="left"/>
      <w:rPr>
        <w:rFonts w:hint="eastAsia"/>
      </w:rPr>
    </w:lvl>
  </w:abstractNum>
  <w:abstractNum w:abstractNumId="5">
    <w:nsid w:val="56BDA001"/>
    <w:multiLevelType w:val="singleLevel"/>
    <w:tmpl w:val="56BDA001"/>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13B61930"/>
    <w:rsid w:val="1A3B21A2"/>
    <w:rsid w:val="1BAF1154"/>
    <w:rsid w:val="1C655171"/>
    <w:rsid w:val="1FCD2D0E"/>
    <w:rsid w:val="20276775"/>
    <w:rsid w:val="20EB5584"/>
    <w:rsid w:val="26B75F6B"/>
    <w:rsid w:val="272440B4"/>
    <w:rsid w:val="28C74477"/>
    <w:rsid w:val="2F2C2A40"/>
    <w:rsid w:val="2FFB1EFC"/>
    <w:rsid w:val="344704E1"/>
    <w:rsid w:val="35466FCB"/>
    <w:rsid w:val="357B093C"/>
    <w:rsid w:val="39744C0B"/>
    <w:rsid w:val="39B85B8B"/>
    <w:rsid w:val="3A7963F7"/>
    <w:rsid w:val="3AEF6FE7"/>
    <w:rsid w:val="3E110050"/>
    <w:rsid w:val="441F3676"/>
    <w:rsid w:val="493B718D"/>
    <w:rsid w:val="4F9841CB"/>
    <w:rsid w:val="51700AB9"/>
    <w:rsid w:val="53A42ADD"/>
    <w:rsid w:val="541C6B97"/>
    <w:rsid w:val="563B01B4"/>
    <w:rsid w:val="56604927"/>
    <w:rsid w:val="590F0BE0"/>
    <w:rsid w:val="5AA54C79"/>
    <w:rsid w:val="5C4A315B"/>
    <w:rsid w:val="65DF3295"/>
    <w:rsid w:val="661D3074"/>
    <w:rsid w:val="6B1C1E0E"/>
    <w:rsid w:val="6BDE7164"/>
    <w:rsid w:val="788A3AA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9">
    <w:name w:val="页眉 Char"/>
    <w:basedOn w:val="8"/>
    <w:link w:val="4"/>
    <w:qFormat/>
    <w:uiPriority w:val="99"/>
    <w:rPr>
      <w:sz w:val="18"/>
      <w:szCs w:val="18"/>
    </w:rPr>
  </w:style>
  <w:style w:type="character" w:customStyle="1" w:styleId="10">
    <w:name w:val="页脚 Char"/>
    <w:basedOn w:val="8"/>
    <w:link w:val="3"/>
    <w:qFormat/>
    <w:uiPriority w:val="99"/>
    <w:rPr>
      <w:sz w:val="18"/>
      <w:szCs w:val="18"/>
    </w:rPr>
  </w:style>
  <w:style w:type="paragraph" w:customStyle="1" w:styleId="11">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373</Words>
  <Characters>373</Characters>
  <Lines>3</Lines>
  <Paragraphs>1</Paragraphs>
  <TotalTime>0</TotalTime>
  <ScaleCrop>false</ScaleCrop>
  <LinksUpToDate>false</LinksUpToDate>
  <CharactersWithSpaces>373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2024-05-06T10:42:04Z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28C64EFCB758481798A31117B3E7B5E3</vt:lpwstr>
  </property>
</Properties>
</file>