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石家庄市藁城区梅花镇人民政府</w:t>
      </w:r>
      <w:r>
        <w:rPr>
          <w:rFonts w:ascii="黑体" w:hAnsi="黑体" w:eastAsia="黑体" w:cs="黑体"/>
          <w:b/>
          <w:color w:val="000000"/>
          <w:sz w:val="44"/>
        </w:rPr>
        <w:t>2023年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70"/>
        </w:tabs>
      </w:pPr>
      <w:r>
        <w:fldChar w:fldCharType="begin"/>
      </w:r>
      <w:r>
        <w:instrText xml:space="preserve">TOC \o "2-2" \h \z \u</w:instrText>
      </w:r>
      <w:r>
        <w:fldChar w:fldCharType="separate"/>
      </w:r>
      <w:r>
        <w:fldChar w:fldCharType="begin"/>
      </w:r>
      <w:r>
        <w:instrText xml:space="preserve"> HYPERLINK \l _Toc22386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_Toc22386 </w:instrText>
      </w:r>
      <w:r>
        <w:fldChar w:fldCharType="separate"/>
      </w:r>
      <w:r>
        <w:t>3</w:t>
      </w:r>
      <w:r>
        <w:fldChar w:fldCharType="end"/>
      </w:r>
      <w:r>
        <w:fldChar w:fldCharType="end"/>
      </w:r>
    </w:p>
    <w:p>
      <w:pPr>
        <w:pStyle w:val="4"/>
        <w:tabs>
          <w:tab w:val="right" w:leader="dot" w:pos="14570"/>
        </w:tabs>
      </w:pPr>
      <w:r>
        <w:fldChar w:fldCharType="begin"/>
      </w:r>
      <w:r>
        <w:instrText xml:space="preserve"> HYPERLINK \l _Toc10009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_Toc10009 </w:instrText>
      </w:r>
      <w:r>
        <w:fldChar w:fldCharType="separate"/>
      </w:r>
      <w:r>
        <w:t>7</w:t>
      </w:r>
      <w:r>
        <w:fldChar w:fldCharType="end"/>
      </w:r>
      <w:r>
        <w:fldChar w:fldCharType="end"/>
      </w:r>
    </w:p>
    <w:p>
      <w:pPr>
        <w:pStyle w:val="4"/>
        <w:tabs>
          <w:tab w:val="right" w:leader="dot" w:pos="14570"/>
        </w:tabs>
      </w:pPr>
      <w:r>
        <w:fldChar w:fldCharType="begin"/>
      </w:r>
      <w:r>
        <w:instrText xml:space="preserve"> HYPERLINK \l _Toc22817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_Toc22817 </w:instrText>
      </w:r>
      <w:r>
        <w:fldChar w:fldCharType="separate"/>
      </w:r>
      <w:r>
        <w:t>13</w:t>
      </w:r>
      <w:r>
        <w:fldChar w:fldCharType="end"/>
      </w:r>
      <w:r>
        <w:fldChar w:fldCharType="end"/>
      </w:r>
    </w:p>
    <w:p>
      <w:pPr>
        <w:pStyle w:val="4"/>
        <w:tabs>
          <w:tab w:val="right" w:leader="dot" w:pos="14570"/>
        </w:tabs>
      </w:pPr>
      <w:r>
        <w:fldChar w:fldCharType="begin"/>
      </w:r>
      <w:r>
        <w:instrText xml:space="preserve"> HYPERLINK \l _Toc11139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_Toc11139 </w:instrText>
      </w:r>
      <w:r>
        <w:fldChar w:fldCharType="separate"/>
      </w:r>
      <w:r>
        <w:t>16</w:t>
      </w:r>
      <w:r>
        <w:fldChar w:fldCharType="end"/>
      </w:r>
      <w:r>
        <w:fldChar w:fldCharType="end"/>
      </w:r>
    </w:p>
    <w:p>
      <w:pPr>
        <w:pStyle w:val="4"/>
        <w:tabs>
          <w:tab w:val="right" w:leader="dot" w:pos="14570"/>
        </w:tabs>
      </w:pPr>
      <w:r>
        <w:fldChar w:fldCharType="begin"/>
      </w:r>
      <w:r>
        <w:instrText xml:space="preserve"> HYPERLINK \l _Toc22683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_Toc22683 </w:instrText>
      </w:r>
      <w:r>
        <w:fldChar w:fldCharType="separate"/>
      </w:r>
      <w:r>
        <w:t>22</w:t>
      </w:r>
      <w:r>
        <w:fldChar w:fldCharType="end"/>
      </w:r>
      <w:r>
        <w:fldChar w:fldCharType="end"/>
      </w:r>
    </w:p>
    <w:p>
      <w:pPr>
        <w:pStyle w:val="4"/>
        <w:tabs>
          <w:tab w:val="right" w:leader="dot" w:pos="14570"/>
        </w:tabs>
      </w:pPr>
      <w:r>
        <w:fldChar w:fldCharType="begin"/>
      </w:r>
      <w:r>
        <w:instrText xml:space="preserve"> HYPERLINK \l _Toc2955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_Toc2955 </w:instrText>
      </w:r>
      <w:r>
        <w:fldChar w:fldCharType="separate"/>
      </w:r>
      <w:r>
        <w:t>25</w:t>
      </w:r>
      <w:r>
        <w:fldChar w:fldCharType="end"/>
      </w:r>
      <w:r>
        <w:fldChar w:fldCharType="end"/>
      </w:r>
    </w:p>
    <w:p>
      <w:pPr>
        <w:pStyle w:val="4"/>
        <w:tabs>
          <w:tab w:val="right" w:leader="dot" w:pos="14570"/>
        </w:tabs>
      </w:pPr>
      <w:r>
        <w:fldChar w:fldCharType="begin"/>
      </w:r>
      <w:r>
        <w:instrText xml:space="preserve"> HYPERLINK \l _Toc3903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_Toc3903 </w:instrText>
      </w:r>
      <w:r>
        <w:fldChar w:fldCharType="separate"/>
      </w:r>
      <w:r>
        <w:t>28</w:t>
      </w:r>
      <w:r>
        <w:fldChar w:fldCharType="end"/>
      </w:r>
      <w:r>
        <w:fldChar w:fldCharType="end"/>
      </w:r>
    </w:p>
    <w:p>
      <w:pPr>
        <w:pStyle w:val="4"/>
        <w:tabs>
          <w:tab w:val="right" w:leader="dot" w:pos="14570"/>
        </w:tabs>
      </w:pPr>
      <w:r>
        <w:fldChar w:fldCharType="begin"/>
      </w:r>
      <w:r>
        <w:instrText xml:space="preserve"> HYPERLINK \l _Toc3333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_Toc3333 </w:instrText>
      </w:r>
      <w:r>
        <w:fldChar w:fldCharType="separate"/>
      </w:r>
      <w:r>
        <w:t>29</w:t>
      </w:r>
      <w:r>
        <w:fldChar w:fldCharType="end"/>
      </w:r>
      <w:r>
        <w:fldChar w:fldCharType="end"/>
      </w:r>
    </w:p>
    <w:p>
      <w:pPr>
        <w:pStyle w:val="4"/>
        <w:tabs>
          <w:tab w:val="right" w:leader="dot" w:pos="14570"/>
        </w:tabs>
      </w:pPr>
      <w:r>
        <w:fldChar w:fldCharType="begin"/>
      </w:r>
      <w:r>
        <w:instrText xml:space="preserve"> HYPERLINK \l _Toc7617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_Toc7617 </w:instrText>
      </w:r>
      <w:r>
        <w:fldChar w:fldCharType="separate"/>
      </w:r>
      <w:r>
        <w:t>30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0"/>
        </w:tabs>
      </w:pPr>
      <w:r>
        <w:fldChar w:fldCharType="begin"/>
      </w:r>
      <w:r>
        <w:instrText xml:space="preserve">TOC \o "3-3" \h \z \u</w:instrText>
      </w:r>
      <w:r>
        <w:fldChar w:fldCharType="separate"/>
      </w:r>
      <w:r>
        <w:fldChar w:fldCharType="begin"/>
      </w:r>
      <w:r>
        <w:instrText xml:space="preserve"> HYPERLINK \l _Toc31188 </w:instrText>
      </w:r>
      <w:r>
        <w:fldChar w:fldCharType="separate"/>
      </w:r>
      <w:r>
        <w:rPr>
          <w:rFonts w:ascii="黑体" w:hAnsi="黑体" w:eastAsia="黑体" w:cs="黑体"/>
        </w:rPr>
        <w:t>一、部门职责及机构设置情况</w:t>
      </w:r>
      <w:r>
        <w:tab/>
      </w:r>
      <w:r>
        <w:fldChar w:fldCharType="begin"/>
      </w:r>
      <w:r>
        <w:instrText xml:space="preserve"> PAGEREF _Toc31188 </w:instrText>
      </w:r>
      <w:r>
        <w:fldChar w:fldCharType="separate"/>
      </w:r>
      <w:r>
        <w:t>32</w:t>
      </w:r>
      <w:r>
        <w:fldChar w:fldCharType="end"/>
      </w:r>
      <w:r>
        <w:fldChar w:fldCharType="end"/>
      </w:r>
    </w:p>
    <w:p>
      <w:pPr>
        <w:pStyle w:val="2"/>
        <w:tabs>
          <w:tab w:val="right" w:leader="dot" w:pos="14570"/>
        </w:tabs>
      </w:pPr>
      <w:r>
        <w:fldChar w:fldCharType="begin"/>
      </w:r>
      <w:r>
        <w:instrText xml:space="preserve"> HYPERLINK \l _Toc29893 </w:instrText>
      </w:r>
      <w:r>
        <w:fldChar w:fldCharType="separate"/>
      </w:r>
      <w:r>
        <w:rPr>
          <w:rFonts w:ascii="黑体" w:hAnsi="黑体" w:eastAsia="黑体" w:cs="黑体"/>
        </w:rPr>
        <w:t>二、部门预算安排的总体情况</w:t>
      </w:r>
      <w:r>
        <w:tab/>
      </w:r>
      <w:r>
        <w:fldChar w:fldCharType="begin"/>
      </w:r>
      <w:r>
        <w:instrText xml:space="preserve"> PAGEREF _Toc29893 </w:instrText>
      </w:r>
      <w:r>
        <w:fldChar w:fldCharType="separate"/>
      </w:r>
      <w:r>
        <w:t>33</w:t>
      </w:r>
      <w:r>
        <w:fldChar w:fldCharType="end"/>
      </w:r>
      <w:r>
        <w:fldChar w:fldCharType="end"/>
      </w:r>
    </w:p>
    <w:p>
      <w:pPr>
        <w:pStyle w:val="2"/>
        <w:tabs>
          <w:tab w:val="right" w:leader="dot" w:pos="14570"/>
        </w:tabs>
      </w:pPr>
      <w:r>
        <w:fldChar w:fldCharType="begin"/>
      </w:r>
      <w:r>
        <w:instrText xml:space="preserve"> HYPERLINK \l _Toc14584 </w:instrText>
      </w:r>
      <w:r>
        <w:fldChar w:fldCharType="separate"/>
      </w:r>
      <w:r>
        <w:rPr>
          <w:rFonts w:ascii="黑体" w:hAnsi="黑体" w:eastAsia="黑体" w:cs="黑体"/>
        </w:rPr>
        <w:t>三、机关运行经费安排情况</w:t>
      </w:r>
      <w:r>
        <w:tab/>
      </w:r>
      <w:r>
        <w:fldChar w:fldCharType="begin"/>
      </w:r>
      <w:r>
        <w:instrText xml:space="preserve"> PAGEREF _Toc14584 </w:instrText>
      </w:r>
      <w:r>
        <w:fldChar w:fldCharType="separate"/>
      </w:r>
      <w:r>
        <w:t>34</w:t>
      </w:r>
      <w:r>
        <w:fldChar w:fldCharType="end"/>
      </w:r>
      <w:r>
        <w:fldChar w:fldCharType="end"/>
      </w:r>
    </w:p>
    <w:p>
      <w:pPr>
        <w:pStyle w:val="2"/>
        <w:tabs>
          <w:tab w:val="right" w:leader="dot" w:pos="14570"/>
        </w:tabs>
      </w:pPr>
      <w:r>
        <w:fldChar w:fldCharType="begin"/>
      </w:r>
      <w:r>
        <w:instrText xml:space="preserve"> HYPERLINK \l _Toc15230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_Toc15230 </w:instrText>
      </w:r>
      <w:r>
        <w:fldChar w:fldCharType="separate"/>
      </w:r>
      <w:r>
        <w:t>34</w:t>
      </w:r>
      <w:r>
        <w:fldChar w:fldCharType="end"/>
      </w:r>
      <w:r>
        <w:fldChar w:fldCharType="end"/>
      </w:r>
    </w:p>
    <w:p>
      <w:pPr>
        <w:pStyle w:val="2"/>
        <w:tabs>
          <w:tab w:val="right" w:leader="dot" w:pos="14570"/>
        </w:tabs>
      </w:pPr>
      <w:r>
        <w:fldChar w:fldCharType="begin"/>
      </w:r>
      <w:r>
        <w:instrText xml:space="preserve"> HYPERLINK \l _Toc15358 </w:instrText>
      </w:r>
      <w:r>
        <w:fldChar w:fldCharType="separate"/>
      </w:r>
      <w:r>
        <w:rPr>
          <w:rFonts w:ascii="黑体" w:hAnsi="黑体" w:eastAsia="黑体" w:cs="黑体"/>
        </w:rPr>
        <w:t>五、预算绩效信息</w:t>
      </w:r>
      <w:r>
        <w:tab/>
      </w:r>
      <w:r>
        <w:fldChar w:fldCharType="begin"/>
      </w:r>
      <w:r>
        <w:instrText xml:space="preserve"> PAGEREF _Toc15358 </w:instrText>
      </w:r>
      <w:r>
        <w:fldChar w:fldCharType="separate"/>
      </w:r>
      <w:r>
        <w:t>34</w:t>
      </w:r>
      <w:r>
        <w:fldChar w:fldCharType="end"/>
      </w:r>
      <w:r>
        <w:fldChar w:fldCharType="end"/>
      </w:r>
    </w:p>
    <w:p>
      <w:pPr>
        <w:pStyle w:val="2"/>
        <w:tabs>
          <w:tab w:val="right" w:leader="dot" w:pos="14570"/>
        </w:tabs>
      </w:pPr>
      <w:r>
        <w:fldChar w:fldCharType="begin"/>
      </w:r>
      <w:r>
        <w:instrText xml:space="preserve"> HYPERLINK \l _Toc498 </w:instrText>
      </w:r>
      <w:r>
        <w:fldChar w:fldCharType="separate"/>
      </w:r>
      <w:r>
        <w:rPr>
          <w:rFonts w:ascii="黑体" w:hAnsi="黑体" w:eastAsia="黑体" w:cs="黑体"/>
        </w:rPr>
        <w:t>六、政府采购预算情况</w:t>
      </w:r>
      <w:r>
        <w:tab/>
      </w:r>
      <w:r>
        <w:fldChar w:fldCharType="begin"/>
      </w:r>
      <w:r>
        <w:instrText xml:space="preserve"> PAGEREF _Toc498 </w:instrText>
      </w:r>
      <w:r>
        <w:fldChar w:fldCharType="separate"/>
      </w:r>
      <w:r>
        <w:t>48</w:t>
      </w:r>
      <w:r>
        <w:fldChar w:fldCharType="end"/>
      </w:r>
      <w:r>
        <w:fldChar w:fldCharType="end"/>
      </w:r>
    </w:p>
    <w:p>
      <w:pPr>
        <w:pStyle w:val="2"/>
        <w:tabs>
          <w:tab w:val="right" w:leader="dot" w:pos="14570"/>
        </w:tabs>
      </w:pPr>
      <w:r>
        <w:fldChar w:fldCharType="begin"/>
      </w:r>
      <w:r>
        <w:instrText xml:space="preserve"> HYPERLINK \l _Toc31404 </w:instrText>
      </w:r>
      <w:r>
        <w:fldChar w:fldCharType="separate"/>
      </w:r>
      <w:r>
        <w:rPr>
          <w:rFonts w:ascii="黑体" w:hAnsi="黑体" w:eastAsia="黑体" w:cs="黑体"/>
        </w:rPr>
        <w:t>七、国有资产信息</w:t>
      </w:r>
      <w:r>
        <w:tab/>
      </w:r>
      <w:r>
        <w:fldChar w:fldCharType="begin"/>
      </w:r>
      <w:r>
        <w:instrText xml:space="preserve"> PAGEREF _Toc31404 </w:instrText>
      </w:r>
      <w:r>
        <w:fldChar w:fldCharType="separate"/>
      </w:r>
      <w:r>
        <w:t>48</w:t>
      </w:r>
      <w:r>
        <w:fldChar w:fldCharType="end"/>
      </w:r>
      <w:r>
        <w:fldChar w:fldCharType="end"/>
      </w:r>
    </w:p>
    <w:p>
      <w:pPr>
        <w:pStyle w:val="2"/>
        <w:tabs>
          <w:tab w:val="right" w:leader="dot" w:pos="14570"/>
        </w:tabs>
      </w:pPr>
      <w:r>
        <w:fldChar w:fldCharType="begin"/>
      </w:r>
      <w:r>
        <w:instrText xml:space="preserve"> HYPERLINK \l _Toc3564 </w:instrText>
      </w:r>
      <w:r>
        <w:fldChar w:fldCharType="separate"/>
      </w:r>
      <w:r>
        <w:rPr>
          <w:rFonts w:ascii="黑体" w:hAnsi="黑体" w:eastAsia="黑体" w:cs="黑体"/>
        </w:rPr>
        <w:t>八、名词解释</w:t>
      </w:r>
      <w:r>
        <w:tab/>
      </w:r>
      <w:r>
        <w:fldChar w:fldCharType="begin"/>
      </w:r>
      <w:r>
        <w:instrText xml:space="preserve"> PAGEREF _Toc3564 </w:instrText>
      </w:r>
      <w:r>
        <w:fldChar w:fldCharType="separate"/>
      </w:r>
      <w:r>
        <w:t>49</w:t>
      </w:r>
      <w:r>
        <w:fldChar w:fldCharType="end"/>
      </w:r>
      <w:r>
        <w:fldChar w:fldCharType="end"/>
      </w:r>
    </w:p>
    <w:p>
      <w:pPr>
        <w:pStyle w:val="2"/>
        <w:tabs>
          <w:tab w:val="right" w:leader="dot" w:pos="14570"/>
        </w:tabs>
      </w:pPr>
      <w:r>
        <w:fldChar w:fldCharType="begin"/>
      </w:r>
      <w:r>
        <w:instrText xml:space="preserve"> HYPERLINK \l _Toc1102 </w:instrText>
      </w:r>
      <w:r>
        <w:fldChar w:fldCharType="separate"/>
      </w:r>
      <w:r>
        <w:rPr>
          <w:rFonts w:ascii="黑体" w:hAnsi="黑体" w:eastAsia="黑体" w:cs="黑体"/>
        </w:rPr>
        <w:t>九、其他需要说明的事项</w:t>
      </w:r>
      <w:r>
        <w:tab/>
      </w:r>
      <w:r>
        <w:fldChar w:fldCharType="begin"/>
      </w:r>
      <w:r>
        <w:instrText xml:space="preserve"> PAGEREF _Toc1102 </w:instrText>
      </w:r>
      <w:r>
        <w:fldChar w:fldCharType="separate"/>
      </w:r>
      <w:r>
        <w:t>50</w:t>
      </w:r>
      <w:r>
        <w:fldChar w:fldCharType="end"/>
      </w:r>
      <w:r>
        <w:fldChar w:fldCharType="end"/>
      </w:r>
    </w:p>
    <w:p>
      <w:pPr>
        <w:sectPr>
          <w:pgSz w:w="16838" w:h="11906" w:orient="landscape"/>
          <w:pgMar w:top="1587" w:right="1134" w:bottom="1361" w:left="1134" w:header="851" w:footer="992" w:gutter="0"/>
          <w:cols w:space="425" w:num="1"/>
          <w:docGrid w:type="lines" w:linePitch="312" w:charSpace="0"/>
        </w:sectPr>
      </w:pPr>
      <w:r>
        <w:fldChar w:fldCharType="end"/>
      </w:r>
    </w:p>
    <w:p>
      <w:pPr>
        <w:spacing w:before="0" w:after="0" w:line="240" w:lineRule="auto"/>
        <w:ind w:firstLine="0"/>
        <w:jc w:val="center"/>
        <w:outlineLvl w:val="1"/>
      </w:pPr>
      <w:bookmarkStart w:id="0" w:name="_Toc22386"/>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1447.61</w:t>
            </w:r>
          </w:p>
        </w:tc>
        <w:tc>
          <w:tcPr>
            <w:tcW w:w="4535" w:type="dxa"/>
            <w:vAlign w:val="center"/>
          </w:tcPr>
          <w:p>
            <w:pPr>
              <w:pStyle w:val="12"/>
            </w:pPr>
            <w:r>
              <w:t>一、一般公共服务支出</w:t>
            </w:r>
          </w:p>
        </w:tc>
        <w:tc>
          <w:tcPr>
            <w:tcW w:w="2126" w:type="dxa"/>
            <w:vAlign w:val="center"/>
          </w:tcPr>
          <w:p>
            <w:pPr>
              <w:pStyle w:val="13"/>
            </w:pPr>
            <w:r>
              <w:t>1348.55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r>
              <w:t>220.50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1447.61</w:t>
            </w:r>
          </w:p>
        </w:tc>
        <w:tc>
          <w:tcPr>
            <w:tcW w:w="4535" w:type="dxa"/>
            <w:vAlign w:val="center"/>
          </w:tcPr>
          <w:p>
            <w:pPr>
              <w:pStyle w:val="14"/>
            </w:pPr>
            <w:r>
              <w:t>本年支出合计</w:t>
            </w:r>
          </w:p>
        </w:tc>
        <w:tc>
          <w:tcPr>
            <w:tcW w:w="2126" w:type="dxa"/>
            <w:vAlign w:val="center"/>
          </w:tcPr>
          <w:p>
            <w:pPr>
              <w:pStyle w:val="15"/>
            </w:pPr>
            <w:r>
              <w:t>1627.61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r>
              <w:t>180.00</w:t>
            </w: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1627.61</w:t>
            </w:r>
          </w:p>
        </w:tc>
        <w:tc>
          <w:tcPr>
            <w:tcW w:w="4535" w:type="dxa"/>
            <w:vAlign w:val="center"/>
          </w:tcPr>
          <w:p>
            <w:pPr>
              <w:pStyle w:val="14"/>
            </w:pPr>
            <w:r>
              <w:t>支出总计</w:t>
            </w:r>
          </w:p>
        </w:tc>
        <w:tc>
          <w:tcPr>
            <w:tcW w:w="2126" w:type="dxa"/>
            <w:vAlign w:val="center"/>
          </w:tcPr>
          <w:p>
            <w:pPr>
              <w:pStyle w:val="15"/>
            </w:pPr>
            <w:r>
              <w:t>1627.61</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0009"/>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1627.61</w:t>
            </w:r>
          </w:p>
        </w:tc>
        <w:tc>
          <w:tcPr>
            <w:tcW w:w="1134" w:type="dxa"/>
            <w:vAlign w:val="center"/>
          </w:tcPr>
          <w:p>
            <w:pPr>
              <w:pStyle w:val="15"/>
            </w:pPr>
            <w:r>
              <w:t>1447.61</w:t>
            </w:r>
          </w:p>
        </w:tc>
        <w:tc>
          <w:tcPr>
            <w:tcW w:w="1134" w:type="dxa"/>
            <w:vAlign w:val="center"/>
          </w:tcPr>
          <w:p>
            <w:pPr>
              <w:pStyle w:val="15"/>
            </w:pPr>
            <w:r>
              <w:t>1447.61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1348.55</w:t>
            </w:r>
          </w:p>
        </w:tc>
        <w:tc>
          <w:tcPr>
            <w:tcW w:w="1134" w:type="dxa"/>
            <w:vAlign w:val="center"/>
          </w:tcPr>
          <w:p>
            <w:pPr>
              <w:pStyle w:val="13"/>
            </w:pPr>
            <w:r>
              <w:t>1348.55</w:t>
            </w:r>
          </w:p>
        </w:tc>
        <w:tc>
          <w:tcPr>
            <w:tcW w:w="1134" w:type="dxa"/>
            <w:vAlign w:val="center"/>
          </w:tcPr>
          <w:p>
            <w:pPr>
              <w:pStyle w:val="13"/>
            </w:pPr>
            <w:r>
              <w:t>1348.55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2010103</w:t>
            </w:r>
          </w:p>
        </w:tc>
        <w:tc>
          <w:tcPr>
            <w:tcW w:w="1559" w:type="dxa"/>
            <w:vAlign w:val="center"/>
          </w:tcPr>
          <w:p>
            <w:pPr>
              <w:pStyle w:val="12"/>
            </w:pPr>
            <w:r>
              <w:t>机关服务</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r>
              <w:t>20.70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3"/>
            </w:pPr>
            <w:r>
              <w:t>1327.85</w:t>
            </w:r>
          </w:p>
        </w:tc>
        <w:tc>
          <w:tcPr>
            <w:tcW w:w="1134" w:type="dxa"/>
            <w:vAlign w:val="center"/>
          </w:tcPr>
          <w:p>
            <w:pPr>
              <w:pStyle w:val="13"/>
            </w:pPr>
            <w:r>
              <w:t>1327.85</w:t>
            </w:r>
          </w:p>
        </w:tc>
        <w:tc>
          <w:tcPr>
            <w:tcW w:w="1134" w:type="dxa"/>
            <w:vAlign w:val="center"/>
          </w:tcPr>
          <w:p>
            <w:pPr>
              <w:pStyle w:val="13"/>
            </w:pPr>
            <w:r>
              <w:t>1327.85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3"/>
            </w:pPr>
            <w:r>
              <w:t>1239.71</w:t>
            </w:r>
          </w:p>
        </w:tc>
        <w:tc>
          <w:tcPr>
            <w:tcW w:w="1134" w:type="dxa"/>
            <w:vAlign w:val="center"/>
          </w:tcPr>
          <w:p>
            <w:pPr>
              <w:pStyle w:val="13"/>
            </w:pPr>
            <w:r>
              <w:t>1239.71</w:t>
            </w:r>
          </w:p>
        </w:tc>
        <w:tc>
          <w:tcPr>
            <w:tcW w:w="1134" w:type="dxa"/>
            <w:vAlign w:val="center"/>
          </w:tcPr>
          <w:p>
            <w:pPr>
              <w:pStyle w:val="13"/>
            </w:pPr>
            <w:r>
              <w:t>1239.71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3"/>
            </w:pPr>
            <w:r>
              <w:t>88.14</w:t>
            </w:r>
          </w:p>
        </w:tc>
        <w:tc>
          <w:tcPr>
            <w:tcW w:w="1134" w:type="dxa"/>
            <w:vAlign w:val="center"/>
          </w:tcPr>
          <w:p>
            <w:pPr>
              <w:pStyle w:val="13"/>
            </w:pPr>
            <w:r>
              <w:t>88.14</w:t>
            </w:r>
          </w:p>
        </w:tc>
        <w:tc>
          <w:tcPr>
            <w:tcW w:w="1134" w:type="dxa"/>
            <w:vAlign w:val="center"/>
          </w:tcPr>
          <w:p>
            <w:pPr>
              <w:pStyle w:val="13"/>
            </w:pPr>
            <w:r>
              <w:t>88.14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r>
              <w:t>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3"/>
            </w:pPr>
            <w:r>
              <w:t>220.50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r>
              <w:t>40.50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22817"/>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1627.61</w:t>
            </w:r>
          </w:p>
        </w:tc>
        <w:tc>
          <w:tcPr>
            <w:tcW w:w="1361" w:type="dxa"/>
            <w:vAlign w:val="center"/>
          </w:tcPr>
          <w:p>
            <w:pPr>
              <w:pStyle w:val="15"/>
            </w:pPr>
            <w:r>
              <w:t>1239.71</w:t>
            </w:r>
          </w:p>
        </w:tc>
        <w:tc>
          <w:tcPr>
            <w:tcW w:w="1361" w:type="dxa"/>
            <w:vAlign w:val="center"/>
          </w:tcPr>
          <w:p>
            <w:pPr>
              <w:pStyle w:val="15"/>
            </w:pPr>
            <w:r>
              <w:t>387.90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1348.55</w:t>
            </w:r>
          </w:p>
        </w:tc>
        <w:tc>
          <w:tcPr>
            <w:tcW w:w="1361" w:type="dxa"/>
            <w:vAlign w:val="center"/>
          </w:tcPr>
          <w:p>
            <w:pPr>
              <w:pStyle w:val="13"/>
            </w:pPr>
            <w:r>
              <w:t>1239.71</w:t>
            </w:r>
          </w:p>
        </w:tc>
        <w:tc>
          <w:tcPr>
            <w:tcW w:w="1361" w:type="dxa"/>
            <w:vAlign w:val="center"/>
          </w:tcPr>
          <w:p>
            <w:pPr>
              <w:pStyle w:val="13"/>
            </w:pPr>
            <w:r>
              <w:t>108.84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2010103</w:t>
            </w:r>
          </w:p>
        </w:tc>
        <w:tc>
          <w:tcPr>
            <w:tcW w:w="4535" w:type="dxa"/>
            <w:vAlign w:val="center"/>
          </w:tcPr>
          <w:p>
            <w:pPr>
              <w:pStyle w:val="12"/>
            </w:pPr>
            <w:r>
              <w:t>机关服务</w:t>
            </w: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r>
              <w:t>20.70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3"/>
            </w:pPr>
            <w:r>
              <w:t>1327.85</w:t>
            </w:r>
          </w:p>
        </w:tc>
        <w:tc>
          <w:tcPr>
            <w:tcW w:w="1361" w:type="dxa"/>
            <w:vAlign w:val="center"/>
          </w:tcPr>
          <w:p>
            <w:pPr>
              <w:pStyle w:val="13"/>
            </w:pPr>
            <w:r>
              <w:t>1239.71</w:t>
            </w: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3"/>
            </w:pPr>
            <w:r>
              <w:t>1239.71</w:t>
            </w:r>
          </w:p>
        </w:tc>
        <w:tc>
          <w:tcPr>
            <w:tcW w:w="1361" w:type="dxa"/>
            <w:vAlign w:val="center"/>
          </w:tcPr>
          <w:p>
            <w:pPr>
              <w:pStyle w:val="13"/>
            </w:pPr>
            <w:r>
              <w:t>1239.71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2010303</w:t>
            </w:r>
          </w:p>
        </w:tc>
        <w:tc>
          <w:tcPr>
            <w:tcW w:w="4535" w:type="dxa"/>
            <w:vAlign w:val="center"/>
          </w:tcPr>
          <w:p>
            <w:pPr>
              <w:pStyle w:val="12"/>
            </w:pPr>
            <w:r>
              <w:t>机关服务</w:t>
            </w: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r>
              <w:t>88.14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r>
              <w:t>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3"/>
            </w:pPr>
            <w:r>
              <w:t>220.50</w:t>
            </w:r>
          </w:p>
        </w:tc>
        <w:tc>
          <w:tcPr>
            <w:tcW w:w="1361" w:type="dxa"/>
            <w:vAlign w:val="center"/>
          </w:tcPr>
          <w:p>
            <w:pPr>
              <w:pStyle w:val="13"/>
            </w:pPr>
          </w:p>
        </w:tc>
        <w:tc>
          <w:tcPr>
            <w:tcW w:w="1361" w:type="dxa"/>
            <w:vAlign w:val="center"/>
          </w:tcPr>
          <w:p>
            <w:pPr>
              <w:pStyle w:val="13"/>
            </w:pPr>
            <w:r>
              <w:t>220.50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r>
              <w:t>40.50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11139"/>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1447.61</w:t>
            </w:r>
          </w:p>
        </w:tc>
        <w:tc>
          <w:tcPr>
            <w:tcW w:w="3402" w:type="dxa"/>
            <w:vAlign w:val="center"/>
          </w:tcPr>
          <w:p>
            <w:pPr>
              <w:pStyle w:val="12"/>
            </w:pPr>
            <w:r>
              <w:t>一、一般公共服务支出</w:t>
            </w:r>
          </w:p>
        </w:tc>
        <w:tc>
          <w:tcPr>
            <w:tcW w:w="1474" w:type="dxa"/>
            <w:vAlign w:val="center"/>
          </w:tcPr>
          <w:p>
            <w:pPr>
              <w:pStyle w:val="13"/>
            </w:pPr>
            <w:r>
              <w:t>1348.55</w:t>
            </w:r>
          </w:p>
        </w:tc>
        <w:tc>
          <w:tcPr>
            <w:tcW w:w="1474" w:type="dxa"/>
            <w:vAlign w:val="center"/>
          </w:tcPr>
          <w:p>
            <w:pPr>
              <w:pStyle w:val="13"/>
            </w:pPr>
            <w:r>
              <w:t>1348.55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r>
              <w:t>17.21</w:t>
            </w:r>
          </w:p>
        </w:tc>
        <w:tc>
          <w:tcPr>
            <w:tcW w:w="1474" w:type="dxa"/>
            <w:vAlign w:val="center"/>
          </w:tcPr>
          <w:p>
            <w:pPr>
              <w:pStyle w:val="13"/>
            </w:pPr>
            <w:r>
              <w:t>17.21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3.89</w:t>
            </w:r>
          </w:p>
        </w:tc>
        <w:tc>
          <w:tcPr>
            <w:tcW w:w="1474" w:type="dxa"/>
            <w:vAlign w:val="center"/>
          </w:tcPr>
          <w:p>
            <w:pPr>
              <w:pStyle w:val="13"/>
            </w:pPr>
            <w:r>
              <w:t>3.89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4.00</w:t>
            </w:r>
          </w:p>
        </w:tc>
        <w:tc>
          <w:tcPr>
            <w:tcW w:w="1474" w:type="dxa"/>
            <w:vAlign w:val="center"/>
          </w:tcPr>
          <w:p>
            <w:pPr>
              <w:pStyle w:val="13"/>
            </w:pPr>
            <w:r>
              <w:t>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r>
              <w:t>220.50</w:t>
            </w:r>
          </w:p>
        </w:tc>
        <w:tc>
          <w:tcPr>
            <w:tcW w:w="1474" w:type="dxa"/>
            <w:vAlign w:val="center"/>
          </w:tcPr>
          <w:p>
            <w:pPr>
              <w:pStyle w:val="13"/>
            </w:pPr>
            <w:r>
              <w:t>220.50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r>
              <w:t>14.45</w:t>
            </w:r>
          </w:p>
        </w:tc>
        <w:tc>
          <w:tcPr>
            <w:tcW w:w="1474" w:type="dxa"/>
            <w:vAlign w:val="center"/>
          </w:tcPr>
          <w:p>
            <w:pPr>
              <w:pStyle w:val="13"/>
            </w:pPr>
            <w:r>
              <w:t>14.45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1447.61</w:t>
            </w:r>
          </w:p>
        </w:tc>
        <w:tc>
          <w:tcPr>
            <w:tcW w:w="3402" w:type="dxa"/>
            <w:vAlign w:val="center"/>
          </w:tcPr>
          <w:p>
            <w:pPr>
              <w:pStyle w:val="14"/>
            </w:pPr>
            <w:r>
              <w:t>本年支出合计</w:t>
            </w:r>
          </w:p>
        </w:tc>
        <w:tc>
          <w:tcPr>
            <w:tcW w:w="1474" w:type="dxa"/>
            <w:vAlign w:val="center"/>
          </w:tcPr>
          <w:p>
            <w:pPr>
              <w:pStyle w:val="15"/>
            </w:pPr>
            <w:r>
              <w:t>1627.61</w:t>
            </w:r>
          </w:p>
        </w:tc>
        <w:tc>
          <w:tcPr>
            <w:tcW w:w="1474" w:type="dxa"/>
            <w:vAlign w:val="center"/>
          </w:tcPr>
          <w:p>
            <w:pPr>
              <w:pStyle w:val="15"/>
            </w:pPr>
            <w:r>
              <w:t>1627.61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r>
              <w:t>180.00</w:t>
            </w: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r>
              <w:t>180.00</w:t>
            </w: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1627.61</w:t>
            </w:r>
          </w:p>
        </w:tc>
        <w:tc>
          <w:tcPr>
            <w:tcW w:w="3402" w:type="dxa"/>
            <w:vAlign w:val="center"/>
          </w:tcPr>
          <w:p>
            <w:pPr>
              <w:pStyle w:val="14"/>
            </w:pPr>
            <w:r>
              <w:t>支出总计</w:t>
            </w:r>
          </w:p>
        </w:tc>
        <w:tc>
          <w:tcPr>
            <w:tcW w:w="1474" w:type="dxa"/>
            <w:vAlign w:val="center"/>
          </w:tcPr>
          <w:p>
            <w:pPr>
              <w:pStyle w:val="15"/>
            </w:pPr>
            <w:r>
              <w:t>1627.61</w:t>
            </w:r>
          </w:p>
        </w:tc>
        <w:tc>
          <w:tcPr>
            <w:tcW w:w="1474" w:type="dxa"/>
            <w:vAlign w:val="center"/>
          </w:tcPr>
          <w:p>
            <w:pPr>
              <w:pStyle w:val="15"/>
            </w:pPr>
            <w:r>
              <w:t>1627.61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2683"/>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1627.61</w:t>
            </w:r>
          </w:p>
        </w:tc>
        <w:tc>
          <w:tcPr>
            <w:tcW w:w="2551" w:type="dxa"/>
            <w:vAlign w:val="center"/>
          </w:tcPr>
          <w:p>
            <w:pPr>
              <w:pStyle w:val="15"/>
            </w:pPr>
            <w:r>
              <w:t>1239.71</w:t>
            </w:r>
          </w:p>
        </w:tc>
        <w:tc>
          <w:tcPr>
            <w:tcW w:w="2551" w:type="dxa"/>
            <w:vAlign w:val="center"/>
          </w:tcPr>
          <w:p>
            <w:pPr>
              <w:pStyle w:val="15"/>
            </w:pPr>
            <w:r>
              <w:t>387.90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1348.55</w:t>
            </w:r>
          </w:p>
        </w:tc>
        <w:tc>
          <w:tcPr>
            <w:tcW w:w="2551" w:type="dxa"/>
            <w:vAlign w:val="center"/>
          </w:tcPr>
          <w:p>
            <w:pPr>
              <w:pStyle w:val="13"/>
            </w:pPr>
            <w:r>
              <w:t>1239.71</w:t>
            </w:r>
          </w:p>
        </w:tc>
        <w:tc>
          <w:tcPr>
            <w:tcW w:w="2551" w:type="dxa"/>
            <w:vAlign w:val="center"/>
          </w:tcPr>
          <w:p>
            <w:pPr>
              <w:pStyle w:val="13"/>
            </w:pPr>
            <w:r>
              <w:t>108.84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3"/>
            </w:pPr>
            <w:r>
              <w:t>20.70</w:t>
            </w:r>
          </w:p>
        </w:tc>
        <w:tc>
          <w:tcPr>
            <w:tcW w:w="2551" w:type="dxa"/>
            <w:vAlign w:val="center"/>
          </w:tcPr>
          <w:p>
            <w:pPr>
              <w:pStyle w:val="13"/>
            </w:pPr>
          </w:p>
        </w:tc>
        <w:tc>
          <w:tcPr>
            <w:tcW w:w="2551" w:type="dxa"/>
            <w:vAlign w:val="center"/>
          </w:tcPr>
          <w:p>
            <w:pPr>
              <w:pStyle w:val="13"/>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2010103</w:t>
            </w:r>
          </w:p>
        </w:tc>
        <w:tc>
          <w:tcPr>
            <w:tcW w:w="4535" w:type="dxa"/>
            <w:vAlign w:val="center"/>
          </w:tcPr>
          <w:p>
            <w:pPr>
              <w:pStyle w:val="12"/>
            </w:pPr>
            <w:r>
              <w:t>机关服务</w:t>
            </w:r>
          </w:p>
        </w:tc>
        <w:tc>
          <w:tcPr>
            <w:tcW w:w="2551" w:type="dxa"/>
            <w:vAlign w:val="center"/>
          </w:tcPr>
          <w:p>
            <w:pPr>
              <w:pStyle w:val="13"/>
            </w:pPr>
            <w:r>
              <w:t>20.70</w:t>
            </w:r>
          </w:p>
        </w:tc>
        <w:tc>
          <w:tcPr>
            <w:tcW w:w="2551" w:type="dxa"/>
            <w:vAlign w:val="center"/>
          </w:tcPr>
          <w:p>
            <w:pPr>
              <w:pStyle w:val="13"/>
            </w:pPr>
          </w:p>
        </w:tc>
        <w:tc>
          <w:tcPr>
            <w:tcW w:w="2551" w:type="dxa"/>
            <w:vAlign w:val="center"/>
          </w:tcPr>
          <w:p>
            <w:pPr>
              <w:pStyle w:val="13"/>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3"/>
            </w:pPr>
            <w:r>
              <w:t>1327.85</w:t>
            </w:r>
          </w:p>
        </w:tc>
        <w:tc>
          <w:tcPr>
            <w:tcW w:w="2551" w:type="dxa"/>
            <w:vAlign w:val="center"/>
          </w:tcPr>
          <w:p>
            <w:pPr>
              <w:pStyle w:val="13"/>
            </w:pPr>
            <w:r>
              <w:t>1239.71</w:t>
            </w:r>
          </w:p>
        </w:tc>
        <w:tc>
          <w:tcPr>
            <w:tcW w:w="2551" w:type="dxa"/>
            <w:vAlign w:val="center"/>
          </w:tcPr>
          <w:p>
            <w:pPr>
              <w:pStyle w:val="13"/>
            </w:pPr>
            <w:r>
              <w:t>88.14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3"/>
            </w:pPr>
            <w:r>
              <w:t>1239.71</w:t>
            </w:r>
          </w:p>
        </w:tc>
        <w:tc>
          <w:tcPr>
            <w:tcW w:w="2551" w:type="dxa"/>
            <w:vAlign w:val="center"/>
          </w:tcPr>
          <w:p>
            <w:pPr>
              <w:pStyle w:val="13"/>
            </w:pPr>
            <w:r>
              <w:t>1239.71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3"/>
            </w:pPr>
            <w:r>
              <w:t>88.14</w:t>
            </w:r>
          </w:p>
        </w:tc>
        <w:tc>
          <w:tcPr>
            <w:tcW w:w="2551" w:type="dxa"/>
            <w:vAlign w:val="center"/>
          </w:tcPr>
          <w:p>
            <w:pPr>
              <w:pStyle w:val="13"/>
            </w:pPr>
          </w:p>
        </w:tc>
        <w:tc>
          <w:tcPr>
            <w:tcW w:w="2551" w:type="dxa"/>
            <w:vAlign w:val="center"/>
          </w:tcPr>
          <w:p>
            <w:pPr>
              <w:pStyle w:val="13"/>
            </w:pPr>
            <w:r>
              <w:t>88.14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220.50</w:t>
            </w:r>
          </w:p>
        </w:tc>
        <w:tc>
          <w:tcPr>
            <w:tcW w:w="2551" w:type="dxa"/>
            <w:vAlign w:val="center"/>
          </w:tcPr>
          <w:p>
            <w:pPr>
              <w:pStyle w:val="13"/>
            </w:pPr>
          </w:p>
        </w:tc>
        <w:tc>
          <w:tcPr>
            <w:tcW w:w="2551" w:type="dxa"/>
            <w:vAlign w:val="center"/>
          </w:tcPr>
          <w:p>
            <w:pPr>
              <w:pStyle w:val="13"/>
            </w:pPr>
            <w:r>
              <w:t>220.50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3"/>
            </w:pPr>
            <w:r>
              <w:t>40.50</w:t>
            </w:r>
          </w:p>
        </w:tc>
        <w:tc>
          <w:tcPr>
            <w:tcW w:w="2551" w:type="dxa"/>
            <w:vAlign w:val="center"/>
          </w:tcPr>
          <w:p>
            <w:pPr>
              <w:pStyle w:val="13"/>
            </w:pPr>
          </w:p>
        </w:tc>
        <w:tc>
          <w:tcPr>
            <w:tcW w:w="2551" w:type="dxa"/>
            <w:vAlign w:val="center"/>
          </w:tcPr>
          <w:p>
            <w:pPr>
              <w:pStyle w:val="13"/>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3"/>
            </w:pPr>
            <w:r>
              <w:t>40.50</w:t>
            </w:r>
          </w:p>
        </w:tc>
        <w:tc>
          <w:tcPr>
            <w:tcW w:w="2551" w:type="dxa"/>
            <w:vAlign w:val="center"/>
          </w:tcPr>
          <w:p>
            <w:pPr>
              <w:pStyle w:val="13"/>
            </w:pPr>
          </w:p>
        </w:tc>
        <w:tc>
          <w:tcPr>
            <w:tcW w:w="2551" w:type="dxa"/>
            <w:vAlign w:val="center"/>
          </w:tcPr>
          <w:p>
            <w:pPr>
              <w:pStyle w:val="13"/>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95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1239.71</w:t>
            </w:r>
          </w:p>
        </w:tc>
        <w:tc>
          <w:tcPr>
            <w:tcW w:w="2551" w:type="dxa"/>
            <w:vAlign w:val="center"/>
          </w:tcPr>
          <w:p>
            <w:pPr>
              <w:pStyle w:val="15"/>
            </w:pPr>
            <w:r>
              <w:t>1063.23</w:t>
            </w:r>
          </w:p>
        </w:tc>
        <w:tc>
          <w:tcPr>
            <w:tcW w:w="2551" w:type="dxa"/>
            <w:vAlign w:val="center"/>
          </w:tcPr>
          <w:p>
            <w:pPr>
              <w:pStyle w:val="15"/>
            </w:pPr>
            <w:r>
              <w:t>176.48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986.48</w:t>
            </w:r>
          </w:p>
        </w:tc>
        <w:tc>
          <w:tcPr>
            <w:tcW w:w="2551" w:type="dxa"/>
            <w:vAlign w:val="center"/>
          </w:tcPr>
          <w:p>
            <w:pPr>
              <w:pStyle w:val="13"/>
            </w:pPr>
            <w:r>
              <w:t>986.48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202.44</w:t>
            </w:r>
          </w:p>
        </w:tc>
        <w:tc>
          <w:tcPr>
            <w:tcW w:w="2551" w:type="dxa"/>
            <w:vAlign w:val="center"/>
          </w:tcPr>
          <w:p>
            <w:pPr>
              <w:pStyle w:val="13"/>
            </w:pPr>
            <w:r>
              <w:t>202.44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269.83</w:t>
            </w:r>
          </w:p>
        </w:tc>
        <w:tc>
          <w:tcPr>
            <w:tcW w:w="2551" w:type="dxa"/>
            <w:vAlign w:val="center"/>
          </w:tcPr>
          <w:p>
            <w:pPr>
              <w:pStyle w:val="13"/>
            </w:pPr>
            <w:r>
              <w:t>269.83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10.54</w:t>
            </w:r>
          </w:p>
        </w:tc>
        <w:tc>
          <w:tcPr>
            <w:tcW w:w="2551" w:type="dxa"/>
            <w:vAlign w:val="center"/>
          </w:tcPr>
          <w:p>
            <w:pPr>
              <w:pStyle w:val="13"/>
            </w:pPr>
            <w:r>
              <w:t>10.54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209.13</w:t>
            </w:r>
          </w:p>
        </w:tc>
        <w:tc>
          <w:tcPr>
            <w:tcW w:w="2551" w:type="dxa"/>
            <w:vAlign w:val="center"/>
          </w:tcPr>
          <w:p>
            <w:pPr>
              <w:pStyle w:val="13"/>
            </w:pPr>
            <w:r>
              <w:t>209.13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108.96</w:t>
            </w:r>
          </w:p>
        </w:tc>
        <w:tc>
          <w:tcPr>
            <w:tcW w:w="2551" w:type="dxa"/>
            <w:vAlign w:val="center"/>
          </w:tcPr>
          <w:p>
            <w:pPr>
              <w:pStyle w:val="13"/>
            </w:pPr>
            <w:r>
              <w:t>108.96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35.04</w:t>
            </w:r>
          </w:p>
        </w:tc>
        <w:tc>
          <w:tcPr>
            <w:tcW w:w="2551" w:type="dxa"/>
            <w:vAlign w:val="center"/>
          </w:tcPr>
          <w:p>
            <w:pPr>
              <w:pStyle w:val="13"/>
            </w:pPr>
            <w:r>
              <w:t>35.04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41.71</w:t>
            </w:r>
          </w:p>
        </w:tc>
        <w:tc>
          <w:tcPr>
            <w:tcW w:w="2551" w:type="dxa"/>
            <w:vAlign w:val="center"/>
          </w:tcPr>
          <w:p>
            <w:pPr>
              <w:pStyle w:val="13"/>
            </w:pPr>
            <w:r>
              <w:t>41.71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81.72</w:t>
            </w:r>
          </w:p>
        </w:tc>
        <w:tc>
          <w:tcPr>
            <w:tcW w:w="2551" w:type="dxa"/>
            <w:vAlign w:val="center"/>
          </w:tcPr>
          <w:p>
            <w:pPr>
              <w:pStyle w:val="13"/>
            </w:pPr>
            <w:r>
              <w:t>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171.28</w:t>
            </w:r>
          </w:p>
        </w:tc>
        <w:tc>
          <w:tcPr>
            <w:tcW w:w="2551" w:type="dxa"/>
            <w:vAlign w:val="center"/>
          </w:tcPr>
          <w:p>
            <w:pPr>
              <w:pStyle w:val="13"/>
            </w:pPr>
          </w:p>
        </w:tc>
        <w:tc>
          <w:tcPr>
            <w:tcW w:w="2551" w:type="dxa"/>
            <w:vAlign w:val="center"/>
          </w:tcPr>
          <w:p>
            <w:pPr>
              <w:pStyle w:val="13"/>
            </w:pPr>
            <w:r>
              <w:t>171.28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48.00</w:t>
            </w:r>
          </w:p>
        </w:tc>
        <w:tc>
          <w:tcPr>
            <w:tcW w:w="2551" w:type="dxa"/>
            <w:vAlign w:val="center"/>
          </w:tcPr>
          <w:p>
            <w:pPr>
              <w:pStyle w:val="13"/>
            </w:pPr>
          </w:p>
        </w:tc>
        <w:tc>
          <w:tcPr>
            <w:tcW w:w="2551"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21.78</w:t>
            </w:r>
          </w:p>
        </w:tc>
        <w:tc>
          <w:tcPr>
            <w:tcW w:w="2551" w:type="dxa"/>
            <w:vAlign w:val="center"/>
          </w:tcPr>
          <w:p>
            <w:pPr>
              <w:pStyle w:val="13"/>
            </w:pPr>
          </w:p>
        </w:tc>
        <w:tc>
          <w:tcPr>
            <w:tcW w:w="2551" w:type="dxa"/>
            <w:vAlign w:val="center"/>
          </w:tcPr>
          <w:p>
            <w:pPr>
              <w:pStyle w:val="13"/>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6.25</w:t>
            </w:r>
          </w:p>
        </w:tc>
        <w:tc>
          <w:tcPr>
            <w:tcW w:w="2551" w:type="dxa"/>
            <w:vAlign w:val="center"/>
          </w:tcPr>
          <w:p>
            <w:pPr>
              <w:pStyle w:val="13"/>
            </w:pPr>
          </w:p>
        </w:tc>
        <w:tc>
          <w:tcPr>
            <w:tcW w:w="2551" w:type="dxa"/>
            <w:vAlign w:val="center"/>
          </w:tcPr>
          <w:p>
            <w:pPr>
              <w:pStyle w:val="13"/>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5.06</w:t>
            </w:r>
          </w:p>
        </w:tc>
        <w:tc>
          <w:tcPr>
            <w:tcW w:w="2551" w:type="dxa"/>
            <w:vAlign w:val="center"/>
          </w:tcPr>
          <w:p>
            <w:pPr>
              <w:pStyle w:val="13"/>
            </w:pPr>
          </w:p>
        </w:tc>
        <w:tc>
          <w:tcPr>
            <w:tcW w:w="2551" w:type="dxa"/>
            <w:vAlign w:val="center"/>
          </w:tcPr>
          <w:p>
            <w:pPr>
              <w:pStyle w:val="13"/>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31.80</w:t>
            </w:r>
          </w:p>
        </w:tc>
        <w:tc>
          <w:tcPr>
            <w:tcW w:w="2551" w:type="dxa"/>
            <w:vAlign w:val="center"/>
          </w:tcPr>
          <w:p>
            <w:pPr>
              <w:pStyle w:val="13"/>
            </w:pPr>
          </w:p>
        </w:tc>
        <w:tc>
          <w:tcPr>
            <w:tcW w:w="2551" w:type="dxa"/>
            <w:vAlign w:val="center"/>
          </w:tcPr>
          <w:p>
            <w:pPr>
              <w:pStyle w:val="13"/>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76.75</w:t>
            </w:r>
          </w:p>
        </w:tc>
        <w:tc>
          <w:tcPr>
            <w:tcW w:w="2551" w:type="dxa"/>
            <w:vAlign w:val="center"/>
          </w:tcPr>
          <w:p>
            <w:pPr>
              <w:pStyle w:val="13"/>
            </w:pPr>
            <w:r>
              <w:t>76.75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70.24</w:t>
            </w:r>
          </w:p>
        </w:tc>
        <w:tc>
          <w:tcPr>
            <w:tcW w:w="2551" w:type="dxa"/>
            <w:vAlign w:val="center"/>
          </w:tcPr>
          <w:p>
            <w:pPr>
              <w:pStyle w:val="13"/>
            </w:pPr>
            <w:r>
              <w:t>70.24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6.48</w:t>
            </w:r>
          </w:p>
        </w:tc>
        <w:tc>
          <w:tcPr>
            <w:tcW w:w="2551" w:type="dxa"/>
            <w:vAlign w:val="center"/>
          </w:tcPr>
          <w:p>
            <w:pPr>
              <w:pStyle w:val="13"/>
            </w:pPr>
            <w:r>
              <w:t>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3903"/>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3333"/>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7617"/>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13.4</w:t>
            </w:r>
          </w:p>
        </w:tc>
        <w:tc>
          <w:tcPr>
            <w:tcW w:w="2381" w:type="dxa"/>
            <w:vAlign w:val="center"/>
          </w:tcPr>
          <w:p>
            <w:pPr>
              <w:pStyle w:val="15"/>
              <w:rPr>
                <w:rFonts w:hint="default" w:eastAsia="方正书宋_GBK"/>
                <w:lang w:val="en-US" w:eastAsia="zh-CN"/>
              </w:rPr>
            </w:pPr>
            <w:r>
              <w:rPr>
                <w:rFonts w:hint="eastAsia"/>
                <w:lang w:val="en-US" w:eastAsia="zh-CN"/>
              </w:rPr>
              <w:t>13.4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rPr>
                <w:rFonts w:hint="default" w:eastAsia="方正书宋_GBK"/>
                <w:lang w:val="en-US" w:eastAsia="zh-CN"/>
              </w:rPr>
            </w:pPr>
            <w:r>
              <w:rPr>
                <w:rFonts w:hint="eastAsia"/>
                <w:lang w:val="en-US" w:eastAsia="zh-CN"/>
              </w:rPr>
              <w:t>13.4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其中：公务用车购置费</w:t>
            </w:r>
          </w:p>
        </w:tc>
        <w:tc>
          <w:tcPr>
            <w:tcW w:w="2381" w:type="dxa"/>
            <w:vAlign w:val="center"/>
          </w:tcPr>
          <w:p>
            <w:pPr>
              <w:pStyle w:val="13"/>
            </w:pPr>
            <w:r>
              <w:t>10.00</w:t>
            </w:r>
          </w:p>
        </w:tc>
        <w:tc>
          <w:tcPr>
            <w:tcW w:w="2381" w:type="dxa"/>
            <w:vAlign w:val="center"/>
          </w:tcPr>
          <w:p>
            <w:pPr>
              <w:pStyle w:val="13"/>
            </w:pPr>
            <w:r>
              <w:t>10.00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公务用车运行维护费</w:t>
            </w:r>
          </w:p>
        </w:tc>
        <w:tc>
          <w:tcPr>
            <w:tcW w:w="2381" w:type="dxa"/>
            <w:vAlign w:val="center"/>
          </w:tcPr>
          <w:p>
            <w:pPr>
              <w:pStyle w:val="13"/>
            </w:pPr>
            <w:r>
              <w:t>3.40</w:t>
            </w:r>
          </w:p>
        </w:tc>
        <w:tc>
          <w:tcPr>
            <w:tcW w:w="2381" w:type="dxa"/>
            <w:vAlign w:val="center"/>
          </w:tcPr>
          <w:p>
            <w:pPr>
              <w:pStyle w:val="13"/>
            </w:pPr>
            <w:r>
              <w:t>3.40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石家庄市藁城区梅花镇人民政府2023年部门预算信息公开情况说明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石家庄市藁城区梅花镇人民政府2023年部门预算信息公开情况说明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预算法》、《地方预决算公开操作规程》和《关于进一步推进预算公开工作的实施意见》规定，现将石家庄市藁城区梅花镇人民政府2023年部门预算公开如下：</w:t>
      </w:r>
    </w:p>
    <w:p>
      <w:pPr>
        <w:spacing w:before="10" w:after="10" w:line="360" w:lineRule="auto"/>
        <w:ind w:firstLine="640"/>
        <w:jc w:val="left"/>
        <w:outlineLvl w:val="2"/>
      </w:pPr>
      <w:bookmarkStart w:id="9" w:name="_Toc3118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根据《石家庄市藁城区梅花镇人民政府职能配置、内设机构和人员编制规定》，石家庄市藁城区梅花镇人民政府的主要职责是：梅花镇政府职责</w:t>
      </w:r>
    </w:p>
    <w:p>
      <w:pPr>
        <w:pStyle w:val="17"/>
      </w:pPr>
      <w:r>
        <w:t>一、宣传贯彻执行党的路线方针政策和党中央，上级党组织的决议，贯彻执行法律、法规、规章和上级政府的决定、命令，执行本级人民代表大会的决议。</w:t>
      </w:r>
    </w:p>
    <w:p>
      <w:pPr>
        <w:pStyle w:val="17"/>
      </w:pPr>
      <w:r>
        <w:t>二、讨论和决定本镇经济建设、政治建设、文化建设、社会建设、生态文明建设和党的建设以及乡村振兴中的重大问题，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pStyle w:val="17"/>
      </w:pPr>
      <w:r>
        <w:t>五、承办上级党委、政府交办的其他事项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石家庄市藁城区梅花镇人民政府本级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29893"/>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按照预算管理有关规定，目前我省部门预算的编制实行综合预算管理，即全部收入和支出都反映在预算中。石家庄市藁城区梅花镇人民政府机关及所属事业单位的收支包含在部门预算中。</w:t>
      </w:r>
    </w:p>
    <w:p>
      <w:pPr>
        <w:pStyle w:val="18"/>
      </w:pPr>
      <w:r>
        <w:t>1、收入说明</w:t>
      </w:r>
    </w:p>
    <w:p>
      <w:pPr>
        <w:pStyle w:val="18"/>
      </w:pPr>
      <w:r>
        <w:t>反映本部门当年全部收入。2023年预算收入1447.61万元，其中：一般公共预算收入1447.61万元，基金预算收入0万元，财政专户核拨收入0万元，其他来源收入0万元。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w:t>
      </w:r>
      <w:r>
        <w:rPr>
          <w:rFonts w:hint="eastAsia"/>
          <w:lang w:eastAsia="zh-CN"/>
        </w:rPr>
        <w:t>本</w:t>
      </w:r>
      <w:r>
        <w:t>部门支出预算为1447.61万元，其中基本支出1239.71万元，包括人员经费1063.23万元和日常公用经费176.48万元；项目支出207.9万元，主要为农村独生子女费4万元、度学区工会费17.21万元、原经贸回乡涉军人员生活补贴3.89万元、临时人员工资（综合工作经费）18.06万元、综合工作经费88.14万元、马山线、衡井线占地补助经费14.45万元、人居环境工作经费40.5万元、政府工会费2.64万元、农村文化建设资金19万元、农村独生子女费4万元。</w:t>
      </w:r>
    </w:p>
    <w:p>
      <w:pPr>
        <w:pStyle w:val="18"/>
      </w:pPr>
      <w:r>
        <w:t>3、比上年增减情况</w:t>
      </w:r>
    </w:p>
    <w:p>
      <w:pPr>
        <w:pStyle w:val="18"/>
      </w:pPr>
      <w:r>
        <w:t>2023年</w:t>
      </w:r>
      <w:r>
        <w:rPr>
          <w:rFonts w:hint="eastAsia"/>
          <w:lang w:eastAsia="zh-CN"/>
        </w:rPr>
        <w:t>本</w:t>
      </w:r>
      <w:r>
        <w:t>部门预算收支安排1447.61万元，较2022年减少1312.04万元，其中：基本支出减少277.49万元，主要是人员减少，相应减少人员经费和日常公用经费；项目支出减少1034.6万元，主要是去年有廉西大街拆迁项目。</w:t>
      </w:r>
    </w:p>
    <w:p>
      <w:pPr>
        <w:spacing w:before="10" w:after="10" w:line="360" w:lineRule="auto"/>
        <w:ind w:firstLine="640"/>
        <w:jc w:val="left"/>
        <w:outlineLvl w:val="2"/>
      </w:pPr>
      <w:bookmarkStart w:id="11" w:name="_Toc14584"/>
      <w:r>
        <w:rPr>
          <w:rFonts w:ascii="黑体" w:hAnsi="黑体" w:eastAsia="黑体" w:cs="黑体"/>
          <w:color w:val="000000"/>
          <w:sz w:val="32"/>
        </w:rPr>
        <w:t>三、机关运行经费安排情况</w:t>
      </w:r>
      <w:bookmarkEnd w:id="11"/>
    </w:p>
    <w:p>
      <w:pPr>
        <w:pStyle w:val="19"/>
      </w:pPr>
      <w:r>
        <w:t>2023年，</w:t>
      </w:r>
      <w:r>
        <w:rPr>
          <w:rFonts w:hint="eastAsia"/>
          <w:lang w:eastAsia="zh-CN"/>
        </w:rPr>
        <w:t>本</w:t>
      </w:r>
      <w:r>
        <w:t>部门机关运行经费共计安排176.48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15230"/>
      <w:r>
        <w:rPr>
          <w:rFonts w:ascii="黑体" w:hAnsi="黑体" w:eastAsia="黑体" w:cs="黑体"/>
          <w:color w:val="000000"/>
          <w:sz w:val="32"/>
        </w:rPr>
        <w:t>财政拨款“三公”经费预算情况及增减变化原因</w:t>
      </w:r>
      <w:bookmarkEnd w:id="12"/>
    </w:p>
    <w:p>
      <w:pPr>
        <w:pStyle w:val="20"/>
      </w:pPr>
      <w:r>
        <w:t>2023年，</w:t>
      </w:r>
      <w:r>
        <w:rPr>
          <w:rFonts w:hint="eastAsia"/>
          <w:lang w:eastAsia="zh-CN"/>
        </w:rPr>
        <w:t>本</w:t>
      </w:r>
      <w:r>
        <w:t>部门财政拨款“三公”经费预算安排</w:t>
      </w:r>
      <w:r>
        <w:rPr>
          <w:rFonts w:hint="eastAsia"/>
          <w:lang w:val="en-US" w:eastAsia="zh-CN"/>
        </w:rPr>
        <w:t>13.4</w:t>
      </w:r>
      <w:r>
        <w:t>万元，其中：因公出国（境）费0万元，与上年持平，无增减变化；公务用车购置及运维费</w:t>
      </w:r>
      <w:r>
        <w:rPr>
          <w:rFonts w:hint="eastAsia"/>
          <w:lang w:val="en-US" w:eastAsia="zh-CN"/>
        </w:rPr>
        <w:t>13.4</w:t>
      </w:r>
      <w:r>
        <w:t>万元（其中：公务用车购置费</w:t>
      </w:r>
      <w:r>
        <w:rPr>
          <w:rFonts w:hint="eastAsia"/>
          <w:lang w:val="en-US" w:eastAsia="zh-CN"/>
        </w:rPr>
        <w:t>10</w:t>
      </w:r>
      <w:r>
        <w:t>万元，与上年持平，无增减变化；公务用车运行维护费3.4万元，较上年</w:t>
      </w:r>
      <w:r>
        <w:rPr>
          <w:rFonts w:hint="eastAsia"/>
          <w:lang w:val="en-US" w:eastAsia="zh-CN"/>
        </w:rPr>
        <w:t>增加</w:t>
      </w:r>
      <w:r>
        <w:t>1</w:t>
      </w:r>
      <w:r>
        <w:rPr>
          <w:rFonts w:hint="eastAsia"/>
          <w:lang w:val="en-US" w:eastAsia="zh-CN"/>
        </w:rPr>
        <w:t>.77</w:t>
      </w:r>
      <w:r>
        <w:t>万元，原因是</w:t>
      </w:r>
      <w:r>
        <w:rPr>
          <w:rFonts w:hint="eastAsia"/>
          <w:lang w:eastAsia="zh-CN"/>
        </w:rPr>
        <w:t>公车数量增加。</w:t>
      </w:r>
      <w:r>
        <w:t>)；公务接待费0万元，与上年持平，无增减变化。“三公”经费与上年相比</w:t>
      </w:r>
      <w:r>
        <w:rPr>
          <w:rFonts w:hint="eastAsia"/>
          <w:lang w:eastAsia="zh-CN"/>
        </w:rPr>
        <w:t>增加</w:t>
      </w:r>
      <w:r>
        <w:rPr>
          <w:rFonts w:hint="eastAsia"/>
          <w:lang w:val="en-US" w:eastAsia="zh-CN"/>
        </w:rPr>
        <w:t>1.77</w:t>
      </w:r>
      <w:r>
        <w:t>万元，原因是</w:t>
      </w:r>
      <w:r>
        <w:rPr>
          <w:rFonts w:hint="eastAsia"/>
          <w:lang w:eastAsia="zh-CN"/>
        </w:rPr>
        <w:t>公车数量增加导致</w:t>
      </w:r>
      <w:r>
        <w:t>公车维护</w:t>
      </w:r>
      <w:r>
        <w:rPr>
          <w:rFonts w:hint="eastAsia"/>
          <w:lang w:eastAsia="zh-CN"/>
        </w:rPr>
        <w:t>费用增加。</w:t>
      </w:r>
    </w:p>
    <w:p>
      <w:pPr>
        <w:spacing w:before="10" w:after="10" w:line="360" w:lineRule="auto"/>
        <w:ind w:firstLine="640"/>
        <w:jc w:val="left"/>
        <w:outlineLvl w:val="2"/>
      </w:pPr>
      <w:bookmarkStart w:id="13" w:name="_Toc15358"/>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坚持以习近平新时代中国特色社会主义思想为指导，按照上级机关关于乡镇工作的安排，严格执行财务制度及相关规定合理安排使用资金，提高财政资金使用效益，确保全镇在经济发展、环境整治、生态文明建设、社会建设、党的建设等方面取得进一步发展，加强农村基础设施建设，完善农业社会化服务体系。加快农村教育、卫生、文化、体育、环境保护等社会事业发展，保障便民服务中心、执法大队、</w:t>
      </w:r>
      <w:r>
        <w:rPr>
          <w:rFonts w:hint="eastAsia"/>
          <w:lang w:val="en-US" w:eastAsia="zh-CN"/>
        </w:rPr>
        <w:t>脱贫</w:t>
      </w:r>
      <w:r>
        <w:t>攻坚、安全生产、村级补贴、环境治理、综合事务等方面的经费，稳定农村基本经营制度，维护农民的主体地位和权益,化解农村社会矛盾，保持农村社会稳定，推动农村民主政治建设和村民自治，提高基层自治能力，促进梅花镇繁荣稳定发展，进一步提升梅花镇政府的治理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1.加大项目升级力度，在经济升级上取得新突破。</w:t>
      </w:r>
    </w:p>
    <w:p>
      <w:pPr>
        <w:pStyle w:val="22"/>
      </w:pPr>
      <w:r>
        <w:t>绩效目标：结合供给侧改革政策，加大辖区内项目的实施力度，保障经济指标完成 。</w:t>
      </w:r>
    </w:p>
    <w:p>
      <w:pPr>
        <w:pStyle w:val="22"/>
      </w:pPr>
      <w:r>
        <w:t>绩效指标：完成上级下达的各项经济指标及财税任务达到100%。</w:t>
      </w:r>
    </w:p>
    <w:p>
      <w:pPr>
        <w:pStyle w:val="22"/>
      </w:pPr>
      <w:r>
        <w:t>2.加强环境整治，在生态文明建设上取得新成效。</w:t>
      </w:r>
    </w:p>
    <w:p>
      <w:pPr>
        <w:pStyle w:val="22"/>
      </w:pPr>
      <w:r>
        <w:t>绩效目标：继续巩固双代成果，持续加大环境整治力度，严防“散乱污”企业死灰复燃。同时加大散煤清理、抑制扬尘、禁烧、VOCs深度治理等工作力度。</w:t>
      </w:r>
    </w:p>
    <w:p>
      <w:pPr>
        <w:pStyle w:val="22"/>
      </w:pPr>
      <w:r>
        <w:t>绩效指标：现有的三个污水处理站，利用率达到100%。镇执法队负责将涉及环保、土地、水务等各类督查案件彻底整改到位率达到95%以上，增强拆除“双违”力度，扩大植树绿化覆盖率，力争全镇生态环境大幅改善，群众满意度达到90%以上。</w:t>
      </w:r>
    </w:p>
    <w:p>
      <w:pPr>
        <w:pStyle w:val="22"/>
      </w:pPr>
      <w:r>
        <w:t xml:space="preserve">3.强化统筹协调，在实现乡村振兴上取得新篇章。 </w:t>
      </w:r>
    </w:p>
    <w:p>
      <w:pPr>
        <w:pStyle w:val="22"/>
      </w:pPr>
      <w:r>
        <w:t>绩效目标：扎实做好农村人居环境整治工作，充分调动镇、村积极性，解决环境卫生责任全覆盖问题。</w:t>
      </w:r>
    </w:p>
    <w:p>
      <w:pPr>
        <w:pStyle w:val="22"/>
      </w:pPr>
      <w:r>
        <w:t>绩效指标：严格执行“巷长制”，落实具体责任人的责任；与绿畅公司配合，落实农村卫生管理常态化机制；加强对环卫人员的管理及对村民爱护身边卫生环境的宣传。</w:t>
      </w:r>
    </w:p>
    <w:p>
      <w:pPr>
        <w:pStyle w:val="22"/>
      </w:pPr>
      <w:r>
        <w:t>4.狠抓民生改善，在社会建设上取得新进展。</w:t>
      </w:r>
    </w:p>
    <w:p>
      <w:pPr>
        <w:pStyle w:val="22"/>
      </w:pPr>
      <w:r>
        <w:t>绩效目标：承担社会救助体系建设，负责农民居民最低生活保障，五保供养、医疗救助。进一步完善“五大安全”、信访等工作机制，加强社会治安综合治理，及时解决矛盾纠纷，防治矛盾积累和上行，切实把各种不稳定因素消除在基层和萌芽状态，争创“六无”乡镇。</w:t>
      </w:r>
    </w:p>
    <w:p>
      <w:pPr>
        <w:pStyle w:val="22"/>
      </w:pPr>
      <w:r>
        <w:t>绩效指标：从2023年1月1日起，对申请救助且符合救助条件的人员100%实施救助，确保不发生非正常死亡事件；得到救助的人员满意度达到80%以上。信访达到零非访。</w:t>
      </w:r>
    </w:p>
    <w:p>
      <w:pPr>
        <w:pStyle w:val="22"/>
      </w:pPr>
      <w:r>
        <w:t>5.坚持从严从实，在加强党的建设上培育新力量。</w:t>
      </w:r>
    </w:p>
    <w:p>
      <w:pPr>
        <w:pStyle w:val="22"/>
      </w:pPr>
      <w:r>
        <w:t>绩效目标：严格落实中央八项规定和“一问责八清理”有关要求，加大</w:t>
      </w:r>
      <w:r>
        <w:rPr>
          <w:rFonts w:hint="eastAsia"/>
          <w:lang w:eastAsia="zh-CN"/>
        </w:rPr>
        <w:t>全面从严治党</w:t>
      </w:r>
      <w:r>
        <w:t>管党力度，全面深化机关作风整顿，营造风清气正政治生态，建设廉洁高效干部队伍。</w:t>
      </w:r>
    </w:p>
    <w:p>
      <w:pPr>
        <w:pStyle w:val="22"/>
      </w:pPr>
      <w:r>
        <w:t>绩效指标：进一步做好党员干部管理培训，利用多种形式，强化党员干部“四个意识”、坚持“四个自信”，牢记初心和使命，今年内将所有党员干部轮训1次，群众满意率达到90%以上。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1.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pPr>
        <w:pStyle w:val="23"/>
      </w:pPr>
      <w:r>
        <w:t>2.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3"/>
      </w:pPr>
      <w:r>
        <w:t>3.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p>
    <w:p>
      <w:pPr>
        <w:pStyle w:val="23"/>
      </w:pPr>
      <w:r>
        <w:t>4.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w:t>
      </w:r>
    </w:p>
    <w:p>
      <w:pPr>
        <w:pStyle w:val="23"/>
      </w:pPr>
      <w:r>
        <w:t>5.强化预算约束。推行全面预算理念，在科学合理编制部门预算的基础上，同步编制机关内部预算，对部门预算中各项经费进一步细化，分类施控，严格执行，实现对经济活动全程管控，确保所有工作都在预算范围内有序进行，以此强化预算源头管控和精细化管理。</w:t>
      </w:r>
    </w:p>
    <w:p>
      <w:pPr>
        <w:pStyle w:val="23"/>
      </w:pPr>
      <w:r>
        <w:t>6.强化流程管理。推进全面流程化管理，在专项资金分配、预算编制、财务审批和报销、资产管理、经济合同管理及政府采购等方面，都实施流程化、规范化管理模式，编制了财务管理操作流程，并设置了项目立项审议、大额资金通报、经济合同审批等环节，以财务管理为“牛鼻子”，全面提高内部管理水平。</w:t>
      </w:r>
    </w:p>
    <w:p>
      <w:pPr>
        <w:pStyle w:val="23"/>
      </w:pPr>
      <w:r>
        <w:t>7.强化集中采购。树立全面节约意识，严控一般性行政经费支出。特别是在办公设备购置和办公用品使用方面，按照厉行节约、统筹调剂、合理使用的原则加强审核，严控支出，并逐步取得了一定成效。</w:t>
      </w:r>
    </w:p>
    <w:p>
      <w:pPr>
        <w:pStyle w:val="23"/>
      </w:pPr>
      <w:r>
        <w:t>8.强化专项管理。第一、建立专项资金管理项目库。实行专项资金全流程电子化管理。第二、科学合理分配各类专项资金，做到以事定钱，统筹使用，不固化资金使用方向和金额，集中财力办大事。第三、严格按程序和时效分配资金，并提出每一笔资金的分配方案和流程。第四、全面实施资金分配过程全公开，以尽量减少资金分配的随意性和人为因素影响。</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预算项目绩效目标</w:t>
      </w:r>
    </w:p>
    <w:p>
      <w:pPr>
        <w:spacing w:before="0" w:after="0"/>
        <w:ind w:firstLine="560"/>
        <w:jc w:val="left"/>
        <w:outlineLvl w:val="9"/>
      </w:pPr>
      <w:r>
        <w:rPr>
          <w:rFonts w:ascii="方正仿宋_GBK" w:hAnsi="方正仿宋_GBK" w:eastAsia="方正仿宋_GBK" w:cs="方正仿宋_GBK"/>
          <w:b/>
          <w:color w:val="000000"/>
          <w:sz w:val="28"/>
        </w:rPr>
        <w:t>1、梅花镇2023年度学区工会费绩效目标表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1.保障工会工作的正常运转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覆盖率达到工会要求</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2835" w:type="dxa"/>
            <w:vAlign w:val="center"/>
          </w:tcPr>
          <w:p>
            <w:pPr>
              <w:pStyle w:val="12"/>
            </w:pPr>
            <w:r>
              <w:t>按照工会安排资金数量上缴工会费</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2835" w:type="dxa"/>
            <w:vAlign w:val="center"/>
          </w:tcPr>
          <w:p>
            <w:pPr>
              <w:pStyle w:val="12"/>
            </w:pPr>
            <w:r>
              <w:t>按照区工会安排时间进度上缴工会费</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严控成本在预算范围内，合理运用资金</w:t>
            </w:r>
          </w:p>
        </w:tc>
        <w:tc>
          <w:tcPr>
            <w:tcW w:w="2551" w:type="dxa"/>
            <w:vAlign w:val="center"/>
          </w:tcPr>
          <w:p>
            <w:pPr>
              <w:pStyle w:val="12"/>
            </w:pPr>
            <w:r>
              <w:t xml:space="preserve">≤17.21万元 </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工会工作在全镇形成的重要影响得到认可</w:t>
            </w:r>
          </w:p>
        </w:tc>
        <w:tc>
          <w:tcPr>
            <w:tcW w:w="2551" w:type="dxa"/>
            <w:vAlign w:val="center"/>
          </w:tcPr>
          <w:p>
            <w:pPr>
              <w:pStyle w:val="12"/>
            </w:pPr>
            <w:r>
              <w:t>≥90%</w:t>
            </w:r>
          </w:p>
        </w:tc>
        <w:tc>
          <w:tcPr>
            <w:tcW w:w="2268"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对政府供给工作的满意度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2、梅花镇2023年度政府工会费绩效目标表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1.保障工会工作的正常运转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覆盖率达到工会要求</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2835" w:type="dxa"/>
            <w:vAlign w:val="center"/>
          </w:tcPr>
          <w:p>
            <w:pPr>
              <w:pStyle w:val="12"/>
            </w:pPr>
            <w:r>
              <w:t>按照工会安排资金数量上缴工会费</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2835" w:type="dxa"/>
            <w:vAlign w:val="center"/>
          </w:tcPr>
          <w:p>
            <w:pPr>
              <w:pStyle w:val="12"/>
            </w:pPr>
            <w:r>
              <w:t>按照区工会安排时间进度上缴工会费</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项目成本控制在预算范围内</w:t>
            </w:r>
          </w:p>
        </w:tc>
        <w:tc>
          <w:tcPr>
            <w:tcW w:w="2551" w:type="dxa"/>
            <w:vAlign w:val="center"/>
          </w:tcPr>
          <w:p>
            <w:pPr>
              <w:pStyle w:val="12"/>
            </w:pPr>
            <w:r>
              <w:t>≤2.64万元</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工会工作在全镇形成的重要影响得到认可</w:t>
            </w:r>
          </w:p>
        </w:tc>
        <w:tc>
          <w:tcPr>
            <w:tcW w:w="2551" w:type="dxa"/>
            <w:vAlign w:val="center"/>
          </w:tcPr>
          <w:p>
            <w:pPr>
              <w:pStyle w:val="12"/>
            </w:pPr>
            <w:r>
              <w:t>≥90%</w:t>
            </w:r>
          </w:p>
        </w:tc>
        <w:tc>
          <w:tcPr>
            <w:tcW w:w="2268" w:type="dxa"/>
            <w:vAlign w:val="center"/>
          </w:tcPr>
          <w:p>
            <w:pPr>
              <w:pStyle w:val="12"/>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群众对当年工作的满意数量占总数的比例</w:t>
            </w:r>
          </w:p>
        </w:tc>
        <w:tc>
          <w:tcPr>
            <w:tcW w:w="2551" w:type="dxa"/>
            <w:vAlign w:val="center"/>
          </w:tcPr>
          <w:p>
            <w:pPr>
              <w:pStyle w:val="12"/>
            </w:pPr>
            <w:r>
              <w:t>≥90%</w:t>
            </w:r>
          </w:p>
        </w:tc>
        <w:tc>
          <w:tcPr>
            <w:tcW w:w="2268" w:type="dxa"/>
            <w:vAlign w:val="center"/>
          </w:tcPr>
          <w:p>
            <w:pPr>
              <w:pStyle w:val="12"/>
            </w:pPr>
            <w:r>
              <w:t>随机走访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3、梅花镇2023年度综合工作经费绩效目标表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1.保证各村及镇政府各项工作的顺利完成</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包含覆盖率</w:t>
            </w:r>
          </w:p>
        </w:tc>
        <w:tc>
          <w:tcPr>
            <w:tcW w:w="2835" w:type="dxa"/>
            <w:vAlign w:val="center"/>
          </w:tcPr>
          <w:p>
            <w:pPr>
              <w:pStyle w:val="12"/>
            </w:pPr>
            <w:r>
              <w:t>各项工作完成情况覆盖的村级个数</w:t>
            </w:r>
          </w:p>
        </w:tc>
        <w:tc>
          <w:tcPr>
            <w:tcW w:w="2551" w:type="dxa"/>
            <w:vAlign w:val="center"/>
          </w:tcPr>
          <w:p>
            <w:pPr>
              <w:pStyle w:val="12"/>
            </w:pPr>
            <w:r>
              <w:t>≥19个数</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能够保障资金的工作任务占总任务量的比例</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严格成本，合理使用预算资金</w:t>
            </w:r>
          </w:p>
        </w:tc>
        <w:tc>
          <w:tcPr>
            <w:tcW w:w="2551" w:type="dxa"/>
            <w:vAlign w:val="center"/>
          </w:tcPr>
          <w:p>
            <w:pPr>
              <w:pStyle w:val="12"/>
            </w:pPr>
            <w:r>
              <w:t>≤88.14万元</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保障政府正常开展为民服务工作</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2835" w:type="dxa"/>
            <w:vAlign w:val="center"/>
          </w:tcPr>
          <w:p>
            <w:pPr>
              <w:pStyle w:val="12"/>
            </w:pPr>
            <w:r>
              <w:t>保障政府正常开展为民服务工作</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4、梅花镇2023年临时人员工资（综合工作经费）绩效目标表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1.保障梅花镇机关临时聘用人员工资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临时人员的人数</w:t>
            </w:r>
          </w:p>
        </w:tc>
        <w:tc>
          <w:tcPr>
            <w:tcW w:w="2835" w:type="dxa"/>
            <w:vAlign w:val="center"/>
          </w:tcPr>
          <w:p>
            <w:pPr>
              <w:pStyle w:val="12"/>
            </w:pPr>
            <w:r>
              <w:t>发放临时人员工资的人数</w:t>
            </w:r>
          </w:p>
        </w:tc>
        <w:tc>
          <w:tcPr>
            <w:tcW w:w="2551" w:type="dxa"/>
            <w:vAlign w:val="center"/>
          </w:tcPr>
          <w:p>
            <w:pPr>
              <w:pStyle w:val="12"/>
            </w:pPr>
            <w:r>
              <w:t>≤10人</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拨付资金占应发放工资的比例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控制在预算范围内，合理运用资金。</w:t>
            </w:r>
          </w:p>
        </w:tc>
        <w:tc>
          <w:tcPr>
            <w:tcW w:w="2551" w:type="dxa"/>
            <w:vAlign w:val="center"/>
          </w:tcPr>
          <w:p>
            <w:pPr>
              <w:pStyle w:val="12"/>
            </w:pPr>
            <w:r>
              <w:t>≤18.06万元</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保障镇政府正常开展为民服务工作</w:t>
            </w:r>
          </w:p>
        </w:tc>
        <w:tc>
          <w:tcPr>
            <w:tcW w:w="2551" w:type="dxa"/>
            <w:vAlign w:val="center"/>
          </w:tcPr>
          <w:p>
            <w:pPr>
              <w:pStyle w:val="12"/>
            </w:pPr>
            <w:r>
              <w:t>≥95%</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临时人员满意度</w:t>
            </w:r>
          </w:p>
        </w:tc>
        <w:tc>
          <w:tcPr>
            <w:tcW w:w="2835" w:type="dxa"/>
            <w:vAlign w:val="center"/>
          </w:tcPr>
          <w:p>
            <w:pPr>
              <w:pStyle w:val="12"/>
            </w:pPr>
            <w:r>
              <w:t>临时人员对工资拨付的满意程度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5、梅花镇2023年马山线、衡井线占地补助经费绩效目标表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1.及时拨付马山线、衡井线占地补助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占地补农户的人数</w:t>
            </w:r>
          </w:p>
        </w:tc>
        <w:tc>
          <w:tcPr>
            <w:tcW w:w="2835" w:type="dxa"/>
            <w:vAlign w:val="center"/>
          </w:tcPr>
          <w:p>
            <w:pPr>
              <w:pStyle w:val="12"/>
            </w:pPr>
            <w:r>
              <w:t>发放占地补农户的人数</w:t>
            </w:r>
          </w:p>
        </w:tc>
        <w:tc>
          <w:tcPr>
            <w:tcW w:w="2551" w:type="dxa"/>
            <w:vAlign w:val="center"/>
          </w:tcPr>
          <w:p>
            <w:pPr>
              <w:pStyle w:val="12"/>
            </w:pPr>
            <w:r>
              <w:t>≥50人</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当年镇政府各项工作完成进度</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2835" w:type="dxa"/>
            <w:vAlign w:val="center"/>
          </w:tcPr>
          <w:p>
            <w:pPr>
              <w:pStyle w:val="12"/>
            </w:pPr>
            <w:r>
              <w:t>及时拨付农户</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2835" w:type="dxa"/>
            <w:vAlign w:val="center"/>
          </w:tcPr>
          <w:p>
            <w:pPr>
              <w:pStyle w:val="12"/>
            </w:pPr>
            <w:r>
              <w:t>按照标准进行补偿，控制在预算内</w:t>
            </w:r>
          </w:p>
        </w:tc>
        <w:tc>
          <w:tcPr>
            <w:tcW w:w="2551" w:type="dxa"/>
            <w:vAlign w:val="center"/>
          </w:tcPr>
          <w:p>
            <w:pPr>
              <w:pStyle w:val="12"/>
            </w:pPr>
            <w:r>
              <w:t>≤14.46万元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拨付工作在全镇形成的重要影响得到广大群众的认可</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群众对当年工作的满意度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6、梅花镇2023年农村独生子女费绩效目标表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1.保障农村独生子女家庭稳定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农村独生子女的人数</w:t>
            </w:r>
          </w:p>
        </w:tc>
        <w:tc>
          <w:tcPr>
            <w:tcW w:w="2835" w:type="dxa"/>
            <w:vAlign w:val="center"/>
          </w:tcPr>
          <w:p>
            <w:pPr>
              <w:pStyle w:val="12"/>
            </w:pPr>
            <w:r>
              <w:t>发放农村独生子女费的人数</w:t>
            </w:r>
          </w:p>
        </w:tc>
        <w:tc>
          <w:tcPr>
            <w:tcW w:w="2551" w:type="dxa"/>
            <w:vAlign w:val="center"/>
          </w:tcPr>
          <w:p>
            <w:pPr>
              <w:pStyle w:val="12"/>
            </w:pPr>
            <w:r>
              <w:t>人</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拨付资金占应发放工资的比例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项目成本控制在预算范围内</w:t>
            </w:r>
          </w:p>
        </w:tc>
        <w:tc>
          <w:tcPr>
            <w:tcW w:w="2551" w:type="dxa"/>
            <w:vAlign w:val="center"/>
          </w:tcPr>
          <w:p>
            <w:pPr>
              <w:pStyle w:val="12"/>
            </w:pPr>
            <w:r>
              <w:t>≤4万元</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保障独生子女家庭稳定</w:t>
            </w:r>
          </w:p>
        </w:tc>
        <w:tc>
          <w:tcPr>
            <w:tcW w:w="2551" w:type="dxa"/>
            <w:vAlign w:val="center"/>
          </w:tcPr>
          <w:p>
            <w:pPr>
              <w:pStyle w:val="12"/>
            </w:pPr>
            <w:r>
              <w:t>≥95%</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家庭满意度</w:t>
            </w:r>
          </w:p>
        </w:tc>
        <w:tc>
          <w:tcPr>
            <w:tcW w:w="2835" w:type="dxa"/>
            <w:vAlign w:val="center"/>
          </w:tcPr>
          <w:p>
            <w:pPr>
              <w:pStyle w:val="12"/>
            </w:pPr>
            <w:r>
              <w:t>拨付的满意程度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7、梅花镇2023年农村文化建设资金绩效目标表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1.提高各村文化建设水平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包含覆盖率</w:t>
            </w:r>
          </w:p>
        </w:tc>
        <w:tc>
          <w:tcPr>
            <w:tcW w:w="2835" w:type="dxa"/>
            <w:vAlign w:val="center"/>
          </w:tcPr>
          <w:p>
            <w:pPr>
              <w:pStyle w:val="12"/>
            </w:pPr>
            <w:r>
              <w:t>各项工作完成情况覆盖的村级个数</w:t>
            </w:r>
          </w:p>
        </w:tc>
        <w:tc>
          <w:tcPr>
            <w:tcW w:w="2551" w:type="dxa"/>
            <w:vAlign w:val="center"/>
          </w:tcPr>
          <w:p>
            <w:pPr>
              <w:pStyle w:val="12"/>
            </w:pPr>
            <w:r>
              <w:t>≥19个数</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能够保障资金的工作任务占总任务量的比例</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项目成本控制预算数</w:t>
            </w:r>
          </w:p>
        </w:tc>
        <w:tc>
          <w:tcPr>
            <w:tcW w:w="2551" w:type="dxa"/>
            <w:vAlign w:val="center"/>
          </w:tcPr>
          <w:p>
            <w:pPr>
              <w:pStyle w:val="12"/>
            </w:pPr>
            <w:r>
              <w:t>≤19万元</w:t>
            </w:r>
          </w:p>
        </w:tc>
        <w:tc>
          <w:tcPr>
            <w:tcW w:w="2268"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保障政府正常开展农村文化工作</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2835" w:type="dxa"/>
            <w:vAlign w:val="center"/>
          </w:tcPr>
          <w:p>
            <w:pPr>
              <w:pStyle w:val="12"/>
            </w:pPr>
            <w:r>
              <w:t>保障政府正常开展为民服务工作</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8、梅花镇2023年人居环境工作经费绩效目标表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1.提升梅花镇的人居环境整治水平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包含覆盖率</w:t>
            </w:r>
          </w:p>
        </w:tc>
        <w:tc>
          <w:tcPr>
            <w:tcW w:w="2835" w:type="dxa"/>
            <w:vAlign w:val="center"/>
          </w:tcPr>
          <w:p>
            <w:pPr>
              <w:pStyle w:val="12"/>
            </w:pPr>
            <w:r>
              <w:t>各项工作完成情况覆盖的村级个数</w:t>
            </w:r>
          </w:p>
        </w:tc>
        <w:tc>
          <w:tcPr>
            <w:tcW w:w="2551" w:type="dxa"/>
            <w:vAlign w:val="center"/>
          </w:tcPr>
          <w:p>
            <w:pPr>
              <w:pStyle w:val="12"/>
            </w:pPr>
            <w:r>
              <w:t>≥19个数</w:t>
            </w:r>
          </w:p>
        </w:tc>
        <w:tc>
          <w:tcPr>
            <w:tcW w:w="2268" w:type="dxa"/>
            <w:vAlign w:val="center"/>
          </w:tcPr>
          <w:p>
            <w:pPr>
              <w:pStyle w:val="12"/>
            </w:pPr>
            <w:r>
              <w:t>工作检查、考核报告年度工作计划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能够保障资金的工作任务占总任务量的比例</w:t>
            </w:r>
          </w:p>
        </w:tc>
        <w:tc>
          <w:tcPr>
            <w:tcW w:w="2551" w:type="dxa"/>
            <w:vAlign w:val="center"/>
          </w:tcPr>
          <w:p>
            <w:pPr>
              <w:pStyle w:val="12"/>
            </w:pPr>
            <w:r>
              <w:t>≥95%</w:t>
            </w:r>
          </w:p>
        </w:tc>
        <w:tc>
          <w:tcPr>
            <w:tcW w:w="2268" w:type="dxa"/>
            <w:vAlign w:val="center"/>
          </w:tcPr>
          <w:p>
            <w:pPr>
              <w:pStyle w:val="12"/>
            </w:pPr>
            <w:r>
              <w:t>查看账目年度工作计划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查看账目年度工作计划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2835" w:type="dxa"/>
            <w:vAlign w:val="center"/>
          </w:tcPr>
          <w:p>
            <w:pPr>
              <w:pStyle w:val="12"/>
            </w:pPr>
            <w:r>
              <w:t>严格控制预算资金成本</w:t>
            </w:r>
          </w:p>
        </w:tc>
        <w:tc>
          <w:tcPr>
            <w:tcW w:w="2551" w:type="dxa"/>
            <w:vAlign w:val="center"/>
          </w:tcPr>
          <w:p>
            <w:pPr>
              <w:pStyle w:val="12"/>
            </w:pPr>
            <w:r>
              <w:t>≤40.51万元</w:t>
            </w:r>
          </w:p>
        </w:tc>
        <w:tc>
          <w:tcPr>
            <w:tcW w:w="2268" w:type="dxa"/>
            <w:vAlign w:val="center"/>
          </w:tcPr>
          <w:p>
            <w:pPr>
              <w:pStyle w:val="12"/>
            </w:pPr>
            <w:r>
              <w:t>支出凭证年度工作计划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保障政府正常开展人居环境整治工作</w:t>
            </w:r>
          </w:p>
        </w:tc>
        <w:tc>
          <w:tcPr>
            <w:tcW w:w="2551" w:type="dxa"/>
            <w:vAlign w:val="center"/>
          </w:tcPr>
          <w:p>
            <w:pPr>
              <w:pStyle w:val="12"/>
            </w:pPr>
            <w:r>
              <w:t>≥95%</w:t>
            </w:r>
          </w:p>
        </w:tc>
        <w:tc>
          <w:tcPr>
            <w:tcW w:w="2268" w:type="dxa"/>
            <w:vAlign w:val="center"/>
          </w:tcPr>
          <w:p>
            <w:pPr>
              <w:pStyle w:val="12"/>
            </w:pPr>
            <w:r>
              <w:t>调查问卷年度工作计划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2835" w:type="dxa"/>
            <w:vAlign w:val="center"/>
          </w:tcPr>
          <w:p>
            <w:pPr>
              <w:pStyle w:val="12"/>
            </w:pPr>
            <w:r>
              <w:t>保障政府正常开展人居环境整治工作</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9、梅花镇2023原经贸回乡涉军人员补贴绩效目标表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p>
          <w:p>
            <w:pPr>
              <w:pStyle w:val="12"/>
            </w:pPr>
            <w:r>
              <w:t>拨付原经贸系统关闭企业下放回乡的合同工、副业工涉军人员生活补贴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项目资金拨付率</w:t>
            </w:r>
          </w:p>
        </w:tc>
        <w:tc>
          <w:tcPr>
            <w:tcW w:w="2835" w:type="dxa"/>
            <w:vAlign w:val="center"/>
          </w:tcPr>
          <w:p>
            <w:pPr>
              <w:pStyle w:val="12"/>
            </w:pPr>
            <w:r>
              <w:t>资金拨付占项目预算的比例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2835" w:type="dxa"/>
            <w:vAlign w:val="center"/>
          </w:tcPr>
          <w:p>
            <w:pPr>
              <w:pStyle w:val="12"/>
            </w:pPr>
            <w:r>
              <w:t>拨付资金占应发放生活补贴的比例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2835" w:type="dxa"/>
            <w:vAlign w:val="center"/>
          </w:tcPr>
          <w:p>
            <w:pPr>
              <w:pStyle w:val="12"/>
            </w:pPr>
            <w:r>
              <w:t>财政资金投入</w:t>
            </w:r>
          </w:p>
        </w:tc>
        <w:tc>
          <w:tcPr>
            <w:tcW w:w="2551" w:type="dxa"/>
            <w:vAlign w:val="center"/>
          </w:tcPr>
          <w:p>
            <w:pPr>
              <w:pStyle w:val="12"/>
            </w:pPr>
            <w:r>
              <w:t>≤3.89万元</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2835" w:type="dxa"/>
            <w:vAlign w:val="center"/>
          </w:tcPr>
          <w:p>
            <w:pPr>
              <w:pStyle w:val="12"/>
            </w:pPr>
            <w:r>
              <w:t>保障经贸系统下方回乡的涉军人员生活补贴</w:t>
            </w:r>
          </w:p>
        </w:tc>
        <w:tc>
          <w:tcPr>
            <w:tcW w:w="2551" w:type="dxa"/>
            <w:vAlign w:val="center"/>
          </w:tcPr>
          <w:p>
            <w:pPr>
              <w:pStyle w:val="12"/>
            </w:pPr>
            <w:r>
              <w:t>≥95%</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回乡的合同工、副业工涉军人员满意度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10、石财预[2022]17号关于下达2022年革命老区转移支付预算的通知绩效目标表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1.对南刘村进村道路修建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修建道路面积</w:t>
            </w:r>
          </w:p>
        </w:tc>
        <w:tc>
          <w:tcPr>
            <w:tcW w:w="2835" w:type="dxa"/>
            <w:vAlign w:val="center"/>
          </w:tcPr>
          <w:p>
            <w:pPr>
              <w:pStyle w:val="12"/>
            </w:pPr>
            <w:r>
              <w:t>修建的道路的总面积</w:t>
            </w:r>
          </w:p>
        </w:tc>
        <w:tc>
          <w:tcPr>
            <w:tcW w:w="2551" w:type="dxa"/>
            <w:vAlign w:val="center"/>
          </w:tcPr>
          <w:p>
            <w:pPr>
              <w:pStyle w:val="12"/>
            </w:pPr>
            <w:r>
              <w:t>≥6000平方米</w:t>
            </w:r>
          </w:p>
        </w:tc>
        <w:tc>
          <w:tcPr>
            <w:tcW w:w="2268" w:type="dxa"/>
            <w:vAlign w:val="center"/>
          </w:tcPr>
          <w:p>
            <w:pPr>
              <w:pStyle w:val="12"/>
            </w:pPr>
            <w:r>
              <w:t>实地测量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质量是否达到标准</w:t>
            </w:r>
          </w:p>
        </w:tc>
        <w:tc>
          <w:tcPr>
            <w:tcW w:w="2835" w:type="dxa"/>
            <w:vAlign w:val="center"/>
          </w:tcPr>
          <w:p>
            <w:pPr>
              <w:pStyle w:val="12"/>
            </w:pPr>
            <w:r>
              <w:t>道路质量是否达到标准</w:t>
            </w:r>
          </w:p>
        </w:tc>
        <w:tc>
          <w:tcPr>
            <w:tcW w:w="2551" w:type="dxa"/>
            <w:vAlign w:val="center"/>
          </w:tcPr>
          <w:p>
            <w:pPr>
              <w:pStyle w:val="12"/>
            </w:pPr>
            <w:r>
              <w:t>≥95%</w:t>
            </w:r>
          </w:p>
        </w:tc>
        <w:tc>
          <w:tcPr>
            <w:tcW w:w="2268"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完成道路修建需要多长时间</w:t>
            </w:r>
          </w:p>
        </w:tc>
        <w:tc>
          <w:tcPr>
            <w:tcW w:w="2551" w:type="dxa"/>
            <w:vAlign w:val="center"/>
          </w:tcPr>
          <w:p>
            <w:pPr>
              <w:pStyle w:val="12"/>
            </w:pPr>
            <w:r>
              <w:t>3月</w:t>
            </w:r>
          </w:p>
        </w:tc>
        <w:tc>
          <w:tcPr>
            <w:tcW w:w="2268" w:type="dxa"/>
            <w:vAlign w:val="center"/>
          </w:tcPr>
          <w:p>
            <w:pPr>
              <w:pStyle w:val="12"/>
            </w:pPr>
            <w:r>
              <w:t>工程进度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投资金额</w:t>
            </w:r>
          </w:p>
        </w:tc>
        <w:tc>
          <w:tcPr>
            <w:tcW w:w="2835" w:type="dxa"/>
            <w:vAlign w:val="center"/>
          </w:tcPr>
          <w:p>
            <w:pPr>
              <w:pStyle w:val="12"/>
            </w:pPr>
            <w:r>
              <w:t>修建道路需要的资金金额</w:t>
            </w:r>
          </w:p>
        </w:tc>
        <w:tc>
          <w:tcPr>
            <w:tcW w:w="2551" w:type="dxa"/>
            <w:vAlign w:val="center"/>
          </w:tcPr>
          <w:p>
            <w:pPr>
              <w:pStyle w:val="12"/>
            </w:pPr>
            <w:r>
              <w:t>≥180万元</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为民服务开展程度</w:t>
            </w:r>
          </w:p>
        </w:tc>
        <w:tc>
          <w:tcPr>
            <w:tcW w:w="2835" w:type="dxa"/>
            <w:vAlign w:val="center"/>
          </w:tcPr>
          <w:p>
            <w:pPr>
              <w:pStyle w:val="12"/>
            </w:pPr>
            <w:r>
              <w:t>道路修建为村民出行提供的方便程度</w:t>
            </w:r>
          </w:p>
        </w:tc>
        <w:tc>
          <w:tcPr>
            <w:tcW w:w="2551" w:type="dxa"/>
            <w:vAlign w:val="center"/>
          </w:tcPr>
          <w:p>
            <w:pPr>
              <w:pStyle w:val="12"/>
            </w:pPr>
            <w:r>
              <w:t>≥95%</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群众对道路的满意度</w:t>
            </w:r>
          </w:p>
        </w:tc>
        <w:tc>
          <w:tcPr>
            <w:tcW w:w="2835" w:type="dxa"/>
            <w:vAlign w:val="center"/>
          </w:tcPr>
          <w:p>
            <w:pPr>
              <w:pStyle w:val="12"/>
            </w:pPr>
            <w:r>
              <w:t>群众对新修道路的满意程度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498"/>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2023年，石家庄市藁城区梅花镇人民政府安排政府采购预算0.00万元。具体内容见下表。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1404"/>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石家庄市藁城区梅花镇人民政府（含所属单位）上年末固定资产金额为1441.46万元（详见下表）。本年度拟购置固定资产总额为5.20万元，</w:t>
      </w:r>
      <w:r>
        <w:rPr>
          <w:rFonts w:hint="eastAsia" w:eastAsia="方正仿宋_GBK" w:cs="Times New Roman"/>
          <w:b w:val="0"/>
          <w:color w:val="000000"/>
          <w:sz w:val="28"/>
          <w:lang w:eastAsia="zh-CN"/>
        </w:rPr>
        <w:t>主要用于购买电脑、空调、打印机等。固定资产未达到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eastAsia="zh-CN"/>
        </w:rPr>
        <w:t>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故未列入</w:t>
      </w:r>
      <w:r>
        <w:rPr>
          <w:rFonts w:ascii="Times New Roman" w:hAnsi="Times New Roman" w:eastAsia="方正仿宋_GBK" w:cs="Times New Roman"/>
          <w:b w:val="0"/>
          <w:color w:val="000000"/>
          <w:sz w:val="28"/>
        </w:rPr>
        <w:t>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807石家庄市藁城区梅花镇人民政府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1441.46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r>
              <w:t>40160</w:t>
            </w:r>
          </w:p>
        </w:tc>
        <w:tc>
          <w:tcPr>
            <w:tcW w:w="2835" w:type="dxa"/>
            <w:vAlign w:val="center"/>
          </w:tcPr>
          <w:p>
            <w:pPr>
              <w:pStyle w:val="13"/>
            </w:pPr>
            <w:r>
              <w:t>135.46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40160</w:t>
            </w:r>
          </w:p>
        </w:tc>
        <w:tc>
          <w:tcPr>
            <w:tcW w:w="2835" w:type="dxa"/>
            <w:vAlign w:val="center"/>
          </w:tcPr>
          <w:p>
            <w:pPr>
              <w:pStyle w:val="13"/>
            </w:pPr>
            <w:r>
              <w:t>135.46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3</w:t>
            </w:r>
          </w:p>
        </w:tc>
        <w:tc>
          <w:tcPr>
            <w:tcW w:w="2835"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r>
              <w:t>1151</w:t>
            </w:r>
          </w:p>
        </w:tc>
        <w:tc>
          <w:tcPr>
            <w:tcW w:w="2835" w:type="dxa"/>
            <w:vAlign w:val="center"/>
          </w:tcPr>
          <w:p>
            <w:pPr>
              <w:pStyle w:val="13"/>
            </w:pPr>
            <w:r>
              <w:t>1295.02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3564"/>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102"/>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6838" w:h="11906" w:orient="landscape"/>
      <w:pgMar w:top="1361" w:right="1020" w:bottom="1134" w:left="10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B8C234"/>
    <w:multiLevelType w:val="singleLevel"/>
    <w:tmpl w:val="5CB8C23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1ZWRjNjE1ZTI5ZjZkN2UzNjczZWE2MzdhNWMzOWIifQ=="/>
  </w:docVars>
  <w:rsids>
    <w:rsidRoot w:val="49EA3C8F"/>
    <w:rsid w:val="16D05E3A"/>
    <w:rsid w:val="1FDE629C"/>
    <w:rsid w:val="2EA63659"/>
    <w:rsid w:val="3E4E20BE"/>
    <w:rsid w:val="49EA3C8F"/>
    <w:rsid w:val="7EDB7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51</Pages>
  <Words>10925</Words>
  <Characters>13227</Characters>
  <Lines>0</Lines>
  <Paragraphs>0</Paragraphs>
  <TotalTime>2</TotalTime>
  <ScaleCrop>false</ScaleCrop>
  <LinksUpToDate>false</LinksUpToDate>
  <CharactersWithSpaces>13447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2023-09-04T09:22:00Z</dcterms:created>
  <dc:creator>Administrator</dc:creator>
  <cp:lastModifiedBy>Dd</cp:lastModifiedBy>
  <dcterms:modified xsi:type="dcterms:W3CDTF">2024-09-18T02:32:10Z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D9F7BE10A2074F2AA0A6C38AD13D96C0</vt:lpwstr>
  </property>
</Properties>
</file>