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02A121">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石家庄市藁城区常安镇人民政府</w:t>
      </w:r>
    </w:p>
    <w:p w14:paraId="61D9ABC7">
      <w:pPr>
        <w:adjustRightInd w:val="0"/>
        <w:snapToGrid w:val="0"/>
        <w:jc w:val="center"/>
        <w:rPr>
          <w:rFonts w:ascii="Times New Roman" w:hAnsi="Times New Roman" w:eastAsia="仿宋" w:cs="Times New Roman"/>
          <w:sz w:val="32"/>
          <w:szCs w:val="32"/>
        </w:rPr>
      </w:pPr>
      <w:r>
        <w:rPr>
          <w:rFonts w:hint="eastAsia" w:ascii="方正小标宋_GBK" w:hAnsi="Times New Roman" w:eastAsia="方正小标宋_GBK" w:cs="Times New Roman"/>
          <w:bCs/>
          <w:sz w:val="44"/>
          <w:szCs w:val="44"/>
        </w:rPr>
        <w:t>2020年部门预算信息公开情况说明</w:t>
      </w:r>
    </w:p>
    <w:p w14:paraId="1F6A72B8">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按照《预算法》、《地方预决算公开操作规程》和《河北省省级预算公开办法》规定，现将石家庄市藁城区常安镇人民政府2020年部门预算公开如下：</w:t>
      </w:r>
    </w:p>
    <w:p w14:paraId="405567D9">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60E5743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460"/>
          <w:tab w:val="left" w:pos="5880"/>
        </w:tabs>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14:paraId="17AAF02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460"/>
          <w:tab w:val="left" w:pos="5880"/>
        </w:tabs>
        <w:rPr>
          <w:rFonts w:ascii="Times New Roman" w:hAnsi="Times New Roman" w:eastAsia="仿宋" w:cs="Times New Roman"/>
          <w:sz w:val="32"/>
          <w:szCs w:val="32"/>
        </w:rPr>
      </w:pPr>
      <w:r>
        <w:rPr>
          <w:rFonts w:ascii="Times New Roman" w:hAnsi="Times New Roman" w:eastAsia="仿宋" w:cs="Times New Roman"/>
          <w:sz w:val="32"/>
          <w:szCs w:val="32"/>
        </w:rPr>
        <w:t>(一)</w:t>
      </w:r>
      <w:r>
        <w:rPr>
          <w:rFonts w:ascii="Times New Roman" w:hAnsi="Times New Roman" w:eastAsia="仿宋" w:cs="Times New Roman"/>
          <w:sz w:val="32"/>
          <w:szCs w:val="32"/>
        </w:rPr>
        <w:tab/>
      </w:r>
      <w:r>
        <w:rPr>
          <w:rFonts w:ascii="Times New Roman" w:hAnsi="Times New Roman" w:eastAsia="仿宋" w:cs="Times New Roman"/>
          <w:sz w:val="32"/>
          <w:szCs w:val="32"/>
        </w:rPr>
        <w:t>政务管理</w:t>
      </w:r>
      <w:r>
        <w:rPr>
          <w:rFonts w:ascii="Times New Roman" w:hAnsi="Times New Roman" w:eastAsia="仿宋" w:cs="Times New Roman"/>
          <w:sz w:val="32"/>
          <w:szCs w:val="32"/>
        </w:rPr>
        <w:tab/>
      </w:r>
      <w:r>
        <w:rPr>
          <w:rFonts w:ascii="Times New Roman" w:hAnsi="Times New Roman" w:eastAsia="仿宋" w:cs="Times New Roman"/>
          <w:sz w:val="32"/>
          <w:szCs w:val="32"/>
        </w:rPr>
        <w:t>依法依规履行机关日常管理职责</w:t>
      </w:r>
      <w:r>
        <w:rPr>
          <w:rFonts w:hint="eastAsia" w:ascii="Times New Roman" w:hAnsi="Times New Roman" w:eastAsia="仿宋" w:cs="Times New Roman"/>
          <w:sz w:val="32"/>
          <w:szCs w:val="32"/>
        </w:rPr>
        <w:t>。</w:t>
      </w:r>
      <w:r>
        <w:rPr>
          <w:rFonts w:ascii="Times New Roman" w:hAnsi="Times New Roman" w:eastAsia="仿宋" w:cs="Times New Roman"/>
          <w:sz w:val="32"/>
          <w:szCs w:val="32"/>
        </w:rPr>
        <w:t>依法依规履行机关日常管理职责，确保政府工作正常运行。</w:t>
      </w:r>
    </w:p>
    <w:p w14:paraId="22EB91A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仿宋" w:cs="Times New Roman"/>
          <w:sz w:val="32"/>
          <w:szCs w:val="32"/>
        </w:rPr>
      </w:pPr>
      <w:r>
        <w:rPr>
          <w:rFonts w:ascii="Times New Roman" w:hAnsi="Times New Roman" w:eastAsia="仿宋" w:cs="Times New Roman"/>
          <w:sz w:val="32"/>
          <w:szCs w:val="32"/>
        </w:rPr>
        <w:t>(二)</w:t>
      </w:r>
      <w:r>
        <w:rPr>
          <w:rFonts w:ascii="Times New Roman" w:hAnsi="Times New Roman" w:eastAsia="仿宋" w:cs="Times New Roman"/>
          <w:sz w:val="32"/>
          <w:szCs w:val="32"/>
        </w:rPr>
        <w:tab/>
      </w:r>
      <w:r>
        <w:rPr>
          <w:rFonts w:ascii="Times New Roman" w:hAnsi="Times New Roman" w:eastAsia="仿宋" w:cs="Times New Roman"/>
          <w:sz w:val="32"/>
          <w:szCs w:val="32"/>
        </w:rPr>
        <w:t>应急管理</w:t>
      </w:r>
      <w:r>
        <w:rPr>
          <w:rFonts w:ascii="Times New Roman" w:hAnsi="Times New Roman" w:eastAsia="仿宋" w:cs="Times New Roman"/>
          <w:sz w:val="32"/>
          <w:szCs w:val="32"/>
        </w:rPr>
        <w:tab/>
      </w:r>
      <w:r>
        <w:rPr>
          <w:rFonts w:ascii="Times New Roman" w:hAnsi="Times New Roman" w:eastAsia="仿宋" w:cs="Times New Roman"/>
          <w:sz w:val="32"/>
          <w:szCs w:val="32"/>
        </w:rPr>
        <w:t>保证镇政府值班工作，及时报告重要情况，传达和督促落实镇党委、政府领导指示。有效保证镇政府日常应急值守和突发事件应对处置工作；完善应急预案体系建设，确保遇突发事件能够有效应对。</w:t>
      </w:r>
    </w:p>
    <w:p w14:paraId="251ED4D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仿宋" w:cs="Times New Roman"/>
          <w:sz w:val="32"/>
          <w:szCs w:val="32"/>
        </w:rPr>
      </w:pPr>
      <w:r>
        <w:rPr>
          <w:rFonts w:ascii="Times New Roman" w:hAnsi="Times New Roman" w:eastAsia="仿宋" w:cs="Times New Roman"/>
          <w:sz w:val="32"/>
          <w:szCs w:val="32"/>
        </w:rPr>
        <w:t>(三)</w:t>
      </w:r>
      <w:r>
        <w:rPr>
          <w:rFonts w:ascii="Times New Roman" w:hAnsi="Times New Roman" w:eastAsia="仿宋" w:cs="Times New Roman"/>
          <w:sz w:val="32"/>
          <w:szCs w:val="32"/>
        </w:rPr>
        <w:tab/>
      </w:r>
      <w:r>
        <w:rPr>
          <w:rFonts w:ascii="Times New Roman" w:hAnsi="Times New Roman" w:eastAsia="仿宋" w:cs="Times New Roman"/>
          <w:sz w:val="32"/>
          <w:szCs w:val="32"/>
        </w:rPr>
        <w:t>维护社会稳定和国家安全</w:t>
      </w:r>
      <w:r>
        <w:rPr>
          <w:rFonts w:ascii="Times New Roman" w:hAnsi="Times New Roman" w:eastAsia="仿宋" w:cs="Times New Roman"/>
          <w:sz w:val="32"/>
          <w:szCs w:val="32"/>
        </w:rPr>
        <w:tab/>
      </w:r>
      <w:r>
        <w:rPr>
          <w:rFonts w:ascii="Times New Roman" w:hAnsi="Times New Roman" w:eastAsia="仿宋" w:cs="Times New Roman"/>
          <w:sz w:val="32"/>
          <w:szCs w:val="32"/>
        </w:rPr>
        <w:t>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14:paraId="5A074E3E">
      <w:pPr>
        <w:tabs>
          <w:tab w:val="left" w:pos="420"/>
          <w:tab w:val="left" w:pos="840"/>
          <w:tab w:val="left" w:pos="1260"/>
          <w:tab w:val="left" w:pos="1680"/>
          <w:tab w:val="left" w:pos="2100"/>
          <w:tab w:val="left" w:pos="2520"/>
          <w:tab w:val="left" w:pos="2940"/>
          <w:tab w:val="left" w:pos="3360"/>
          <w:tab w:val="left" w:pos="3780"/>
          <w:tab w:val="left" w:pos="4200"/>
          <w:tab w:val="left" w:pos="5040"/>
          <w:tab w:val="left" w:pos="5460"/>
          <w:tab w:val="left" w:pos="5880"/>
        </w:tabs>
        <w:rPr>
          <w:rFonts w:ascii="Times New Roman" w:hAnsi="Times New Roman" w:eastAsia="仿宋" w:cs="Times New Roman"/>
          <w:sz w:val="32"/>
          <w:szCs w:val="32"/>
        </w:rPr>
      </w:pPr>
      <w:r>
        <w:rPr>
          <w:rFonts w:ascii="Times New Roman" w:hAnsi="Times New Roman" w:eastAsia="仿宋" w:cs="Times New Roman"/>
          <w:sz w:val="32"/>
          <w:szCs w:val="32"/>
        </w:rPr>
        <w:t>(四)</w:t>
      </w:r>
      <w:r>
        <w:rPr>
          <w:rFonts w:ascii="Times New Roman" w:hAnsi="Times New Roman" w:eastAsia="仿宋" w:cs="Times New Roman"/>
          <w:sz w:val="32"/>
          <w:szCs w:val="32"/>
        </w:rPr>
        <w:tab/>
      </w:r>
      <w:r>
        <w:rPr>
          <w:rFonts w:ascii="Times New Roman" w:hAnsi="Times New Roman" w:eastAsia="仿宋" w:cs="Times New Roman"/>
          <w:sz w:val="32"/>
          <w:szCs w:val="32"/>
        </w:rPr>
        <w:t>推动经济发展，完善基础设施，惠及民生。承担经济发展和民生改善培育支柱产业，加强基础设施建设和新型农村服务体系建设。落实安全生产责任制，搞好农业新技术示范推广。</w:t>
      </w:r>
    </w:p>
    <w:p w14:paraId="41AC706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仿宋" w:cs="Times New Roman"/>
          <w:sz w:val="32"/>
          <w:szCs w:val="32"/>
        </w:rPr>
      </w:pPr>
      <w:r>
        <w:rPr>
          <w:rFonts w:ascii="Times New Roman" w:hAnsi="Times New Roman" w:eastAsia="仿宋" w:cs="Times New Roman"/>
          <w:sz w:val="32"/>
          <w:szCs w:val="32"/>
        </w:rPr>
        <w:t>(五)</w:t>
      </w:r>
      <w:r>
        <w:rPr>
          <w:rFonts w:ascii="Times New Roman" w:hAnsi="Times New Roman" w:eastAsia="仿宋" w:cs="Times New Roman"/>
          <w:sz w:val="32"/>
          <w:szCs w:val="32"/>
        </w:rPr>
        <w:tab/>
      </w:r>
      <w:r>
        <w:rPr>
          <w:rFonts w:ascii="Times New Roman" w:hAnsi="Times New Roman" w:eastAsia="仿宋" w:cs="Times New Roman"/>
          <w:sz w:val="32"/>
          <w:szCs w:val="32"/>
        </w:rPr>
        <w:t>社会救助政策及管理</w:t>
      </w:r>
      <w:r>
        <w:rPr>
          <w:rFonts w:ascii="Times New Roman" w:hAnsi="Times New Roman" w:eastAsia="仿宋" w:cs="Times New Roman"/>
          <w:sz w:val="32"/>
          <w:szCs w:val="32"/>
        </w:rPr>
        <w:tab/>
      </w:r>
      <w:r>
        <w:rPr>
          <w:rFonts w:ascii="Times New Roman" w:hAnsi="Times New Roman" w:eastAsia="仿宋" w:cs="Times New Roman"/>
          <w:sz w:val="32"/>
          <w:szCs w:val="32"/>
        </w:rPr>
        <w:t>承担社会救助体系建设，负责农村居民最低生活保障、五保供养、医疗救助。完善农村社会救助制度，实施分类救助，应保尽保,动态管理。</w:t>
      </w:r>
    </w:p>
    <w:p w14:paraId="32F8160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仿宋" w:cs="Times New Roman"/>
          <w:sz w:val="32"/>
          <w:szCs w:val="32"/>
        </w:rPr>
      </w:pPr>
      <w:r>
        <w:rPr>
          <w:rFonts w:ascii="Times New Roman" w:hAnsi="Times New Roman" w:eastAsia="仿宋" w:cs="Times New Roman"/>
          <w:sz w:val="32"/>
          <w:szCs w:val="32"/>
        </w:rPr>
        <w:t>(六)</w:t>
      </w:r>
      <w:r>
        <w:rPr>
          <w:rFonts w:ascii="Times New Roman" w:hAnsi="Times New Roman" w:eastAsia="仿宋" w:cs="Times New Roman"/>
          <w:sz w:val="32"/>
          <w:szCs w:val="32"/>
        </w:rPr>
        <w:tab/>
      </w:r>
      <w:r>
        <w:rPr>
          <w:rFonts w:ascii="Times New Roman" w:hAnsi="Times New Roman" w:eastAsia="仿宋" w:cs="Times New Roman"/>
          <w:sz w:val="32"/>
          <w:szCs w:val="32"/>
        </w:rPr>
        <w:t>计生政策落实</w:t>
      </w:r>
      <w:r>
        <w:rPr>
          <w:rFonts w:ascii="Times New Roman" w:hAnsi="Times New Roman" w:eastAsia="仿宋" w:cs="Times New Roman"/>
          <w:sz w:val="32"/>
          <w:szCs w:val="32"/>
        </w:rPr>
        <w:tab/>
      </w:r>
      <w:r>
        <w:rPr>
          <w:rFonts w:ascii="Times New Roman" w:hAnsi="Times New Roman" w:eastAsia="仿宋" w:cs="Times New Roman"/>
          <w:sz w:val="32"/>
          <w:szCs w:val="32"/>
        </w:rPr>
        <w:t>提供各类计划生育技术服务，建立利益导向机制，开展出生人口性别比治理以及流动人口计划生育管理等各项工作。保障计生法律法规落实。</w:t>
      </w:r>
      <w:r>
        <w:rPr>
          <w:rFonts w:ascii="Times New Roman" w:hAnsi="Times New Roman" w:eastAsia="仿宋" w:cs="Times New Roman"/>
          <w:sz w:val="32"/>
          <w:szCs w:val="32"/>
        </w:rPr>
        <w:tab/>
      </w:r>
      <w:r>
        <w:rPr>
          <w:rFonts w:ascii="Times New Roman" w:hAnsi="Times New Roman" w:eastAsia="仿宋" w:cs="Times New Roman"/>
          <w:sz w:val="32"/>
          <w:szCs w:val="32"/>
        </w:rPr>
        <w:t>稳定适度的低生育水平，有效保障计划生育家庭生活水平，提高妇女生殖健康水平，降低出生缺陷的发生，有效遏制出生人口性别比偏高问题。保障计生法律法规落实。</w:t>
      </w:r>
    </w:p>
    <w:p w14:paraId="5FCA91E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仿宋" w:cs="Times New Roman"/>
          <w:sz w:val="32"/>
          <w:szCs w:val="32"/>
        </w:rPr>
      </w:pPr>
      <w:r>
        <w:rPr>
          <w:rFonts w:ascii="Times New Roman" w:hAnsi="Times New Roman" w:eastAsia="仿宋" w:cs="Times New Roman"/>
          <w:sz w:val="32"/>
          <w:szCs w:val="32"/>
        </w:rPr>
        <w:t>(七)</w:t>
      </w:r>
      <w:r>
        <w:rPr>
          <w:rFonts w:ascii="Times New Roman" w:hAnsi="Times New Roman" w:eastAsia="仿宋" w:cs="Times New Roman"/>
          <w:sz w:val="32"/>
          <w:szCs w:val="32"/>
        </w:rPr>
        <w:tab/>
      </w:r>
      <w:r>
        <w:rPr>
          <w:rFonts w:ascii="Times New Roman" w:hAnsi="Times New Roman" w:eastAsia="仿宋" w:cs="Times New Roman"/>
          <w:sz w:val="32"/>
          <w:szCs w:val="32"/>
        </w:rPr>
        <w:t>计生服务</w:t>
      </w:r>
      <w:r>
        <w:rPr>
          <w:rFonts w:ascii="Times New Roman" w:hAnsi="Times New Roman" w:eastAsia="仿宋" w:cs="Times New Roman"/>
          <w:sz w:val="32"/>
          <w:szCs w:val="32"/>
        </w:rPr>
        <w:tab/>
      </w:r>
      <w:r>
        <w:rPr>
          <w:rFonts w:ascii="Times New Roman" w:hAnsi="Times New Roman" w:eastAsia="仿宋" w:cs="Times New Roman"/>
          <w:sz w:val="32"/>
          <w:szCs w:val="32"/>
        </w:rPr>
        <w:t>开展计划生育各种知识宣传和咨询服务</w:t>
      </w:r>
      <w:r>
        <w:rPr>
          <w:rFonts w:ascii="Times New Roman" w:hAnsi="Times New Roman" w:eastAsia="仿宋" w:cs="Times New Roman"/>
          <w:sz w:val="32"/>
          <w:szCs w:val="32"/>
        </w:rPr>
        <w:tab/>
      </w:r>
      <w:r>
        <w:rPr>
          <w:rFonts w:ascii="Times New Roman" w:hAnsi="Times New Roman" w:eastAsia="仿宋" w:cs="Times New Roman"/>
          <w:sz w:val="32"/>
          <w:szCs w:val="32"/>
        </w:rPr>
        <w:t>以提高育龄群众对计划生育认知能力为目标，开展计划生育各种知识宣传和咨询服务。</w:t>
      </w:r>
    </w:p>
    <w:p w14:paraId="0C7FFC91">
      <w:pPr>
        <w:tabs>
          <w:tab w:val="left" w:pos="420"/>
          <w:tab w:val="left" w:pos="840"/>
          <w:tab w:val="left" w:pos="1260"/>
          <w:tab w:val="left" w:pos="1680"/>
          <w:tab w:val="left" w:pos="2100"/>
          <w:tab w:val="left" w:pos="2520"/>
          <w:tab w:val="left" w:pos="2940"/>
          <w:tab w:val="left" w:pos="3360"/>
          <w:tab w:val="left" w:pos="3780"/>
          <w:tab w:val="left" w:pos="4200"/>
          <w:tab w:val="left" w:pos="5040"/>
          <w:tab w:val="left" w:pos="5460"/>
          <w:tab w:val="left" w:pos="5880"/>
        </w:tabs>
        <w:rPr>
          <w:rFonts w:ascii="Times New Roman" w:hAnsi="Times New Roman" w:eastAsia="仿宋" w:cs="Times New Roman"/>
          <w:sz w:val="32"/>
          <w:szCs w:val="32"/>
        </w:rPr>
      </w:pPr>
      <w:r>
        <w:rPr>
          <w:rFonts w:ascii="Times New Roman" w:hAnsi="Times New Roman" w:eastAsia="仿宋" w:cs="Times New Roman"/>
          <w:sz w:val="32"/>
          <w:szCs w:val="32"/>
        </w:rPr>
        <w:t>(八)</w:t>
      </w:r>
      <w:r>
        <w:rPr>
          <w:rFonts w:ascii="Times New Roman" w:hAnsi="Times New Roman" w:eastAsia="仿宋" w:cs="Times New Roman"/>
          <w:sz w:val="32"/>
          <w:szCs w:val="32"/>
        </w:rPr>
        <w:tab/>
      </w:r>
      <w:r>
        <w:rPr>
          <w:rFonts w:ascii="Times New Roman" w:hAnsi="Times New Roman" w:eastAsia="仿宋" w:cs="Times New Roman"/>
          <w:sz w:val="32"/>
          <w:szCs w:val="32"/>
        </w:rPr>
        <w:t>预算管理</w:t>
      </w:r>
      <w:r>
        <w:rPr>
          <w:rFonts w:ascii="Times New Roman" w:hAnsi="Times New Roman" w:eastAsia="仿宋" w:cs="Times New Roman"/>
          <w:sz w:val="32"/>
          <w:szCs w:val="32"/>
        </w:rPr>
        <w:tab/>
      </w:r>
      <w:r>
        <w:rPr>
          <w:rFonts w:ascii="Times New Roman" w:hAnsi="Times New Roman" w:eastAsia="仿宋" w:cs="Times New Roman"/>
          <w:sz w:val="32"/>
          <w:szCs w:val="32"/>
        </w:rPr>
        <w:t>负责镇财政预算管理与执行保证镇机关正常运转</w:t>
      </w:r>
    </w:p>
    <w:p w14:paraId="726CD4C1">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仿宋" w:cs="Times New Roman"/>
          <w:sz w:val="32"/>
          <w:szCs w:val="32"/>
        </w:rPr>
      </w:pPr>
      <w:r>
        <w:rPr>
          <w:rFonts w:ascii="Times New Roman" w:hAnsi="Times New Roman" w:eastAsia="仿宋" w:cs="Times New Roman"/>
          <w:sz w:val="32"/>
          <w:szCs w:val="32"/>
        </w:rPr>
        <w:t>(九)</w:t>
      </w:r>
      <w:r>
        <w:rPr>
          <w:rFonts w:ascii="Times New Roman" w:hAnsi="Times New Roman" w:eastAsia="仿宋" w:cs="Times New Roman"/>
          <w:sz w:val="32"/>
          <w:szCs w:val="32"/>
        </w:rPr>
        <w:tab/>
      </w:r>
      <w:r>
        <w:rPr>
          <w:rFonts w:ascii="Times New Roman" w:hAnsi="Times New Roman" w:eastAsia="仿宋" w:cs="Times New Roman"/>
          <w:sz w:val="32"/>
          <w:szCs w:val="32"/>
        </w:rPr>
        <w:t>财务管理</w:t>
      </w:r>
      <w:r>
        <w:rPr>
          <w:rFonts w:ascii="Times New Roman" w:hAnsi="Times New Roman" w:eastAsia="仿宋" w:cs="Times New Roman"/>
          <w:sz w:val="32"/>
          <w:szCs w:val="32"/>
        </w:rPr>
        <w:tab/>
      </w:r>
      <w:r>
        <w:rPr>
          <w:rFonts w:ascii="Times New Roman" w:hAnsi="Times New Roman" w:eastAsia="仿宋" w:cs="Times New Roman"/>
          <w:sz w:val="32"/>
          <w:szCs w:val="32"/>
        </w:rPr>
        <w:t>负责镇机关收支活动，组织实施镇财务核算及监督工作</w:t>
      </w:r>
      <w:r>
        <w:rPr>
          <w:rFonts w:ascii="Times New Roman" w:hAnsi="Times New Roman" w:eastAsia="仿宋" w:cs="Times New Roman"/>
          <w:sz w:val="32"/>
          <w:szCs w:val="32"/>
        </w:rPr>
        <w:tab/>
      </w:r>
      <w:r>
        <w:rPr>
          <w:rFonts w:ascii="Times New Roman" w:hAnsi="Times New Roman" w:eastAsia="仿宋" w:cs="Times New Roman"/>
          <w:sz w:val="32"/>
          <w:szCs w:val="32"/>
        </w:rPr>
        <w:t>以收定支，合理安排支出，严防出现资金支出不规范现象发生。</w:t>
      </w:r>
    </w:p>
    <w:p w14:paraId="35D2EBA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仿宋" w:cs="Times New Roman"/>
          <w:sz w:val="32"/>
          <w:szCs w:val="32"/>
        </w:rPr>
      </w:pPr>
      <w:r>
        <w:rPr>
          <w:rFonts w:ascii="Times New Roman" w:hAnsi="Times New Roman" w:eastAsia="仿宋" w:cs="Times New Roman"/>
          <w:sz w:val="32"/>
          <w:szCs w:val="32"/>
        </w:rPr>
        <w:t>(十)</w:t>
      </w:r>
      <w:r>
        <w:rPr>
          <w:rFonts w:ascii="Times New Roman" w:hAnsi="Times New Roman" w:eastAsia="仿宋" w:cs="Times New Roman"/>
          <w:sz w:val="32"/>
          <w:szCs w:val="32"/>
        </w:rPr>
        <w:tab/>
      </w:r>
      <w:r>
        <w:rPr>
          <w:rFonts w:ascii="Times New Roman" w:hAnsi="Times New Roman" w:eastAsia="仿宋" w:cs="Times New Roman"/>
          <w:sz w:val="32"/>
          <w:szCs w:val="32"/>
        </w:rPr>
        <w:t>村财镇代管</w:t>
      </w:r>
      <w:r>
        <w:rPr>
          <w:rFonts w:ascii="Times New Roman" w:hAnsi="Times New Roman" w:eastAsia="仿宋" w:cs="Times New Roman"/>
          <w:sz w:val="32"/>
          <w:szCs w:val="32"/>
        </w:rPr>
        <w:tab/>
      </w:r>
      <w:r>
        <w:rPr>
          <w:rFonts w:ascii="Times New Roman" w:hAnsi="Times New Roman" w:eastAsia="仿宋" w:cs="Times New Roman"/>
          <w:sz w:val="32"/>
          <w:szCs w:val="32"/>
        </w:rPr>
        <w:t>负责村级财务核算及监督工作</w:t>
      </w:r>
      <w:r>
        <w:rPr>
          <w:rFonts w:ascii="Times New Roman" w:hAnsi="Times New Roman" w:eastAsia="仿宋" w:cs="Times New Roman"/>
          <w:sz w:val="32"/>
          <w:szCs w:val="32"/>
        </w:rPr>
        <w:tab/>
      </w:r>
      <w:r>
        <w:rPr>
          <w:rFonts w:ascii="Times New Roman" w:hAnsi="Times New Roman" w:eastAsia="仿宋" w:cs="Times New Roman"/>
          <w:sz w:val="32"/>
          <w:szCs w:val="32"/>
        </w:rPr>
        <w:t>对村级财务进行规范化管理，严防支出票据不规范现象发生。</w:t>
      </w:r>
    </w:p>
    <w:p w14:paraId="17B96E5A">
      <w:pPr>
        <w:tabs>
          <w:tab w:val="left" w:pos="420"/>
          <w:tab w:val="left" w:pos="840"/>
          <w:tab w:val="left" w:pos="1260"/>
          <w:tab w:val="left" w:pos="1680"/>
          <w:tab w:val="left" w:pos="2100"/>
          <w:tab w:val="left" w:pos="2520"/>
          <w:tab w:val="left" w:pos="2940"/>
          <w:tab w:val="left" w:pos="3360"/>
          <w:tab w:val="left" w:pos="3780"/>
          <w:tab w:val="left" w:pos="4620"/>
          <w:tab w:val="left" w:pos="5040"/>
          <w:tab w:val="left" w:pos="5460"/>
          <w:tab w:val="left" w:pos="5880"/>
        </w:tabs>
        <w:rPr>
          <w:rFonts w:ascii="Times New Roman" w:hAnsi="Times New Roman" w:eastAsia="仿宋" w:cs="Times New Roman"/>
          <w:sz w:val="32"/>
          <w:szCs w:val="32"/>
        </w:rPr>
      </w:pPr>
      <w:r>
        <w:rPr>
          <w:rFonts w:ascii="Times New Roman" w:hAnsi="Times New Roman" w:eastAsia="仿宋" w:cs="Times New Roman"/>
          <w:sz w:val="32"/>
          <w:szCs w:val="32"/>
        </w:rPr>
        <w:t>(十一)</w:t>
      </w:r>
      <w:r>
        <w:rPr>
          <w:rFonts w:ascii="Times New Roman" w:hAnsi="Times New Roman" w:eastAsia="仿宋" w:cs="Times New Roman"/>
          <w:sz w:val="32"/>
          <w:szCs w:val="32"/>
        </w:rPr>
        <w:tab/>
      </w:r>
      <w:r>
        <w:rPr>
          <w:rFonts w:ascii="Times New Roman" w:hAnsi="Times New Roman" w:eastAsia="仿宋" w:cs="Times New Roman"/>
          <w:sz w:val="32"/>
          <w:szCs w:val="32"/>
        </w:rPr>
        <w:t>涉农资金</w:t>
      </w:r>
      <w:r>
        <w:rPr>
          <w:rFonts w:ascii="Times New Roman" w:hAnsi="Times New Roman" w:eastAsia="仿宋" w:cs="Times New Roman"/>
          <w:sz w:val="32"/>
          <w:szCs w:val="32"/>
        </w:rPr>
        <w:tab/>
      </w:r>
      <w:r>
        <w:rPr>
          <w:rFonts w:ascii="Times New Roman" w:hAnsi="Times New Roman" w:eastAsia="仿宋" w:cs="Times New Roman"/>
          <w:sz w:val="32"/>
          <w:szCs w:val="32"/>
        </w:rPr>
        <w:t>负责涉农资金的落实</w:t>
      </w:r>
      <w:r>
        <w:rPr>
          <w:rFonts w:hint="eastAsia" w:ascii="Times New Roman" w:hAnsi="Times New Roman" w:eastAsia="仿宋" w:cs="Times New Roman"/>
          <w:sz w:val="32"/>
          <w:szCs w:val="32"/>
        </w:rPr>
        <w:t>，</w:t>
      </w:r>
      <w:r>
        <w:rPr>
          <w:rFonts w:ascii="Times New Roman" w:hAnsi="Times New Roman" w:eastAsia="仿宋" w:cs="Times New Roman"/>
          <w:sz w:val="32"/>
          <w:szCs w:val="32"/>
        </w:rPr>
        <w:t>将各项涉农资金兑付落实，监督管理资金的合理有效使用。</w:t>
      </w:r>
    </w:p>
    <w:p w14:paraId="3E6A3FB9">
      <w:pPr>
        <w:tabs>
          <w:tab w:val="left" w:pos="420"/>
          <w:tab w:val="left" w:pos="840"/>
          <w:tab w:val="left" w:pos="1260"/>
          <w:tab w:val="left" w:pos="1680"/>
          <w:tab w:val="left" w:pos="2100"/>
          <w:tab w:val="left" w:pos="2520"/>
          <w:tab w:val="left" w:pos="2940"/>
          <w:tab w:val="left" w:pos="3360"/>
          <w:tab w:val="left" w:pos="3780"/>
          <w:tab w:val="left" w:pos="4200"/>
          <w:tab w:val="left" w:pos="5040"/>
          <w:tab w:val="left" w:pos="5460"/>
          <w:tab w:val="left" w:pos="5880"/>
        </w:tabs>
        <w:rPr>
          <w:rFonts w:ascii="Times New Roman" w:hAnsi="Times New Roman" w:eastAsia="仿宋" w:cs="Times New Roman"/>
          <w:sz w:val="32"/>
          <w:szCs w:val="32"/>
        </w:rPr>
      </w:pPr>
      <w:r>
        <w:rPr>
          <w:rFonts w:ascii="Times New Roman" w:hAnsi="Times New Roman" w:eastAsia="仿宋" w:cs="Times New Roman"/>
          <w:sz w:val="32"/>
          <w:szCs w:val="32"/>
        </w:rPr>
        <w:t>(十二)</w:t>
      </w:r>
      <w:r>
        <w:rPr>
          <w:rFonts w:ascii="Times New Roman" w:hAnsi="Times New Roman" w:eastAsia="仿宋" w:cs="Times New Roman"/>
          <w:sz w:val="32"/>
          <w:szCs w:val="32"/>
        </w:rPr>
        <w:tab/>
      </w:r>
      <w:r>
        <w:rPr>
          <w:rFonts w:ascii="Times New Roman" w:hAnsi="Times New Roman" w:eastAsia="仿宋" w:cs="Times New Roman"/>
          <w:sz w:val="32"/>
          <w:szCs w:val="32"/>
        </w:rPr>
        <w:t>国有资产管理</w:t>
      </w:r>
      <w:r>
        <w:rPr>
          <w:rFonts w:ascii="Times New Roman" w:hAnsi="Times New Roman" w:eastAsia="仿宋" w:cs="Times New Roman"/>
          <w:sz w:val="32"/>
          <w:szCs w:val="32"/>
        </w:rPr>
        <w:tab/>
      </w:r>
      <w:r>
        <w:rPr>
          <w:rFonts w:ascii="Times New Roman" w:hAnsi="Times New Roman" w:eastAsia="仿宋" w:cs="Times New Roman"/>
          <w:sz w:val="32"/>
          <w:szCs w:val="32"/>
        </w:rPr>
        <w:t>负责管理镇国有资产</w:t>
      </w:r>
      <w:r>
        <w:rPr>
          <w:rFonts w:hint="eastAsia" w:ascii="Times New Roman" w:hAnsi="Times New Roman" w:eastAsia="仿宋" w:cs="Times New Roman"/>
          <w:sz w:val="32"/>
          <w:szCs w:val="32"/>
        </w:rPr>
        <w:t>，</w:t>
      </w:r>
      <w:r>
        <w:rPr>
          <w:rFonts w:ascii="Times New Roman" w:hAnsi="Times New Roman" w:eastAsia="仿宋" w:cs="Times New Roman"/>
          <w:sz w:val="32"/>
          <w:szCs w:val="32"/>
        </w:rPr>
        <w:t>加强国有资产管理，严防国有资产流失</w:t>
      </w:r>
    </w:p>
    <w:p w14:paraId="5A6F573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460"/>
          <w:tab w:val="left" w:pos="5880"/>
        </w:tabs>
        <w:rPr>
          <w:rFonts w:ascii="Times New Roman" w:hAnsi="Times New Roman" w:eastAsia="仿宋" w:cs="Times New Roman"/>
          <w:sz w:val="32"/>
          <w:szCs w:val="32"/>
        </w:rPr>
      </w:pPr>
      <w:r>
        <w:rPr>
          <w:rFonts w:ascii="Times New Roman" w:hAnsi="Times New Roman" w:eastAsia="仿宋" w:cs="Times New Roman"/>
          <w:sz w:val="32"/>
          <w:szCs w:val="32"/>
        </w:rPr>
        <w:t>(十三)</w:t>
      </w:r>
      <w:r>
        <w:rPr>
          <w:rFonts w:ascii="Times New Roman" w:hAnsi="Times New Roman" w:eastAsia="仿宋" w:cs="Times New Roman"/>
          <w:sz w:val="32"/>
          <w:szCs w:val="32"/>
        </w:rPr>
        <w:tab/>
      </w:r>
      <w:r>
        <w:rPr>
          <w:rFonts w:ascii="Times New Roman" w:hAnsi="Times New Roman" w:eastAsia="仿宋" w:cs="Times New Roman"/>
          <w:sz w:val="32"/>
          <w:szCs w:val="32"/>
        </w:rPr>
        <w:t>债权债务管理</w:t>
      </w:r>
      <w:r>
        <w:rPr>
          <w:rFonts w:ascii="Times New Roman" w:hAnsi="Times New Roman" w:eastAsia="仿宋" w:cs="Times New Roman"/>
          <w:sz w:val="32"/>
          <w:szCs w:val="32"/>
        </w:rPr>
        <w:tab/>
      </w:r>
      <w:r>
        <w:rPr>
          <w:rFonts w:ascii="Times New Roman" w:hAnsi="Times New Roman" w:eastAsia="仿宋" w:cs="Times New Roman"/>
          <w:sz w:val="32"/>
          <w:szCs w:val="32"/>
        </w:rPr>
        <w:t>实施债权债务监督管理</w:t>
      </w:r>
      <w:r>
        <w:rPr>
          <w:rFonts w:hint="eastAsia" w:ascii="Times New Roman" w:hAnsi="Times New Roman" w:eastAsia="仿宋" w:cs="Times New Roman"/>
          <w:sz w:val="32"/>
          <w:szCs w:val="32"/>
        </w:rPr>
        <w:t>，</w:t>
      </w:r>
      <w:r>
        <w:rPr>
          <w:rFonts w:ascii="Times New Roman" w:hAnsi="Times New Roman" w:eastAsia="仿宋" w:cs="Times New Roman"/>
          <w:sz w:val="32"/>
          <w:szCs w:val="32"/>
        </w:rPr>
        <w:t>实施债权债务监督管理，杜绝增加政府债务</w:t>
      </w:r>
    </w:p>
    <w:p w14:paraId="6D2C779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仿宋" w:cs="Times New Roman"/>
          <w:sz w:val="32"/>
          <w:szCs w:val="32"/>
        </w:rPr>
      </w:pPr>
      <w:r>
        <w:rPr>
          <w:rFonts w:ascii="Times New Roman" w:hAnsi="Times New Roman" w:eastAsia="仿宋" w:cs="Times New Roman"/>
          <w:sz w:val="32"/>
          <w:szCs w:val="32"/>
        </w:rPr>
        <w:t>(十四)</w:t>
      </w:r>
      <w:r>
        <w:rPr>
          <w:rFonts w:ascii="Times New Roman" w:hAnsi="Times New Roman" w:eastAsia="仿宋" w:cs="Times New Roman"/>
          <w:sz w:val="32"/>
          <w:szCs w:val="32"/>
        </w:rPr>
        <w:tab/>
      </w:r>
      <w:r>
        <w:rPr>
          <w:rFonts w:ascii="Times New Roman" w:hAnsi="Times New Roman" w:eastAsia="仿宋" w:cs="Times New Roman"/>
          <w:sz w:val="32"/>
          <w:szCs w:val="32"/>
        </w:rPr>
        <w:t>完善农村土地经营管理体制</w:t>
      </w:r>
      <w:r>
        <w:rPr>
          <w:rFonts w:ascii="Times New Roman" w:hAnsi="Times New Roman" w:eastAsia="仿宋" w:cs="Times New Roman"/>
          <w:sz w:val="32"/>
          <w:szCs w:val="32"/>
        </w:rPr>
        <w:tab/>
      </w:r>
      <w:r>
        <w:rPr>
          <w:rFonts w:ascii="Times New Roman" w:hAnsi="Times New Roman" w:eastAsia="仿宋" w:cs="Times New Roman"/>
          <w:sz w:val="32"/>
          <w:szCs w:val="32"/>
        </w:rPr>
        <w:t>推进农村集体产权制度改革，完善农村土地承包制度，引导农村土地合理流转。创新农业经营主体。规范流转行为，优化资源配置，促进农民专业合作经济组织健康发展，加快新农村建设和城镇化进程。</w:t>
      </w:r>
    </w:p>
    <w:p w14:paraId="626365E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仿宋" w:cs="Times New Roman"/>
          <w:sz w:val="32"/>
          <w:szCs w:val="32"/>
        </w:rPr>
      </w:pPr>
      <w:r>
        <w:rPr>
          <w:rFonts w:ascii="Times New Roman" w:hAnsi="Times New Roman" w:eastAsia="仿宋" w:cs="Times New Roman"/>
          <w:sz w:val="32"/>
          <w:szCs w:val="32"/>
        </w:rPr>
        <w:t>(十五)</w:t>
      </w:r>
      <w:r>
        <w:rPr>
          <w:rFonts w:ascii="Times New Roman" w:hAnsi="Times New Roman" w:eastAsia="仿宋" w:cs="Times New Roman"/>
          <w:sz w:val="32"/>
          <w:szCs w:val="32"/>
        </w:rPr>
        <w:tab/>
      </w:r>
      <w:r>
        <w:rPr>
          <w:rFonts w:ascii="Times New Roman" w:hAnsi="Times New Roman" w:eastAsia="仿宋" w:cs="Times New Roman"/>
          <w:sz w:val="32"/>
          <w:szCs w:val="32"/>
        </w:rPr>
        <w:t>推动文化发展</w:t>
      </w:r>
      <w:r>
        <w:rPr>
          <w:rFonts w:ascii="Times New Roman" w:hAnsi="Times New Roman" w:eastAsia="仿宋" w:cs="Times New Roman"/>
          <w:sz w:val="32"/>
          <w:szCs w:val="32"/>
        </w:rPr>
        <w:tab/>
      </w:r>
      <w:r>
        <w:rPr>
          <w:rFonts w:ascii="Times New Roman" w:hAnsi="Times New Roman" w:eastAsia="仿宋" w:cs="Times New Roman"/>
          <w:sz w:val="32"/>
          <w:szCs w:val="32"/>
        </w:rPr>
        <w:t>运用多种文化艺术手段，开展丰富多彩群众活动。运用多种文化艺术手段，丰富群众文化、提高农民基本素质</w:t>
      </w:r>
    </w:p>
    <w:p w14:paraId="5500FFB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rPr>
          <w:rFonts w:ascii="Times New Roman" w:hAnsi="Times New Roman" w:eastAsia="仿宋" w:cs="Times New Roman"/>
          <w:sz w:val="32"/>
          <w:szCs w:val="32"/>
        </w:rPr>
      </w:pPr>
      <w:r>
        <w:rPr>
          <w:rFonts w:ascii="Times New Roman" w:hAnsi="Times New Roman" w:eastAsia="仿宋" w:cs="Times New Roman"/>
          <w:sz w:val="32"/>
          <w:szCs w:val="32"/>
        </w:rPr>
        <w:t>(十六)</w:t>
      </w:r>
      <w:r>
        <w:rPr>
          <w:rFonts w:ascii="Times New Roman" w:hAnsi="Times New Roman" w:eastAsia="仿宋" w:cs="Times New Roman"/>
          <w:sz w:val="32"/>
          <w:szCs w:val="32"/>
        </w:rPr>
        <w:tab/>
      </w:r>
      <w:r>
        <w:rPr>
          <w:rFonts w:ascii="Times New Roman" w:hAnsi="Times New Roman" w:eastAsia="仿宋" w:cs="Times New Roman"/>
          <w:sz w:val="32"/>
          <w:szCs w:val="32"/>
        </w:rPr>
        <w:t>农村管理</w:t>
      </w:r>
      <w:r>
        <w:rPr>
          <w:rFonts w:ascii="Times New Roman" w:hAnsi="Times New Roman" w:eastAsia="仿宋" w:cs="Times New Roman"/>
          <w:sz w:val="32"/>
          <w:szCs w:val="32"/>
        </w:rPr>
        <w:tab/>
      </w:r>
      <w:r>
        <w:rPr>
          <w:rFonts w:ascii="Times New Roman" w:hAnsi="Times New Roman" w:eastAsia="仿宋" w:cs="Times New Roman"/>
          <w:sz w:val="32"/>
          <w:szCs w:val="32"/>
        </w:rPr>
        <w:t>对各行政村村容村貌及卫生维护提升</w:t>
      </w:r>
      <w:r>
        <w:rPr>
          <w:rFonts w:hint="eastAsia" w:ascii="Times New Roman" w:hAnsi="Times New Roman" w:eastAsia="仿宋" w:cs="Times New Roman"/>
          <w:sz w:val="32"/>
          <w:szCs w:val="32"/>
        </w:rPr>
        <w:t>，</w:t>
      </w:r>
      <w:r>
        <w:rPr>
          <w:rFonts w:ascii="Times New Roman" w:hAnsi="Times New Roman" w:eastAsia="仿宋" w:cs="Times New Roman"/>
          <w:sz w:val="32"/>
          <w:szCs w:val="32"/>
        </w:rPr>
        <w:t>农村卫生长效管理机制</w:t>
      </w:r>
    </w:p>
    <w:p w14:paraId="01CBBCB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rPr>
          <w:rFonts w:ascii="Times New Roman" w:hAnsi="Times New Roman" w:eastAsia="仿宋" w:cs="Times New Roman"/>
          <w:sz w:val="32"/>
          <w:szCs w:val="32"/>
        </w:rPr>
      </w:pPr>
      <w:r>
        <w:rPr>
          <w:rFonts w:ascii="Times New Roman" w:hAnsi="Times New Roman" w:eastAsia="仿宋" w:cs="Times New Roman"/>
          <w:sz w:val="32"/>
          <w:szCs w:val="32"/>
        </w:rPr>
        <w:t>(十七)</w:t>
      </w:r>
      <w:r>
        <w:rPr>
          <w:rFonts w:ascii="Times New Roman" w:hAnsi="Times New Roman" w:eastAsia="仿宋" w:cs="Times New Roman"/>
          <w:sz w:val="32"/>
          <w:szCs w:val="32"/>
        </w:rPr>
        <w:tab/>
      </w:r>
      <w:r>
        <w:rPr>
          <w:rFonts w:ascii="Times New Roman" w:hAnsi="Times New Roman" w:eastAsia="仿宋" w:cs="Times New Roman"/>
          <w:sz w:val="32"/>
          <w:szCs w:val="32"/>
        </w:rPr>
        <w:t>政务管理</w:t>
      </w:r>
      <w:r>
        <w:rPr>
          <w:rFonts w:ascii="Times New Roman" w:hAnsi="Times New Roman" w:eastAsia="仿宋" w:cs="Times New Roman"/>
          <w:sz w:val="32"/>
          <w:szCs w:val="32"/>
        </w:rPr>
        <w:tab/>
      </w:r>
      <w:r>
        <w:rPr>
          <w:rFonts w:ascii="Times New Roman" w:hAnsi="Times New Roman" w:eastAsia="仿宋" w:cs="Times New Roman"/>
          <w:sz w:val="32"/>
          <w:szCs w:val="32"/>
        </w:rPr>
        <w:t>加强对社会关注关系民生的社会事管理</w:t>
      </w:r>
      <w:r>
        <w:rPr>
          <w:rFonts w:hint="eastAsia" w:ascii="Times New Roman" w:hAnsi="Times New Roman" w:eastAsia="仿宋" w:cs="Times New Roman"/>
          <w:sz w:val="32"/>
          <w:szCs w:val="32"/>
        </w:rPr>
        <w:t>，</w:t>
      </w:r>
      <w:r>
        <w:rPr>
          <w:rFonts w:ascii="Times New Roman" w:hAnsi="Times New Roman" w:eastAsia="仿宋" w:cs="Times New Roman"/>
          <w:sz w:val="32"/>
          <w:szCs w:val="32"/>
        </w:rPr>
        <w:t>抓好土地、环保、安全生产、食品安全、社会环境等的治理</w:t>
      </w:r>
    </w:p>
    <w:p w14:paraId="49047491">
      <w:pPr>
        <w:ind w:firstLine="640"/>
        <w:rPr>
          <w:rFonts w:ascii="仿宋" w:hAnsi="仿宋" w:eastAsia="仿宋" w:cs="Times New Roman"/>
          <w:sz w:val="32"/>
          <w:szCs w:val="32"/>
        </w:rPr>
      </w:pPr>
    </w:p>
    <w:p w14:paraId="375E4E07">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4243F6A3">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8"/>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66B73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2396DD82">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14:paraId="104DE47A">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14:paraId="6AB0C955">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14:paraId="55467DDD">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27ECC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434F64C4">
            <w:pPr>
              <w:spacing w:line="300" w:lineRule="exact"/>
              <w:jc w:val="left"/>
              <w:outlineLvl w:val="0"/>
              <w:rPr>
                <w:rFonts w:ascii="Times New Roman" w:hAnsi="Times New Roman" w:cs="Times New Roman"/>
                <w:szCs w:val="24"/>
              </w:rPr>
            </w:pPr>
          </w:p>
        </w:tc>
        <w:tc>
          <w:tcPr>
            <w:tcW w:w="1134" w:type="dxa"/>
            <w:vMerge w:val="continue"/>
            <w:vAlign w:val="center"/>
          </w:tcPr>
          <w:p w14:paraId="2019C367">
            <w:pPr>
              <w:spacing w:line="300" w:lineRule="exact"/>
              <w:jc w:val="left"/>
              <w:outlineLvl w:val="0"/>
              <w:rPr>
                <w:rFonts w:ascii="Times New Roman" w:hAnsi="Times New Roman" w:cs="Times New Roman"/>
                <w:szCs w:val="24"/>
              </w:rPr>
            </w:pPr>
          </w:p>
        </w:tc>
        <w:tc>
          <w:tcPr>
            <w:tcW w:w="1276" w:type="dxa"/>
            <w:vMerge w:val="continue"/>
            <w:vAlign w:val="center"/>
          </w:tcPr>
          <w:p w14:paraId="14C22A43">
            <w:pPr>
              <w:spacing w:line="300" w:lineRule="exact"/>
              <w:jc w:val="left"/>
              <w:outlineLvl w:val="0"/>
              <w:rPr>
                <w:rFonts w:ascii="Times New Roman" w:hAnsi="Times New Roman" w:cs="Times New Roman"/>
                <w:szCs w:val="24"/>
              </w:rPr>
            </w:pPr>
          </w:p>
        </w:tc>
        <w:tc>
          <w:tcPr>
            <w:tcW w:w="2902" w:type="dxa"/>
            <w:vMerge w:val="continue"/>
            <w:vAlign w:val="center"/>
          </w:tcPr>
          <w:p w14:paraId="64A593F9">
            <w:pPr>
              <w:spacing w:line="300" w:lineRule="exact"/>
              <w:jc w:val="left"/>
              <w:outlineLvl w:val="0"/>
              <w:rPr>
                <w:rFonts w:ascii="Times New Roman" w:hAnsi="Times New Roman" w:cs="Times New Roman"/>
                <w:szCs w:val="24"/>
              </w:rPr>
            </w:pPr>
          </w:p>
        </w:tc>
      </w:tr>
      <w:tr w14:paraId="03E4E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tcPr>
          <w:p w14:paraId="196EED0B">
            <w:pPr>
              <w:jc w:val="left"/>
              <w:rPr>
                <w:rFonts w:ascii="宋体" w:hAnsi="宋体"/>
                <w:sz w:val="24"/>
              </w:rPr>
            </w:pPr>
            <w:r>
              <w:rPr>
                <w:rFonts w:hint="eastAsia" w:ascii="宋体" w:hAnsi="宋体"/>
                <w:sz w:val="24"/>
              </w:rPr>
              <w:t>石家庄市藁城区常安镇人民政府</w:t>
            </w:r>
          </w:p>
        </w:tc>
        <w:tc>
          <w:tcPr>
            <w:tcW w:w="1134" w:type="dxa"/>
          </w:tcPr>
          <w:p w14:paraId="2D452007">
            <w:pPr>
              <w:jc w:val="left"/>
              <w:rPr>
                <w:rFonts w:ascii="宋体" w:hAnsi="宋体"/>
                <w:sz w:val="24"/>
              </w:rPr>
            </w:pPr>
            <w:r>
              <w:rPr>
                <w:rFonts w:hint="eastAsia" w:ascii="宋体" w:hAnsi="宋体"/>
                <w:sz w:val="24"/>
              </w:rPr>
              <w:t>行政</w:t>
            </w:r>
          </w:p>
        </w:tc>
        <w:tc>
          <w:tcPr>
            <w:tcW w:w="1276" w:type="dxa"/>
          </w:tcPr>
          <w:p w14:paraId="70DA56BE">
            <w:pPr>
              <w:jc w:val="center"/>
              <w:rPr>
                <w:rFonts w:ascii="宋体" w:hAnsi="宋体"/>
                <w:sz w:val="24"/>
              </w:rPr>
            </w:pPr>
            <w:r>
              <w:rPr>
                <w:rFonts w:hint="eastAsia" w:ascii="宋体" w:hAnsi="宋体"/>
                <w:sz w:val="24"/>
              </w:rPr>
              <w:t>正科级</w:t>
            </w:r>
          </w:p>
        </w:tc>
        <w:tc>
          <w:tcPr>
            <w:tcW w:w="2902" w:type="dxa"/>
          </w:tcPr>
          <w:p w14:paraId="12D34DDC">
            <w:pPr>
              <w:jc w:val="left"/>
              <w:rPr>
                <w:rFonts w:ascii="宋体" w:hAnsi="宋体"/>
                <w:sz w:val="24"/>
              </w:rPr>
            </w:pPr>
            <w:r>
              <w:rPr>
                <w:rFonts w:hint="eastAsia" w:ascii="宋体" w:hAnsi="宋体"/>
                <w:sz w:val="24"/>
              </w:rPr>
              <w:t>财政拨款</w:t>
            </w:r>
          </w:p>
        </w:tc>
      </w:tr>
      <w:tr w14:paraId="7EC29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16B3528F">
            <w:pPr>
              <w:spacing w:line="300" w:lineRule="exact"/>
              <w:jc w:val="left"/>
              <w:rPr>
                <w:rFonts w:ascii="方正书宋_GBK" w:eastAsia="方正书宋_GBK"/>
              </w:rPr>
            </w:pPr>
            <w:r>
              <w:rPr>
                <w:rFonts w:hint="eastAsia" w:ascii="方正书宋_GBK" w:eastAsia="方正书宋_GBK"/>
              </w:rPr>
              <w:t>石家庄市藁城区常安镇中心校</w:t>
            </w:r>
            <w:r>
              <w:rPr>
                <w:rFonts w:ascii="方正书宋_GBK" w:eastAsia="方正书宋_GBK"/>
              </w:rPr>
              <w:t>(</w:t>
            </w:r>
            <w:r>
              <w:rPr>
                <w:rFonts w:hint="eastAsia" w:ascii="方正书宋_GBK" w:eastAsia="方正书宋_GBK"/>
              </w:rPr>
              <w:t>小学</w:t>
            </w:r>
            <w:r>
              <w:rPr>
                <w:rFonts w:ascii="方正书宋_GBK" w:eastAsia="方正书宋_GBK"/>
              </w:rPr>
              <w:t>)</w:t>
            </w:r>
          </w:p>
        </w:tc>
        <w:tc>
          <w:tcPr>
            <w:tcW w:w="1134" w:type="dxa"/>
            <w:vAlign w:val="center"/>
          </w:tcPr>
          <w:p w14:paraId="6974674A">
            <w:pPr>
              <w:spacing w:line="300" w:lineRule="exact"/>
              <w:jc w:val="center"/>
              <w:rPr>
                <w:rFonts w:ascii="方正书宋_GBK" w:eastAsia="方正书宋_GBK"/>
              </w:rPr>
            </w:pPr>
            <w:r>
              <w:rPr>
                <w:rFonts w:hint="eastAsia" w:ascii="方正书宋_GBK" w:eastAsia="方正书宋_GBK"/>
              </w:rPr>
              <w:t>事业</w:t>
            </w:r>
          </w:p>
        </w:tc>
        <w:tc>
          <w:tcPr>
            <w:tcW w:w="1276" w:type="dxa"/>
            <w:vAlign w:val="center"/>
          </w:tcPr>
          <w:p w14:paraId="229AAB21">
            <w:pPr>
              <w:spacing w:line="300" w:lineRule="exact"/>
              <w:jc w:val="center"/>
              <w:rPr>
                <w:rFonts w:ascii="方正书宋_GBK" w:eastAsia="方正书宋_GBK"/>
              </w:rPr>
            </w:pPr>
            <w:r>
              <w:rPr>
                <w:rFonts w:hint="eastAsia" w:ascii="方正书宋_GBK" w:eastAsia="方正书宋_GBK"/>
              </w:rPr>
              <w:t>副科级</w:t>
            </w:r>
          </w:p>
        </w:tc>
        <w:tc>
          <w:tcPr>
            <w:tcW w:w="2902" w:type="dxa"/>
            <w:vAlign w:val="center"/>
          </w:tcPr>
          <w:p w14:paraId="04774B85">
            <w:pPr>
              <w:spacing w:line="300" w:lineRule="exact"/>
              <w:jc w:val="center"/>
              <w:rPr>
                <w:rFonts w:ascii="方正书宋_GBK" w:eastAsia="方正书宋_GBK"/>
              </w:rPr>
            </w:pPr>
            <w:r>
              <w:rPr>
                <w:rFonts w:hint="eastAsia" w:ascii="方正书宋_GBK" w:eastAsia="方正书宋_GBK"/>
              </w:rPr>
              <w:t>财政性资金基本保证</w:t>
            </w:r>
          </w:p>
        </w:tc>
      </w:tr>
      <w:tr w14:paraId="291CD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1DA99AE1">
            <w:pPr>
              <w:spacing w:line="300" w:lineRule="exact"/>
              <w:jc w:val="left"/>
              <w:rPr>
                <w:rFonts w:ascii="方正书宋_GBK" w:eastAsia="方正书宋_GBK"/>
              </w:rPr>
            </w:pPr>
            <w:r>
              <w:rPr>
                <w:rFonts w:hint="eastAsia" w:ascii="方正书宋_GBK" w:eastAsia="方正书宋_GBK"/>
              </w:rPr>
              <w:t>石家庄市藁城区常安镇中心校</w:t>
            </w:r>
            <w:r>
              <w:rPr>
                <w:rFonts w:ascii="方正书宋_GBK" w:eastAsia="方正书宋_GBK"/>
              </w:rPr>
              <w:t>(</w:t>
            </w:r>
            <w:r>
              <w:rPr>
                <w:rFonts w:hint="eastAsia" w:ascii="方正书宋_GBK" w:eastAsia="方正书宋_GBK"/>
              </w:rPr>
              <w:t>中学</w:t>
            </w:r>
            <w:r>
              <w:rPr>
                <w:rFonts w:ascii="方正书宋_GBK" w:eastAsia="方正书宋_GBK"/>
              </w:rPr>
              <w:t>)</w:t>
            </w:r>
          </w:p>
        </w:tc>
        <w:tc>
          <w:tcPr>
            <w:tcW w:w="1134" w:type="dxa"/>
            <w:vAlign w:val="center"/>
          </w:tcPr>
          <w:p w14:paraId="61986073">
            <w:pPr>
              <w:spacing w:line="300" w:lineRule="exact"/>
              <w:jc w:val="center"/>
              <w:rPr>
                <w:rFonts w:ascii="方正书宋_GBK" w:eastAsia="方正书宋_GBK"/>
              </w:rPr>
            </w:pPr>
            <w:r>
              <w:rPr>
                <w:rFonts w:hint="eastAsia" w:ascii="方正书宋_GBK" w:eastAsia="方正书宋_GBK"/>
              </w:rPr>
              <w:t>事业</w:t>
            </w:r>
          </w:p>
        </w:tc>
        <w:tc>
          <w:tcPr>
            <w:tcW w:w="1276" w:type="dxa"/>
            <w:vAlign w:val="center"/>
          </w:tcPr>
          <w:p w14:paraId="003FAC8A">
            <w:pPr>
              <w:spacing w:line="300" w:lineRule="exact"/>
              <w:jc w:val="center"/>
              <w:rPr>
                <w:rFonts w:ascii="方正书宋_GBK" w:eastAsia="方正书宋_GBK"/>
              </w:rPr>
            </w:pPr>
            <w:r>
              <w:rPr>
                <w:rFonts w:hint="eastAsia" w:ascii="方正书宋_GBK" w:eastAsia="方正书宋_GBK"/>
              </w:rPr>
              <w:t>副科级</w:t>
            </w:r>
          </w:p>
        </w:tc>
        <w:tc>
          <w:tcPr>
            <w:tcW w:w="2902" w:type="dxa"/>
            <w:vAlign w:val="center"/>
          </w:tcPr>
          <w:p w14:paraId="59C57F68">
            <w:pPr>
              <w:spacing w:line="300" w:lineRule="exact"/>
              <w:jc w:val="center"/>
              <w:rPr>
                <w:rFonts w:ascii="方正书宋_GBK" w:eastAsia="方正书宋_GBK"/>
              </w:rPr>
            </w:pPr>
            <w:r>
              <w:rPr>
                <w:rFonts w:hint="eastAsia" w:ascii="方正书宋_GBK" w:eastAsia="方正书宋_GBK"/>
              </w:rPr>
              <w:t>财政性资金基本保证</w:t>
            </w:r>
          </w:p>
        </w:tc>
      </w:tr>
    </w:tbl>
    <w:p w14:paraId="0B437A76"/>
    <w:p w14:paraId="0C3518F9">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2A694178">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石家庄市藁城区常安镇人民政府</w:t>
      </w:r>
      <w:r>
        <w:rPr>
          <w:rFonts w:ascii="Times New Roman" w:hAnsi="Times New Roman" w:eastAsia="仿宋" w:cs="Times New Roman"/>
          <w:sz w:val="32"/>
          <w:szCs w:val="32"/>
        </w:rPr>
        <w:t>的收支包含在部门预算中。</w:t>
      </w:r>
    </w:p>
    <w:p w14:paraId="57DE7B9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0F31EB6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反映本部门当年全部收入。2020年预算收入6524.86万元，其中：一般公共预算收入6524.86万元，政府基金预算收入0万元，财政专户核拨收入0万元，其他来源收入0万元。</w:t>
      </w:r>
    </w:p>
    <w:p w14:paraId="690D598E">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678BF77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藁城区常安镇人民政府预算中支出预算的总体情况。2020年部门支出预算为6524.86万元，其中基本支出6314.85万元，包括人员经费6152.93万元和日常公用经费161.92万元；项目支出210.01万元，主要为常安镇政府工会经费支出3万元，常安学区工会支出20万元，离任村干部生活补贴支出9.1万元，马山线、定魏线占地补贴支出7.81万元，村级服务群众专项经费支出58.5万元，村级办公经费支出9万元，综合工作经费支出102.6万元；其他支出0万元。</w:t>
      </w:r>
    </w:p>
    <w:p w14:paraId="0BF6C3D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30F7805F">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2020年部门预算收支安排6524.86万元，</w:t>
      </w:r>
      <w:r>
        <w:rPr>
          <w:rFonts w:hint="eastAsia" w:ascii="Times New Roman" w:hAnsi="Times New Roman" w:eastAsia="仿宋" w:cs="Times New Roman"/>
          <w:sz w:val="32"/>
          <w:szCs w:val="32"/>
        </w:rPr>
        <w:t>较2019年增加1684.46万元，其中：基本支出增加1613.7万元，主要是人员增加，相应增加人员经费和日常公用经费；项目支出增加70.76万元，主要是增加村级服务群众专项经费资金、村级办公经费资金、综合经费资金；其他支出无增减变化。</w:t>
      </w:r>
    </w:p>
    <w:p w14:paraId="46BCB0D3">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6F98B2FE">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161.92万元，主要用于保证机关正常运转的办公及印刷费、邮电费、差旅费、会议费、福利费、专用材料及一般设备购置费、办公用房电费、办公用房取暖费、日常维修费、劳务费、委托业务费、公务车运行维护费等支出。</w:t>
      </w:r>
    </w:p>
    <w:p w14:paraId="516ED0E0">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5FC9913E">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2020年，我部门财政拨款“三公”经费预算安排4.9万元，与上年相比减少0.3万元，其中：</w:t>
      </w:r>
    </w:p>
    <w:p w14:paraId="4ACAA06F">
      <w:pPr>
        <w:ind w:firstLine="640" w:firstLineChars="200"/>
        <w:outlineLvl w:val="0"/>
        <w:rPr>
          <w:rFonts w:ascii="仿宋" w:hAnsi="仿宋" w:eastAsia="仿宋"/>
          <w:sz w:val="32"/>
          <w:szCs w:val="32"/>
        </w:rPr>
      </w:pPr>
      <w:r>
        <w:rPr>
          <w:rFonts w:hint="eastAsia" w:ascii="仿宋" w:hAnsi="仿宋" w:eastAsia="仿宋"/>
          <w:sz w:val="32"/>
          <w:szCs w:val="32"/>
        </w:rPr>
        <w:t>1、因公出国（境）费0万元，与上年相比持平，无增减变化。</w:t>
      </w:r>
    </w:p>
    <w:p w14:paraId="7EB272AF">
      <w:pPr>
        <w:ind w:left="638" w:leftChars="304"/>
        <w:outlineLvl w:val="0"/>
        <w:rPr>
          <w:rFonts w:ascii="仿宋" w:hAnsi="仿宋" w:eastAsia="仿宋"/>
          <w:sz w:val="32"/>
          <w:szCs w:val="32"/>
        </w:rPr>
      </w:pPr>
      <w:r>
        <w:rPr>
          <w:rFonts w:hint="eastAsia" w:ascii="仿宋" w:hAnsi="仿宋" w:eastAsia="仿宋"/>
          <w:sz w:val="32"/>
          <w:szCs w:val="32"/>
        </w:rPr>
        <w:t>2、公务用车购置及运行维护费4.4万元，其中：公务用车购置</w:t>
      </w:r>
    </w:p>
    <w:p w14:paraId="5D11CFA1">
      <w:pPr>
        <w:outlineLvl w:val="0"/>
        <w:rPr>
          <w:rFonts w:ascii="仿宋" w:hAnsi="仿宋" w:eastAsia="仿宋"/>
          <w:sz w:val="32"/>
          <w:szCs w:val="32"/>
        </w:rPr>
      </w:pPr>
      <w:r>
        <w:rPr>
          <w:rFonts w:hint="eastAsia" w:ascii="仿宋" w:hAnsi="仿宋" w:eastAsia="仿宋"/>
          <w:sz w:val="32"/>
          <w:szCs w:val="32"/>
        </w:rPr>
        <w:t>0万元，与上年持平，无增减变化；公务用车运行维护费4.4万元，与上年持平，无增减变化。</w:t>
      </w:r>
    </w:p>
    <w:p w14:paraId="5AB54BF0">
      <w:pPr>
        <w:ind w:firstLine="640" w:firstLineChars="200"/>
        <w:outlineLvl w:val="0"/>
        <w:rPr>
          <w:rFonts w:ascii="仿宋" w:hAnsi="仿宋" w:eastAsia="仿宋"/>
          <w:sz w:val="32"/>
          <w:szCs w:val="32"/>
        </w:rPr>
      </w:pPr>
      <w:r>
        <w:rPr>
          <w:rFonts w:hint="eastAsia" w:ascii="仿宋" w:hAnsi="仿宋" w:eastAsia="仿宋"/>
          <w:sz w:val="32"/>
          <w:szCs w:val="32"/>
        </w:rPr>
        <w:t>3、公务接待费0.5万元，与上年减少相比0.3万元，原因为严格遵守八项规定要求，进一步压缩公务接待费。</w:t>
      </w:r>
    </w:p>
    <w:p w14:paraId="61E13743">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1DBA2CB7">
      <w:pPr>
        <w:ind w:firstLine="643" w:firstLineChars="200"/>
        <w:jc w:val="left"/>
        <w:rPr>
          <w:rFonts w:ascii="Times New Roman" w:hAnsi="Times New Roman" w:eastAsia="方正仿宋_GBK"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00745446">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284FC6F1">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认真落实国家的方针、政策，严格依法行政，充分发挥常安镇政府经济管理职能作用，加强本镇全体民众的政策引导，制定本镇的发展规划，为全镇人民提供公共服务，主动维护社会稳定，积极构建和谐社会。按照藁城区区委委、区政府等上级机关关于乡镇各项工作安排，保障便民服务中心、城乡环境综合治理、信访、安全维稳、安全生产、党代会、人代会、纪检监察、党建、</w:t>
      </w:r>
      <w:r>
        <w:rPr>
          <w:rFonts w:hint="eastAsia" w:ascii="Times New Roman" w:hAnsi="Times New Roman" w:eastAsia="仿宋" w:cs="Times New Roman"/>
          <w:sz w:val="32"/>
          <w:szCs w:val="32"/>
        </w:rPr>
        <w:t>脱贫攻坚</w:t>
      </w:r>
      <w:r>
        <w:rPr>
          <w:rFonts w:ascii="Times New Roman" w:hAnsi="Times New Roman" w:eastAsia="仿宋" w:cs="Times New Roman"/>
          <w:sz w:val="32"/>
          <w:szCs w:val="32"/>
        </w:rPr>
        <w:t>、服务群众等各项工作正常开展，按时、按质、按量完成各项工作任务，及时保障政府机关人员、村级工作经费、服务群众经费的发放，按时兑付村民的地力补偿、五保、低保、民政优抚、扶贫工作领域的各项资金，牢固树立立党为公、执政为民的工作理念，确保常安镇社会稳定、服务民生、道路畅通、环境干净优美、村民办事方便快捷。</w:t>
      </w:r>
    </w:p>
    <w:p w14:paraId="2787DE3B">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07FA7FB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29"/>
        <w:rPr>
          <w:rFonts w:ascii="Times New Roman" w:hAnsi="Times New Roman" w:eastAsia="仿宋" w:cs="Times New Roman"/>
          <w:sz w:val="32"/>
          <w:szCs w:val="32"/>
        </w:rPr>
      </w:pPr>
      <w:r>
        <w:rPr>
          <w:rFonts w:ascii="Times New Roman" w:hAnsi="Times New Roman" w:eastAsia="仿宋" w:cs="Times New Roman"/>
          <w:sz w:val="32"/>
          <w:szCs w:val="32"/>
        </w:rPr>
        <w:t>（一）政务管理上水平</w:t>
      </w:r>
      <w:r>
        <w:rPr>
          <w:rFonts w:ascii="Times New Roman" w:hAnsi="Times New Roman" w:eastAsia="仿宋" w:cs="Times New Roman"/>
          <w:sz w:val="32"/>
          <w:szCs w:val="32"/>
        </w:rPr>
        <w:tab/>
      </w:r>
    </w:p>
    <w:p w14:paraId="4A2E155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29"/>
        <w:rPr>
          <w:rFonts w:ascii="Times New Roman" w:hAnsi="Times New Roman" w:eastAsia="仿宋" w:cs="Times New Roman"/>
          <w:sz w:val="32"/>
          <w:szCs w:val="32"/>
        </w:rPr>
      </w:pPr>
      <w:r>
        <w:rPr>
          <w:rFonts w:ascii="Times New Roman" w:hAnsi="Times New Roman" w:eastAsia="仿宋" w:cs="Times New Roman"/>
          <w:sz w:val="32"/>
          <w:szCs w:val="32"/>
        </w:rPr>
        <w:t>绩效目标：依法依规履行机关日常管理职责，确保政府工作正常运行。有效保证镇政府日常应急值守和突发事件应对处置工作；完善应急预案体系建设，确保遇突发事件能够有效应对。</w:t>
      </w:r>
    </w:p>
    <w:p w14:paraId="5753D56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29"/>
        <w:rPr>
          <w:rFonts w:ascii="Times New Roman" w:hAnsi="Times New Roman" w:eastAsia="仿宋" w:cs="Times New Roman"/>
          <w:sz w:val="32"/>
          <w:szCs w:val="32"/>
        </w:rPr>
      </w:pPr>
      <w:r>
        <w:rPr>
          <w:rFonts w:ascii="Times New Roman" w:hAnsi="Times New Roman" w:eastAsia="仿宋" w:cs="Times New Roman"/>
          <w:sz w:val="32"/>
          <w:szCs w:val="32"/>
        </w:rPr>
        <w:t>绩效指标：1、综合业务管理，依法依规完成工作任务，推进科学决策。确保机关工作正常运行；2、应急管理，做好各类突发事件得到及时妥善处置，突发事件处理及时率90%以上；3、综合事务管理，环保、土地、食品安全、安全生产、文化体育事业、医疗教育各项工作有序开展，完成全年工作目标。</w:t>
      </w:r>
    </w:p>
    <w:p w14:paraId="048EEDF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29"/>
        <w:rPr>
          <w:rFonts w:ascii="Times New Roman" w:hAnsi="Times New Roman" w:eastAsia="仿宋" w:cs="Times New Roman"/>
          <w:sz w:val="32"/>
          <w:szCs w:val="32"/>
        </w:rPr>
      </w:pPr>
      <w:r>
        <w:rPr>
          <w:rFonts w:ascii="Times New Roman" w:hAnsi="Times New Roman" w:eastAsia="仿宋" w:cs="Times New Roman"/>
          <w:sz w:val="32"/>
          <w:szCs w:val="32"/>
        </w:rPr>
        <w:t>（二）社会治安有保障</w:t>
      </w:r>
    </w:p>
    <w:p w14:paraId="7DA80E5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29"/>
        <w:rPr>
          <w:rFonts w:ascii="Times New Roman" w:hAnsi="Times New Roman" w:eastAsia="仿宋" w:cs="Times New Roman"/>
          <w:sz w:val="32"/>
          <w:szCs w:val="32"/>
        </w:rPr>
      </w:pPr>
      <w:r>
        <w:rPr>
          <w:rFonts w:ascii="Times New Roman" w:hAnsi="Times New Roman" w:eastAsia="仿宋" w:cs="Times New Roman"/>
          <w:sz w:val="32"/>
          <w:szCs w:val="32"/>
        </w:rPr>
        <w:t>绩效目标：宣传贯彻国家法律法规和政策，增强农民法律知识，做好社会治安综合治理工作，做好司法、宗教工作，打击邪教；做好群众 来信来访、搞好农村矛盾纠纷排查调处；妥善处理</w:t>
      </w:r>
    </w:p>
    <w:p w14:paraId="691DF8D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29"/>
        <w:rPr>
          <w:rFonts w:ascii="Times New Roman" w:hAnsi="Times New Roman" w:eastAsia="仿宋" w:cs="Times New Roman"/>
          <w:sz w:val="32"/>
          <w:szCs w:val="32"/>
        </w:rPr>
      </w:pPr>
      <w:r>
        <w:rPr>
          <w:rFonts w:ascii="Times New Roman" w:hAnsi="Times New Roman" w:eastAsia="仿宋" w:cs="Times New Roman"/>
          <w:sz w:val="32"/>
          <w:szCs w:val="32"/>
        </w:rPr>
        <w:t>绩效指标：做好社会治安综合治理工作，做好司法、宗教工作，打击邪教；做好群众 来信来访、搞好农村矛盾纠纷排查调处；妥善处理突发性、群体性事件，维护社会稳定；打击各类犯罪活动。协调督导事项化解率90%以上</w:t>
      </w:r>
    </w:p>
    <w:p w14:paraId="5CA3AE8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29"/>
        <w:rPr>
          <w:rFonts w:ascii="Times New Roman" w:hAnsi="Times New Roman" w:eastAsia="仿宋" w:cs="Times New Roman"/>
          <w:sz w:val="32"/>
          <w:szCs w:val="32"/>
        </w:rPr>
      </w:pPr>
      <w:r>
        <w:rPr>
          <w:rFonts w:ascii="Times New Roman" w:hAnsi="Times New Roman" w:eastAsia="仿宋" w:cs="Times New Roman"/>
          <w:sz w:val="32"/>
          <w:szCs w:val="32"/>
        </w:rPr>
        <w:t>（三）乡村治理上台阶</w:t>
      </w:r>
    </w:p>
    <w:p w14:paraId="6EABA59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29"/>
        <w:rPr>
          <w:rFonts w:ascii="Times New Roman" w:hAnsi="Times New Roman" w:eastAsia="仿宋" w:cs="Times New Roman"/>
          <w:sz w:val="32"/>
          <w:szCs w:val="32"/>
        </w:rPr>
      </w:pPr>
      <w:r>
        <w:rPr>
          <w:rFonts w:ascii="Times New Roman" w:hAnsi="Times New Roman" w:eastAsia="仿宋" w:cs="Times New Roman"/>
          <w:sz w:val="32"/>
          <w:szCs w:val="32"/>
        </w:rPr>
        <w:t>绩效目标：认真落实区委区政府及上级有关部门乡村振兴战略有关部署，开展农村环境治理、对接落实乡村振兴相关工作，推动乡村发展；积极践行新时代文明实践行动，通过星级文明户评选、美丽庭院创建等活动进一步提升农村面貌；加强对村两委班子的管理，充分发挥村委会、村监会、红白理事会等群众自治组织的自身优势，推动乡村治理迈上新台阶。</w:t>
      </w:r>
    </w:p>
    <w:p w14:paraId="57F1ECD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29"/>
        <w:rPr>
          <w:rFonts w:ascii="Times New Roman" w:hAnsi="Times New Roman" w:eastAsia="仿宋" w:cs="Times New Roman"/>
          <w:sz w:val="32"/>
          <w:szCs w:val="32"/>
        </w:rPr>
      </w:pPr>
      <w:r>
        <w:rPr>
          <w:rFonts w:ascii="Times New Roman" w:hAnsi="Times New Roman" w:eastAsia="仿宋" w:cs="Times New Roman"/>
          <w:sz w:val="32"/>
          <w:szCs w:val="32"/>
        </w:rPr>
        <w:t>绩效指标：新时代文明实践活动、星级文明户评选活动等各项活动开展率95%以上，营造积极向上的乡村风貌；充分发挥村两委的乡村治理能力，积极做好乡村治理工作；村级工作经费、服务群众经费及时拨付，保障村民自治组织正常办公、服务群众活动顺利开展。</w:t>
      </w:r>
    </w:p>
    <w:p w14:paraId="2FC9296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29"/>
        <w:rPr>
          <w:rFonts w:ascii="Times New Roman" w:hAnsi="Times New Roman" w:eastAsia="仿宋" w:cs="Times New Roman"/>
          <w:sz w:val="32"/>
          <w:szCs w:val="32"/>
        </w:rPr>
      </w:pPr>
      <w:r>
        <w:rPr>
          <w:rFonts w:ascii="Times New Roman" w:hAnsi="Times New Roman" w:eastAsia="仿宋" w:cs="Times New Roman"/>
          <w:sz w:val="32"/>
          <w:szCs w:val="32"/>
        </w:rPr>
        <w:t>（四）社会救助显实效</w:t>
      </w:r>
    </w:p>
    <w:p w14:paraId="6D10395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29"/>
        <w:rPr>
          <w:rFonts w:ascii="Times New Roman" w:hAnsi="Times New Roman" w:eastAsia="仿宋" w:cs="Times New Roman"/>
          <w:sz w:val="32"/>
          <w:szCs w:val="32"/>
        </w:rPr>
      </w:pPr>
      <w:r>
        <w:rPr>
          <w:rFonts w:ascii="Times New Roman" w:hAnsi="Times New Roman" w:eastAsia="仿宋" w:cs="Times New Roman"/>
          <w:sz w:val="32"/>
          <w:szCs w:val="32"/>
        </w:rPr>
        <w:t>绩效目标：进一步强化社会救助体系建设，认真农村居民最低生活保障、低保、五保供养、医疗救助、临时救助、脱贫攻坚等各项工作。</w:t>
      </w:r>
    </w:p>
    <w:p w14:paraId="2F0698D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29"/>
        <w:rPr>
          <w:rFonts w:ascii="Times New Roman" w:hAnsi="Times New Roman" w:eastAsia="仿宋" w:cs="Times New Roman"/>
          <w:sz w:val="32"/>
          <w:szCs w:val="32"/>
        </w:rPr>
      </w:pPr>
      <w:r>
        <w:rPr>
          <w:rFonts w:ascii="Times New Roman" w:hAnsi="Times New Roman" w:eastAsia="仿宋" w:cs="Times New Roman"/>
          <w:sz w:val="32"/>
          <w:szCs w:val="32"/>
        </w:rPr>
        <w:t>绩效指标：完善农村社会救助制度，实施分类救助，落实动态管理，实现应保尽保。最低生活保障、五保户供养、临时生活救助及时率、准确率98%以上，精准扶贫户脱贫率100%。</w:t>
      </w:r>
    </w:p>
    <w:p w14:paraId="1E19032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29"/>
        <w:rPr>
          <w:rFonts w:ascii="Times New Roman" w:hAnsi="Times New Roman" w:eastAsia="仿宋" w:cs="Times New Roman"/>
          <w:sz w:val="32"/>
          <w:szCs w:val="32"/>
        </w:rPr>
      </w:pPr>
      <w:r>
        <w:rPr>
          <w:rFonts w:ascii="Times New Roman" w:hAnsi="Times New Roman" w:eastAsia="仿宋" w:cs="Times New Roman"/>
          <w:sz w:val="32"/>
          <w:szCs w:val="32"/>
        </w:rPr>
        <w:t>（五）经济发展求突破</w:t>
      </w:r>
    </w:p>
    <w:p w14:paraId="7D7B21C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29"/>
        <w:rPr>
          <w:rFonts w:ascii="Times New Roman" w:hAnsi="Times New Roman" w:eastAsia="仿宋" w:cs="Times New Roman"/>
          <w:sz w:val="32"/>
          <w:szCs w:val="32"/>
        </w:rPr>
      </w:pPr>
      <w:r>
        <w:rPr>
          <w:rFonts w:ascii="Times New Roman" w:hAnsi="Times New Roman" w:eastAsia="仿宋" w:cs="Times New Roman"/>
          <w:sz w:val="32"/>
          <w:szCs w:val="32"/>
        </w:rPr>
        <w:t>绩效目标：充分发挥常安镇区位优势，集中优势资源，创新招商方式，加大招商力度，利用好京津冀协同发展的历史机遇，吸引优质资源，提升</w:t>
      </w:r>
      <w:r>
        <w:rPr>
          <w:rFonts w:hint="eastAsia" w:ascii="Times New Roman" w:hAnsi="Times New Roman" w:eastAsia="仿宋" w:cs="Times New Roman"/>
          <w:sz w:val="32"/>
          <w:szCs w:val="32"/>
        </w:rPr>
        <w:t>常安</w:t>
      </w:r>
      <w:r>
        <w:rPr>
          <w:rFonts w:ascii="Times New Roman" w:hAnsi="Times New Roman" w:eastAsia="仿宋" w:cs="Times New Roman"/>
          <w:sz w:val="32"/>
          <w:szCs w:val="32"/>
        </w:rPr>
        <w:t>镇经济发展水平。</w:t>
      </w:r>
    </w:p>
    <w:p w14:paraId="31DD8898">
      <w:pPr>
        <w:pStyle w:val="17"/>
        <w:rPr>
          <w:rFonts w:ascii="Times New Roman" w:hAnsi="Times New Roman" w:eastAsia="仿宋"/>
          <w:kern w:val="2"/>
          <w:sz w:val="32"/>
          <w:szCs w:val="32"/>
          <w:lang w:eastAsia="zh-CN"/>
        </w:rPr>
      </w:pPr>
      <w:r>
        <w:rPr>
          <w:rFonts w:ascii="Times New Roman" w:hAnsi="Times New Roman" w:eastAsia="仿宋"/>
          <w:kern w:val="2"/>
          <w:sz w:val="32"/>
          <w:szCs w:val="32"/>
          <w:lang w:eastAsia="zh-CN"/>
        </w:rPr>
        <w:t xml:space="preserve">绩效指标：1、上级下达的各项年度经济指标完成率98%以上，2、年度财税收入完成率100%。 </w:t>
      </w:r>
    </w:p>
    <w:p w14:paraId="16E59E33">
      <w:pPr>
        <w:autoSpaceDE w:val="0"/>
        <w:autoSpaceDN w:val="0"/>
        <w:adjustRightInd w:val="0"/>
        <w:ind w:firstLine="482" w:firstLineChars="15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370D285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29"/>
        <w:rPr>
          <w:rFonts w:ascii="Times New Roman" w:hAnsi="Times New Roman" w:eastAsia="仿宋" w:cs="Times New Roman"/>
          <w:sz w:val="32"/>
          <w:szCs w:val="32"/>
        </w:rPr>
      </w:pPr>
      <w:r>
        <w:rPr>
          <w:rFonts w:ascii="Times New Roman" w:hAnsi="Times New Roman" w:eastAsia="仿宋" w:cs="Times New Roman"/>
          <w:sz w:val="32"/>
          <w:szCs w:val="32"/>
        </w:rPr>
        <w:t>(一)加强支出管理。</w:t>
      </w:r>
    </w:p>
    <w:p w14:paraId="7A26B88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29"/>
        <w:rPr>
          <w:rFonts w:ascii="Times New Roman" w:hAnsi="Times New Roman" w:eastAsia="仿宋" w:cs="Times New Roman"/>
          <w:sz w:val="32"/>
          <w:szCs w:val="32"/>
        </w:rPr>
      </w:pPr>
      <w:r>
        <w:rPr>
          <w:rFonts w:ascii="Times New Roman" w:hAnsi="Times New Roman" w:eastAsia="仿宋" w:cs="Times New Roman"/>
          <w:sz w:val="32"/>
          <w:szCs w:val="32"/>
        </w:rPr>
        <w:t>以项目预算绩效为依据,根据乡镇实际情况，优化支出结构。严格履行政府采购手续,提前谋划,提高预算资金使用效率。资金支出安排科学合理,为实现全年工作目标提供财力支撑。</w:t>
      </w:r>
    </w:p>
    <w:p w14:paraId="2B2B935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29"/>
        <w:rPr>
          <w:rFonts w:ascii="Times New Roman" w:hAnsi="Times New Roman" w:eastAsia="仿宋" w:cs="Times New Roman"/>
          <w:sz w:val="32"/>
          <w:szCs w:val="32"/>
        </w:rPr>
      </w:pPr>
      <w:r>
        <w:rPr>
          <w:rFonts w:ascii="Times New Roman" w:hAnsi="Times New Roman" w:eastAsia="仿宋" w:cs="Times New Roman"/>
          <w:sz w:val="32"/>
          <w:szCs w:val="32"/>
        </w:rPr>
        <w:t>(二)加大招商引资</w:t>
      </w:r>
    </w:p>
    <w:p w14:paraId="6EC688A1">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29"/>
        <w:rPr>
          <w:rFonts w:ascii="Times New Roman" w:hAnsi="Times New Roman" w:eastAsia="仿宋" w:cs="Times New Roman"/>
          <w:sz w:val="32"/>
          <w:szCs w:val="32"/>
        </w:rPr>
      </w:pPr>
      <w:r>
        <w:rPr>
          <w:rFonts w:ascii="Times New Roman" w:hAnsi="Times New Roman" w:eastAsia="仿宋" w:cs="Times New Roman"/>
          <w:sz w:val="32"/>
          <w:szCs w:val="32"/>
        </w:rPr>
        <w:t>充分利用好京津冀协同发展的历史机遇，发挥好常安镇区位优势，加大招商力度，吸引优质资源，提升常安镇经济发展水平。</w:t>
      </w:r>
    </w:p>
    <w:p w14:paraId="266C130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29"/>
        <w:rPr>
          <w:rFonts w:ascii="Times New Roman" w:hAnsi="Times New Roman" w:eastAsia="仿宋" w:cs="Times New Roman"/>
          <w:sz w:val="32"/>
          <w:szCs w:val="32"/>
        </w:rPr>
      </w:pPr>
      <w:r>
        <w:rPr>
          <w:rFonts w:ascii="Times New Roman" w:hAnsi="Times New Roman" w:eastAsia="仿宋" w:cs="Times New Roman"/>
          <w:sz w:val="32"/>
          <w:szCs w:val="32"/>
        </w:rPr>
        <w:t>（三）加强绩效运行监控。</w:t>
      </w:r>
    </w:p>
    <w:p w14:paraId="0081508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40"/>
        <w:rPr>
          <w:rFonts w:ascii="Times New Roman" w:hAnsi="Times New Roman" w:eastAsia="仿宋" w:cs="Times New Roman"/>
          <w:sz w:val="32"/>
          <w:szCs w:val="32"/>
        </w:rPr>
      </w:pPr>
      <w:r>
        <w:rPr>
          <w:rFonts w:ascii="Times New Roman" w:hAnsi="Times New Roman" w:eastAsia="仿宋" w:cs="Times New Roman"/>
          <w:sz w:val="32"/>
          <w:szCs w:val="32"/>
        </w:rPr>
        <w:t>根据目标绩效管理要求，按照年度预算绩效指标设定的时间节点、资金支出进度开展绩效运行监控。定期通过检查预算执行情况，监控预算执行进度，确保绩效目标如期保质实现。</w:t>
      </w:r>
    </w:p>
    <w:p w14:paraId="76E3990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29"/>
        <w:rPr>
          <w:rFonts w:ascii="Times New Roman" w:hAnsi="Times New Roman" w:eastAsia="仿宋" w:cs="Times New Roman"/>
          <w:sz w:val="32"/>
          <w:szCs w:val="32"/>
        </w:rPr>
      </w:pPr>
      <w:r>
        <w:rPr>
          <w:rFonts w:ascii="Times New Roman" w:hAnsi="Times New Roman" w:eastAsia="仿宋" w:cs="Times New Roman"/>
          <w:sz w:val="32"/>
          <w:szCs w:val="32"/>
        </w:rPr>
        <w:t>（四）加强内部监督。</w:t>
      </w:r>
    </w:p>
    <w:p w14:paraId="7547194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40"/>
        <w:rPr>
          <w:rFonts w:ascii="Times New Roman" w:hAnsi="Times New Roman" w:eastAsia="仿宋" w:cs="Times New Roman"/>
          <w:sz w:val="32"/>
          <w:szCs w:val="32"/>
        </w:rPr>
      </w:pPr>
      <w:r>
        <w:rPr>
          <w:rFonts w:ascii="Times New Roman" w:hAnsi="Times New Roman" w:eastAsia="仿宋" w:cs="Times New Roman"/>
          <w:sz w:val="32"/>
          <w:szCs w:val="32"/>
        </w:rP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E9D7C0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29"/>
        <w:rPr>
          <w:rFonts w:ascii="Times New Roman" w:hAnsi="Times New Roman" w:eastAsia="仿宋" w:cs="Times New Roman"/>
          <w:sz w:val="32"/>
          <w:szCs w:val="32"/>
        </w:rPr>
      </w:pPr>
      <w:r>
        <w:rPr>
          <w:rFonts w:ascii="Times New Roman" w:hAnsi="Times New Roman" w:eastAsia="仿宋" w:cs="Times New Roman"/>
          <w:sz w:val="32"/>
          <w:szCs w:val="32"/>
        </w:rPr>
        <w:t>（五）加强基层党建及干部队伍建设。</w:t>
      </w:r>
    </w:p>
    <w:p w14:paraId="0F00E98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156" w:after="156" w:line="580" w:lineRule="exact"/>
        <w:ind w:firstLine="629"/>
        <w:rPr>
          <w:rFonts w:ascii="Times New Roman" w:hAnsi="Times New Roman" w:eastAsia="仿宋" w:cs="Times New Roman"/>
          <w:sz w:val="32"/>
          <w:szCs w:val="32"/>
        </w:rPr>
      </w:pPr>
      <w:r>
        <w:rPr>
          <w:rFonts w:ascii="Times New Roman" w:hAnsi="Times New Roman" w:eastAsia="仿宋" w:cs="Times New Roman"/>
          <w:sz w:val="32"/>
          <w:szCs w:val="32"/>
        </w:rPr>
        <w:t>深入贯彻落实“不忘初心</w:t>
      </w:r>
      <w:r>
        <w:rPr>
          <w:rFonts w:hint="eastAsia" w:ascii="Times New Roman" w:hAnsi="Times New Roman" w:eastAsia="仿宋" w:cs="Times New Roman"/>
          <w:sz w:val="32"/>
          <w:szCs w:val="32"/>
          <w:lang w:eastAsia="zh-CN"/>
        </w:rPr>
        <w:t>、</w:t>
      </w:r>
      <w:bookmarkStart w:id="13" w:name="_GoBack"/>
      <w:bookmarkEnd w:id="13"/>
      <w:r>
        <w:rPr>
          <w:rFonts w:ascii="Times New Roman" w:hAnsi="Times New Roman" w:eastAsia="仿宋" w:cs="Times New Roman"/>
          <w:sz w:val="32"/>
          <w:szCs w:val="32"/>
        </w:rPr>
        <w:t>牢记使命”主题教育要求，深入学习贯彻习近平新时代中国特色社会主义思想。认真加强基层党建工作。严格落实</w:t>
      </w:r>
      <w:r>
        <w:rPr>
          <w:rFonts w:hint="eastAsia" w:ascii="Times New Roman" w:hAnsi="Times New Roman" w:eastAsia="仿宋" w:cs="Times New Roman"/>
          <w:sz w:val="32"/>
          <w:szCs w:val="32"/>
          <w:lang w:eastAsia="zh-CN"/>
        </w:rPr>
        <w:t>党风廉政建设责任制</w:t>
      </w:r>
      <w:r>
        <w:rPr>
          <w:rFonts w:ascii="Times New Roman" w:hAnsi="Times New Roman" w:eastAsia="仿宋" w:cs="Times New Roman"/>
          <w:sz w:val="32"/>
          <w:szCs w:val="32"/>
        </w:rPr>
        <w:t>，坚持依法履职。落实重大事项报告制度，全面推进政务公开。在具体工作中锤炼出一批干净担当的基层干部，强化好基层党建工作，为实现两个一百年奋斗目标、实现常安镇经济社会发展奠定基础。</w:t>
      </w:r>
    </w:p>
    <w:p w14:paraId="0C9FF8BA">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51EE7FAA">
      <w:pPr>
        <w:ind w:firstLine="562" w:firstLineChars="200"/>
        <w:jc w:val="left"/>
        <w:outlineLvl w:val="1"/>
        <w:rPr>
          <w:rFonts w:ascii="Times New Roman" w:hAnsi="宋体" w:cs="宋体"/>
          <w:b/>
          <w:sz w:val="28"/>
        </w:rPr>
      </w:pPr>
      <w:r>
        <w:rPr>
          <w:rFonts w:hint="eastAsia" w:ascii="方正仿宋_GBK" w:eastAsia="方正仿宋_GBK"/>
          <w:b/>
          <w:sz w:val="28"/>
        </w:rPr>
        <w:t xml:space="preserve">  </w:t>
      </w:r>
      <w:r>
        <w:rPr>
          <w:rFonts w:hint="eastAsia" w:ascii="方正仿宋_GBK" w:hAnsi="方正仿宋_GBK" w:eastAsia="方正仿宋_GBK" w:cs="方正仿宋_GBK"/>
          <w:b/>
          <w:sz w:val="28"/>
        </w:rPr>
        <w:t>1、常安镇2020年度学区工会费绩效目标表</w:t>
      </w:r>
      <w:bookmarkStart w:id="4" w:name="_Toc26836"/>
      <w:r>
        <w:rPr>
          <w:rFonts w:hint="eastAsia"/>
        </w:rPr>
        <w:fldChar w:fldCharType="begin"/>
      </w:r>
      <w:r>
        <w:rPr>
          <w:rFonts w:hint="eastAsia" w:ascii="方正仿宋_GBK" w:hAnsi="方正仿宋_GBK" w:eastAsia="方正仿宋_GBK" w:cs="方正仿宋_GBK"/>
          <w:b/>
          <w:sz w:val="28"/>
        </w:rPr>
        <w:instrText xml:space="preserve"> TC 1、常安镇2020年度学区工会费绩效目标表 \f C \l 1 </w:instrText>
      </w:r>
      <w:r>
        <w:rPr>
          <w:rFonts w:hint="eastAsia" w:ascii="方正仿宋_GBK" w:hAnsi="方正仿宋_GBK" w:eastAsia="方正仿宋_GBK" w:cs="方正仿宋_GBK"/>
          <w:b/>
          <w:sz w:val="28"/>
        </w:rPr>
        <w:fldChar w:fldCharType="end"/>
      </w:r>
      <w:bookmarkEnd w:id="4"/>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75EF7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3DC6D0B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804002石家庄市藁城区常安镇人民政府</w:t>
            </w:r>
          </w:p>
        </w:tc>
        <w:tc>
          <w:tcPr>
            <w:tcW w:w="1701" w:type="dxa"/>
            <w:tcBorders>
              <w:top w:val="single" w:color="FFFFFF" w:sz="6" w:space="0"/>
              <w:left w:val="single" w:color="FFFFFF" w:sz="6" w:space="0"/>
              <w:right w:val="single" w:color="FFFFFF" w:sz="6" w:space="0"/>
            </w:tcBorders>
            <w:vAlign w:val="center"/>
          </w:tcPr>
          <w:p w14:paraId="3B910010">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单位：万元</w:t>
            </w:r>
          </w:p>
        </w:tc>
      </w:tr>
      <w:tr w14:paraId="7FCA4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186EE8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2B84490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804-0102-YQN-1V7N</w:t>
            </w:r>
          </w:p>
        </w:tc>
        <w:tc>
          <w:tcPr>
            <w:tcW w:w="1588" w:type="dxa"/>
            <w:vAlign w:val="center"/>
          </w:tcPr>
          <w:p w14:paraId="44F7EA3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54C9C5F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常安镇2020年度学区工会费</w:t>
            </w:r>
          </w:p>
        </w:tc>
      </w:tr>
      <w:tr w14:paraId="4197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9106B1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1AC846B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72C53BE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20.00</w:t>
            </w:r>
          </w:p>
        </w:tc>
        <w:tc>
          <w:tcPr>
            <w:tcW w:w="1588" w:type="dxa"/>
            <w:vAlign w:val="center"/>
          </w:tcPr>
          <w:p w14:paraId="3A1915F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33A0D8A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20.00</w:t>
            </w:r>
          </w:p>
        </w:tc>
        <w:tc>
          <w:tcPr>
            <w:tcW w:w="1276" w:type="dxa"/>
            <w:vAlign w:val="center"/>
          </w:tcPr>
          <w:p w14:paraId="72B760B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1B143F43">
            <w:pPr>
              <w:spacing w:line="300" w:lineRule="exact"/>
              <w:jc w:val="left"/>
              <w:rPr>
                <w:rFonts w:ascii="方正书宋_GBK" w:hAnsi="方正书宋_GBK" w:eastAsia="方正书宋_GBK" w:cs="方正书宋_GBK"/>
                <w:b/>
              </w:rPr>
            </w:pPr>
          </w:p>
        </w:tc>
      </w:tr>
      <w:tr w14:paraId="47E83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4C6E925B">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710D50F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根据藁城区总工会安排及时上缴教师工会费</w:t>
            </w:r>
          </w:p>
        </w:tc>
      </w:tr>
      <w:tr w14:paraId="2EFD2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D4F1B6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57E72E2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596EFC1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36D4A50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1FF183E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0678B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F85385F">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398CE0C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vAlign w:val="center"/>
          </w:tcPr>
          <w:p w14:paraId="629A4C9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vAlign w:val="center"/>
          </w:tcPr>
          <w:p w14:paraId="738F922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75.00</w:t>
            </w:r>
          </w:p>
        </w:tc>
        <w:tc>
          <w:tcPr>
            <w:tcW w:w="2977" w:type="dxa"/>
            <w:gridSpan w:val="2"/>
            <w:vAlign w:val="center"/>
          </w:tcPr>
          <w:p w14:paraId="750ECA7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372A1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017EC8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1C2CE6D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1、保障工会费足额上缴</w:t>
            </w:r>
          </w:p>
          <w:p w14:paraId="684ACF1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2、保障工会费及时上交</w:t>
            </w:r>
          </w:p>
        </w:tc>
      </w:tr>
    </w:tbl>
    <w:p w14:paraId="4380FAD6">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4B887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F37F25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4E1ADBB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4BC141C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7BBD72F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0FED857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140BF7C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3BEFE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02986ED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2138521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12F1362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上缴资金及时率</w:t>
            </w:r>
          </w:p>
        </w:tc>
        <w:tc>
          <w:tcPr>
            <w:tcW w:w="2892" w:type="dxa"/>
            <w:vAlign w:val="center"/>
          </w:tcPr>
          <w:p w14:paraId="27CFE12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是否按照区工会安排时间进度上缴工会费</w:t>
            </w:r>
          </w:p>
        </w:tc>
        <w:tc>
          <w:tcPr>
            <w:tcW w:w="1276" w:type="dxa"/>
            <w:vAlign w:val="center"/>
          </w:tcPr>
          <w:p w14:paraId="0F94ECC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w:t>
            </w:r>
          </w:p>
        </w:tc>
        <w:tc>
          <w:tcPr>
            <w:tcW w:w="1701" w:type="dxa"/>
            <w:vAlign w:val="center"/>
          </w:tcPr>
          <w:p w14:paraId="43CBF89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查看账目</w:t>
            </w:r>
          </w:p>
        </w:tc>
      </w:tr>
      <w:tr w14:paraId="15A01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15D555F">
            <w:pPr>
              <w:spacing w:line="300" w:lineRule="exact"/>
              <w:jc w:val="center"/>
              <w:rPr>
                <w:rFonts w:ascii="方正书宋_GBK" w:hAnsi="方正书宋_GBK" w:eastAsia="方正书宋_GBK" w:cs="方正书宋_GBK"/>
                <w:b/>
              </w:rPr>
            </w:pPr>
          </w:p>
        </w:tc>
        <w:tc>
          <w:tcPr>
            <w:tcW w:w="1134" w:type="dxa"/>
            <w:vAlign w:val="center"/>
          </w:tcPr>
          <w:p w14:paraId="57939D9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14:paraId="2D2E8B0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上缴资金完成率</w:t>
            </w:r>
          </w:p>
        </w:tc>
        <w:tc>
          <w:tcPr>
            <w:tcW w:w="2892" w:type="dxa"/>
            <w:vAlign w:val="center"/>
          </w:tcPr>
          <w:p w14:paraId="3F146EC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是否按照工会安排资金数量上缴工会费</w:t>
            </w:r>
          </w:p>
        </w:tc>
        <w:tc>
          <w:tcPr>
            <w:tcW w:w="1276" w:type="dxa"/>
            <w:vAlign w:val="center"/>
          </w:tcPr>
          <w:p w14:paraId="4B1CE5C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w:t>
            </w:r>
          </w:p>
        </w:tc>
        <w:tc>
          <w:tcPr>
            <w:tcW w:w="1701" w:type="dxa"/>
            <w:vAlign w:val="center"/>
          </w:tcPr>
          <w:p w14:paraId="464BDAE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查看账目</w:t>
            </w:r>
          </w:p>
        </w:tc>
      </w:tr>
      <w:tr w14:paraId="4DAB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5A0CBA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756DDAC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1E29783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工会满意度</w:t>
            </w:r>
          </w:p>
        </w:tc>
        <w:tc>
          <w:tcPr>
            <w:tcW w:w="2892" w:type="dxa"/>
            <w:vAlign w:val="center"/>
          </w:tcPr>
          <w:p w14:paraId="5EAE523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工会对工会费上缴满意度</w:t>
            </w:r>
          </w:p>
        </w:tc>
        <w:tc>
          <w:tcPr>
            <w:tcW w:w="1276" w:type="dxa"/>
            <w:vAlign w:val="center"/>
          </w:tcPr>
          <w:p w14:paraId="15FF98F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w:t>
            </w:r>
          </w:p>
        </w:tc>
        <w:tc>
          <w:tcPr>
            <w:tcW w:w="1701" w:type="dxa"/>
            <w:vAlign w:val="center"/>
          </w:tcPr>
          <w:p w14:paraId="69FB523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考核结果</w:t>
            </w:r>
          </w:p>
        </w:tc>
      </w:tr>
    </w:tbl>
    <w:p w14:paraId="3540A46B">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6E9870C8">
      <w:pPr>
        <w:spacing w:line="300" w:lineRule="exact"/>
        <w:ind w:firstLine="422" w:firstLineChars="200"/>
        <w:jc w:val="left"/>
        <w:rPr>
          <w:rFonts w:ascii="方正书宋_GBK" w:hAnsi="方正书宋_GBK" w:eastAsia="方正书宋_GBK" w:cs="方正书宋_GBK"/>
          <w:b/>
        </w:rPr>
      </w:pPr>
    </w:p>
    <w:p w14:paraId="389C63BF">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2、常安镇2020年度政府工会费绩效目标表</w:t>
      </w:r>
      <w:bookmarkStart w:id="5" w:name="_Toc23460"/>
      <w:r>
        <w:rPr>
          <w:rFonts w:hint="eastAsia"/>
        </w:rPr>
        <w:fldChar w:fldCharType="begin"/>
      </w:r>
      <w:r>
        <w:rPr>
          <w:rFonts w:hint="eastAsia" w:ascii="方正仿宋_GBK" w:hAnsi="方正仿宋_GBK" w:eastAsia="方正仿宋_GBK" w:cs="方正仿宋_GBK"/>
          <w:b/>
          <w:sz w:val="28"/>
        </w:rPr>
        <w:instrText xml:space="preserve"> TC 2、常安镇2020年度政府工会费绩效目标表 \f C \l 1 </w:instrText>
      </w:r>
      <w:r>
        <w:rPr>
          <w:rFonts w:hint="eastAsia" w:ascii="方正仿宋_GBK" w:hAnsi="方正仿宋_GBK" w:eastAsia="方正仿宋_GBK" w:cs="方正仿宋_GBK"/>
          <w:b/>
          <w:sz w:val="28"/>
        </w:rPr>
        <w:fldChar w:fldCharType="end"/>
      </w:r>
      <w:bookmarkEnd w:id="5"/>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15985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754135F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804002石家庄市藁城区常安镇人民政府</w:t>
            </w:r>
          </w:p>
        </w:tc>
        <w:tc>
          <w:tcPr>
            <w:tcW w:w="1701" w:type="dxa"/>
            <w:tcBorders>
              <w:top w:val="single" w:color="FFFFFF" w:sz="6" w:space="0"/>
              <w:left w:val="single" w:color="FFFFFF" w:sz="6" w:space="0"/>
              <w:right w:val="single" w:color="FFFFFF" w:sz="6" w:space="0"/>
            </w:tcBorders>
            <w:vAlign w:val="center"/>
          </w:tcPr>
          <w:p w14:paraId="4CBE3478">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单位：万元</w:t>
            </w:r>
          </w:p>
        </w:tc>
      </w:tr>
      <w:tr w14:paraId="6B178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6250D43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6F648B3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804-0102-YQN-0BZ5</w:t>
            </w:r>
          </w:p>
        </w:tc>
        <w:tc>
          <w:tcPr>
            <w:tcW w:w="1588" w:type="dxa"/>
            <w:vAlign w:val="center"/>
          </w:tcPr>
          <w:p w14:paraId="2E4A6A7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77EAF70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常安镇2020年度政府工会费</w:t>
            </w:r>
          </w:p>
        </w:tc>
      </w:tr>
      <w:tr w14:paraId="62FBA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2A2B36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448D71B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546E76B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3.00</w:t>
            </w:r>
          </w:p>
        </w:tc>
        <w:tc>
          <w:tcPr>
            <w:tcW w:w="1588" w:type="dxa"/>
            <w:vAlign w:val="center"/>
          </w:tcPr>
          <w:p w14:paraId="71D496B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42339DB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3.00</w:t>
            </w:r>
          </w:p>
        </w:tc>
        <w:tc>
          <w:tcPr>
            <w:tcW w:w="1276" w:type="dxa"/>
            <w:vAlign w:val="center"/>
          </w:tcPr>
          <w:p w14:paraId="3C026BF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40160ABC">
            <w:pPr>
              <w:spacing w:line="300" w:lineRule="exact"/>
              <w:jc w:val="left"/>
              <w:rPr>
                <w:rFonts w:ascii="方正书宋_GBK" w:hAnsi="方正书宋_GBK" w:eastAsia="方正书宋_GBK" w:cs="方正书宋_GBK"/>
                <w:b/>
              </w:rPr>
            </w:pPr>
          </w:p>
        </w:tc>
      </w:tr>
      <w:tr w14:paraId="561E6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7807E184">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10553C4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根据藁城区总工会安排及时上缴镇干部工会费</w:t>
            </w:r>
          </w:p>
        </w:tc>
      </w:tr>
      <w:tr w14:paraId="3AA7D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1EC2C9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277D05B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37A6D77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0F450C2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5509AEC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51567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9E6A1BE">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23449FA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vAlign w:val="center"/>
          </w:tcPr>
          <w:p w14:paraId="2C2AF66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vAlign w:val="center"/>
          </w:tcPr>
          <w:p w14:paraId="05E17B9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75.00</w:t>
            </w:r>
          </w:p>
        </w:tc>
        <w:tc>
          <w:tcPr>
            <w:tcW w:w="2977" w:type="dxa"/>
            <w:gridSpan w:val="2"/>
            <w:vAlign w:val="center"/>
          </w:tcPr>
          <w:p w14:paraId="6D5D4BC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73875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71BF7E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00EE22E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1、保障工会费足额上缴</w:t>
            </w:r>
          </w:p>
          <w:p w14:paraId="0D587A0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2、保障工会费及时上交</w:t>
            </w:r>
          </w:p>
        </w:tc>
      </w:tr>
    </w:tbl>
    <w:p w14:paraId="5E39B3F5">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32410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F98622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2D4D853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65A5C92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28817FF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5C57CA3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63676C3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79B6F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37F9005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36A4698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6225FFE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上缴资金及时率</w:t>
            </w:r>
          </w:p>
        </w:tc>
        <w:tc>
          <w:tcPr>
            <w:tcW w:w="2892" w:type="dxa"/>
            <w:vAlign w:val="center"/>
          </w:tcPr>
          <w:p w14:paraId="393B3B5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是否按照区工会安排时间进度上缴工会费</w:t>
            </w:r>
          </w:p>
        </w:tc>
        <w:tc>
          <w:tcPr>
            <w:tcW w:w="1276" w:type="dxa"/>
            <w:vAlign w:val="center"/>
          </w:tcPr>
          <w:p w14:paraId="2E9D7D4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w:t>
            </w:r>
          </w:p>
        </w:tc>
        <w:tc>
          <w:tcPr>
            <w:tcW w:w="1701" w:type="dxa"/>
            <w:vAlign w:val="center"/>
          </w:tcPr>
          <w:p w14:paraId="31B4C02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查看账目</w:t>
            </w:r>
          </w:p>
        </w:tc>
      </w:tr>
      <w:tr w14:paraId="64713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60362096">
            <w:pPr>
              <w:spacing w:line="300" w:lineRule="exact"/>
              <w:jc w:val="center"/>
              <w:rPr>
                <w:rFonts w:ascii="方正书宋_GBK" w:hAnsi="方正书宋_GBK" w:eastAsia="方正书宋_GBK" w:cs="方正书宋_GBK"/>
                <w:b/>
              </w:rPr>
            </w:pPr>
          </w:p>
        </w:tc>
        <w:tc>
          <w:tcPr>
            <w:tcW w:w="1134" w:type="dxa"/>
            <w:vAlign w:val="center"/>
          </w:tcPr>
          <w:p w14:paraId="567EB76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14:paraId="11B7E81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上缴资金完成率</w:t>
            </w:r>
          </w:p>
        </w:tc>
        <w:tc>
          <w:tcPr>
            <w:tcW w:w="2892" w:type="dxa"/>
            <w:vAlign w:val="center"/>
          </w:tcPr>
          <w:p w14:paraId="36BC9D0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是否按照工会安排资金数量上缴工会费</w:t>
            </w:r>
          </w:p>
        </w:tc>
        <w:tc>
          <w:tcPr>
            <w:tcW w:w="1276" w:type="dxa"/>
            <w:vAlign w:val="center"/>
          </w:tcPr>
          <w:p w14:paraId="64A7883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w:t>
            </w:r>
          </w:p>
        </w:tc>
        <w:tc>
          <w:tcPr>
            <w:tcW w:w="1701" w:type="dxa"/>
            <w:vAlign w:val="center"/>
          </w:tcPr>
          <w:p w14:paraId="4A87E33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查看账目</w:t>
            </w:r>
          </w:p>
        </w:tc>
      </w:tr>
      <w:tr w14:paraId="7DBA1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93A906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0568C6C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3C8F9E5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工会满意度</w:t>
            </w:r>
          </w:p>
        </w:tc>
        <w:tc>
          <w:tcPr>
            <w:tcW w:w="2892" w:type="dxa"/>
            <w:vAlign w:val="center"/>
          </w:tcPr>
          <w:p w14:paraId="761D06F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工会对工会费上缴满意度</w:t>
            </w:r>
          </w:p>
        </w:tc>
        <w:tc>
          <w:tcPr>
            <w:tcW w:w="1276" w:type="dxa"/>
            <w:vAlign w:val="center"/>
          </w:tcPr>
          <w:p w14:paraId="02CBBA2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w:t>
            </w:r>
          </w:p>
        </w:tc>
        <w:tc>
          <w:tcPr>
            <w:tcW w:w="1701" w:type="dxa"/>
            <w:vAlign w:val="center"/>
          </w:tcPr>
          <w:p w14:paraId="39B78BB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考核结果</w:t>
            </w:r>
          </w:p>
        </w:tc>
      </w:tr>
    </w:tbl>
    <w:p w14:paraId="48C2E955">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2E26120A">
      <w:pPr>
        <w:spacing w:line="300" w:lineRule="exact"/>
        <w:ind w:firstLine="422" w:firstLineChars="200"/>
        <w:jc w:val="left"/>
        <w:rPr>
          <w:rFonts w:ascii="方正书宋_GBK" w:hAnsi="方正书宋_GBK" w:eastAsia="方正书宋_GBK" w:cs="方正书宋_GBK"/>
          <w:b/>
        </w:rPr>
      </w:pPr>
    </w:p>
    <w:p w14:paraId="2FF6CB90">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3、常安镇正常离任村干部生活补贴绩效目标表</w:t>
      </w:r>
      <w:bookmarkStart w:id="6" w:name="_Toc29484"/>
      <w:r>
        <w:rPr>
          <w:rFonts w:hint="eastAsia"/>
        </w:rPr>
        <w:fldChar w:fldCharType="begin"/>
      </w:r>
      <w:r>
        <w:rPr>
          <w:rFonts w:hint="eastAsia" w:ascii="方正仿宋_GBK" w:hAnsi="方正仿宋_GBK" w:eastAsia="方正仿宋_GBK" w:cs="方正仿宋_GBK"/>
          <w:b/>
          <w:sz w:val="28"/>
        </w:rPr>
        <w:instrText xml:space="preserve"> TC 3、常安镇正常离任村干部生活补贴绩效目标表 \f C \l 1 </w:instrText>
      </w:r>
      <w:r>
        <w:rPr>
          <w:rFonts w:hint="eastAsia" w:ascii="方正仿宋_GBK" w:hAnsi="方正仿宋_GBK" w:eastAsia="方正仿宋_GBK" w:cs="方正仿宋_GBK"/>
          <w:b/>
          <w:sz w:val="28"/>
        </w:rPr>
        <w:fldChar w:fldCharType="end"/>
      </w:r>
      <w:bookmarkEnd w:id="6"/>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6EAF2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36E07E0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804002石家庄市藁城区常安镇人民政府</w:t>
            </w:r>
          </w:p>
        </w:tc>
        <w:tc>
          <w:tcPr>
            <w:tcW w:w="1701" w:type="dxa"/>
            <w:tcBorders>
              <w:top w:val="single" w:color="FFFFFF" w:sz="6" w:space="0"/>
              <w:left w:val="single" w:color="FFFFFF" w:sz="6" w:space="0"/>
              <w:right w:val="single" w:color="FFFFFF" w:sz="6" w:space="0"/>
            </w:tcBorders>
            <w:vAlign w:val="center"/>
          </w:tcPr>
          <w:p w14:paraId="55EC81C5">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单位：万元</w:t>
            </w:r>
          </w:p>
        </w:tc>
      </w:tr>
      <w:tr w14:paraId="2273B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1A08D8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1895675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804-0102-YQN-478C</w:t>
            </w:r>
          </w:p>
        </w:tc>
        <w:tc>
          <w:tcPr>
            <w:tcW w:w="1588" w:type="dxa"/>
            <w:vAlign w:val="center"/>
          </w:tcPr>
          <w:p w14:paraId="3E955B6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0775AE8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常安镇正常离任村干部生活补贴</w:t>
            </w:r>
          </w:p>
        </w:tc>
      </w:tr>
      <w:tr w14:paraId="06B06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21D9DB4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2CC770D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4991950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9.10</w:t>
            </w:r>
          </w:p>
        </w:tc>
        <w:tc>
          <w:tcPr>
            <w:tcW w:w="1588" w:type="dxa"/>
            <w:vAlign w:val="center"/>
          </w:tcPr>
          <w:p w14:paraId="56D5730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5511F2C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9.10</w:t>
            </w:r>
          </w:p>
        </w:tc>
        <w:tc>
          <w:tcPr>
            <w:tcW w:w="1276" w:type="dxa"/>
            <w:vAlign w:val="center"/>
          </w:tcPr>
          <w:p w14:paraId="7C5285A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13ABE976">
            <w:pPr>
              <w:spacing w:line="300" w:lineRule="exact"/>
              <w:jc w:val="left"/>
              <w:rPr>
                <w:rFonts w:ascii="方正书宋_GBK" w:hAnsi="方正书宋_GBK" w:eastAsia="方正书宋_GBK" w:cs="方正书宋_GBK"/>
                <w:b/>
              </w:rPr>
            </w:pPr>
          </w:p>
        </w:tc>
      </w:tr>
      <w:tr w14:paraId="323B8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54963C2">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4227875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根据石家庄市藁城区委组织部要求，农村离任干部生活补贴由区委组织部、乡镇按照1:1比例进行发放，相关资金列入年度预算。</w:t>
            </w:r>
          </w:p>
        </w:tc>
      </w:tr>
      <w:tr w14:paraId="66980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2DE04E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6427698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7422AA8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67591AF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766ED20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28C62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EB12181">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50C3EED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588" w:type="dxa"/>
            <w:vAlign w:val="center"/>
          </w:tcPr>
          <w:p w14:paraId="6159EF2E">
            <w:pPr>
              <w:spacing w:line="300" w:lineRule="exact"/>
              <w:jc w:val="center"/>
              <w:rPr>
                <w:rFonts w:ascii="方正书宋_GBK" w:hAnsi="方正书宋_GBK" w:eastAsia="方正书宋_GBK" w:cs="方正书宋_GBK"/>
                <w:b/>
              </w:rPr>
            </w:pPr>
          </w:p>
        </w:tc>
        <w:tc>
          <w:tcPr>
            <w:tcW w:w="1304" w:type="dxa"/>
            <w:vAlign w:val="center"/>
          </w:tcPr>
          <w:p w14:paraId="08B2F059">
            <w:pPr>
              <w:spacing w:line="300" w:lineRule="exact"/>
              <w:jc w:val="center"/>
              <w:rPr>
                <w:rFonts w:ascii="方正书宋_GBK" w:hAnsi="方正书宋_GBK" w:eastAsia="方正书宋_GBK" w:cs="方正书宋_GBK"/>
                <w:b/>
              </w:rPr>
            </w:pPr>
          </w:p>
        </w:tc>
        <w:tc>
          <w:tcPr>
            <w:tcW w:w="2977" w:type="dxa"/>
            <w:gridSpan w:val="2"/>
            <w:vAlign w:val="center"/>
          </w:tcPr>
          <w:p w14:paraId="7DD665B8">
            <w:pPr>
              <w:spacing w:line="300" w:lineRule="exact"/>
              <w:jc w:val="center"/>
              <w:rPr>
                <w:rFonts w:ascii="方正书宋_GBK" w:hAnsi="方正书宋_GBK" w:eastAsia="方正书宋_GBK" w:cs="方正书宋_GBK"/>
                <w:b/>
              </w:rPr>
            </w:pPr>
          </w:p>
        </w:tc>
      </w:tr>
      <w:tr w14:paraId="18778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7F78F0F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46E9B3E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1、保障农村离任村干部的生活补贴及时发放</w:t>
            </w:r>
          </w:p>
          <w:p w14:paraId="06FF296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2、保障农村离任村干部的生活补贴足额发放</w:t>
            </w:r>
          </w:p>
        </w:tc>
      </w:tr>
    </w:tbl>
    <w:p w14:paraId="7BAC3EEF">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5936B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3AE6C02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2C0F607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73FF267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7A79B29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7C8C24B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53523D1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35815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1EDFCC2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244519D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5736173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及时率</w:t>
            </w:r>
          </w:p>
        </w:tc>
        <w:tc>
          <w:tcPr>
            <w:tcW w:w="2892" w:type="dxa"/>
            <w:vAlign w:val="center"/>
          </w:tcPr>
          <w:p w14:paraId="49F4909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保障农村离任村干部的生活补贴及时发放</w:t>
            </w:r>
          </w:p>
          <w:p w14:paraId="7D1E530D">
            <w:pPr>
              <w:spacing w:line="300" w:lineRule="exact"/>
              <w:jc w:val="left"/>
              <w:rPr>
                <w:rFonts w:ascii="方正书宋_GBK" w:hAnsi="方正书宋_GBK" w:eastAsia="方正书宋_GBK" w:cs="方正书宋_GBK"/>
                <w:b/>
              </w:rPr>
            </w:pPr>
          </w:p>
        </w:tc>
        <w:tc>
          <w:tcPr>
            <w:tcW w:w="1276" w:type="dxa"/>
            <w:vAlign w:val="center"/>
          </w:tcPr>
          <w:p w14:paraId="43F51A6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4AAB25F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查看预算执行情况</w:t>
            </w:r>
          </w:p>
        </w:tc>
      </w:tr>
      <w:tr w14:paraId="61854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4E9EAF24">
            <w:pPr>
              <w:spacing w:line="300" w:lineRule="exact"/>
              <w:jc w:val="center"/>
              <w:rPr>
                <w:rFonts w:ascii="方正书宋_GBK" w:hAnsi="方正书宋_GBK" w:eastAsia="方正书宋_GBK" w:cs="方正书宋_GBK"/>
                <w:b/>
              </w:rPr>
            </w:pPr>
          </w:p>
        </w:tc>
        <w:tc>
          <w:tcPr>
            <w:tcW w:w="1134" w:type="dxa"/>
            <w:vAlign w:val="center"/>
          </w:tcPr>
          <w:p w14:paraId="2DE4F6B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14:paraId="6CDB459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准确率</w:t>
            </w:r>
          </w:p>
        </w:tc>
        <w:tc>
          <w:tcPr>
            <w:tcW w:w="2892" w:type="dxa"/>
            <w:vAlign w:val="center"/>
          </w:tcPr>
          <w:p w14:paraId="09D2F44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确保农村离任干部的生活补贴准确发放的人</w:t>
            </w:r>
          </w:p>
        </w:tc>
        <w:tc>
          <w:tcPr>
            <w:tcW w:w="1276" w:type="dxa"/>
            <w:vAlign w:val="center"/>
          </w:tcPr>
          <w:p w14:paraId="4032E61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74E12BD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查看凭证</w:t>
            </w:r>
          </w:p>
        </w:tc>
      </w:tr>
      <w:tr w14:paraId="1823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247258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52B4AE1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5A2D14F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14:paraId="75D542F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确保农村离任干部及时准确收到生活补贴，享受到国家政策。</w:t>
            </w:r>
          </w:p>
        </w:tc>
        <w:tc>
          <w:tcPr>
            <w:tcW w:w="1276" w:type="dxa"/>
            <w:vAlign w:val="center"/>
          </w:tcPr>
          <w:p w14:paraId="2A9991F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4C655CA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走访调查</w:t>
            </w:r>
          </w:p>
        </w:tc>
      </w:tr>
    </w:tbl>
    <w:p w14:paraId="166473C6">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16DE08C9">
      <w:pPr>
        <w:spacing w:line="300" w:lineRule="exact"/>
        <w:ind w:firstLine="422" w:firstLineChars="200"/>
        <w:jc w:val="left"/>
        <w:rPr>
          <w:rFonts w:ascii="方正书宋_GBK" w:hAnsi="方正书宋_GBK" w:eastAsia="方正书宋_GBK" w:cs="方正书宋_GBK"/>
          <w:b/>
        </w:rPr>
      </w:pPr>
    </w:p>
    <w:p w14:paraId="2892766E">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4、常安镇综合工作经费绩效目标表</w:t>
      </w:r>
      <w:bookmarkStart w:id="7" w:name="_Toc24865"/>
      <w:r>
        <w:rPr>
          <w:rFonts w:hint="eastAsia"/>
        </w:rPr>
        <w:fldChar w:fldCharType="begin"/>
      </w:r>
      <w:r>
        <w:rPr>
          <w:rFonts w:hint="eastAsia" w:ascii="方正仿宋_GBK" w:hAnsi="方正仿宋_GBK" w:eastAsia="方正仿宋_GBK" w:cs="方正仿宋_GBK"/>
          <w:b/>
          <w:sz w:val="28"/>
        </w:rPr>
        <w:instrText xml:space="preserve"> TC 4、常安镇综合工作经费绩效目标表 \f C \l 1 </w:instrText>
      </w:r>
      <w:r>
        <w:rPr>
          <w:rFonts w:hint="eastAsia" w:ascii="方正仿宋_GBK" w:hAnsi="方正仿宋_GBK" w:eastAsia="方正仿宋_GBK" w:cs="方正仿宋_GBK"/>
          <w:b/>
          <w:sz w:val="28"/>
        </w:rPr>
        <w:fldChar w:fldCharType="end"/>
      </w:r>
      <w:bookmarkEnd w:id="7"/>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6538F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4F3B929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804002石家庄市藁城区常安镇人民政府</w:t>
            </w:r>
          </w:p>
        </w:tc>
        <w:tc>
          <w:tcPr>
            <w:tcW w:w="1701" w:type="dxa"/>
            <w:tcBorders>
              <w:top w:val="single" w:color="FFFFFF" w:sz="6" w:space="0"/>
              <w:left w:val="single" w:color="FFFFFF" w:sz="6" w:space="0"/>
              <w:right w:val="single" w:color="FFFFFF" w:sz="6" w:space="0"/>
            </w:tcBorders>
            <w:vAlign w:val="center"/>
          </w:tcPr>
          <w:p w14:paraId="31EC2166">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单位：万元</w:t>
            </w:r>
          </w:p>
        </w:tc>
      </w:tr>
      <w:tr w14:paraId="661C6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39CC2C7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631D1CE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804-0101-YQN-YNWW</w:t>
            </w:r>
          </w:p>
        </w:tc>
        <w:tc>
          <w:tcPr>
            <w:tcW w:w="1588" w:type="dxa"/>
            <w:vAlign w:val="center"/>
          </w:tcPr>
          <w:p w14:paraId="09CF418C">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6CC4A2E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常安镇综合工作经费</w:t>
            </w:r>
          </w:p>
        </w:tc>
      </w:tr>
      <w:tr w14:paraId="1B012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79F3E4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26D711C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7002291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102.60</w:t>
            </w:r>
          </w:p>
        </w:tc>
        <w:tc>
          <w:tcPr>
            <w:tcW w:w="1588" w:type="dxa"/>
            <w:vAlign w:val="center"/>
          </w:tcPr>
          <w:p w14:paraId="5AFBAA8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0D6FAB9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102.60</w:t>
            </w:r>
          </w:p>
        </w:tc>
        <w:tc>
          <w:tcPr>
            <w:tcW w:w="1276" w:type="dxa"/>
            <w:vAlign w:val="center"/>
          </w:tcPr>
          <w:p w14:paraId="577F42C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3932CA22">
            <w:pPr>
              <w:spacing w:line="300" w:lineRule="exact"/>
              <w:jc w:val="left"/>
              <w:rPr>
                <w:rFonts w:ascii="方正书宋_GBK" w:hAnsi="方正书宋_GBK" w:eastAsia="方正书宋_GBK" w:cs="方正书宋_GBK"/>
                <w:b/>
              </w:rPr>
            </w:pPr>
          </w:p>
        </w:tc>
      </w:tr>
      <w:tr w14:paraId="332B9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6421738B">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76D6840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年度计划工作，统筹安排创城、新时代文明实践、土地、环保、食品安全、安全生产、信访、独生子女费、劳务费、团委工作经费、人口普查经费、委托业务费、绿化植树等资金支出，确保常安镇各项工作顺利开展。</w:t>
            </w:r>
          </w:p>
        </w:tc>
      </w:tr>
      <w:tr w14:paraId="08C77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0269621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5FCD6B4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5A66402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15B993F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6F8471E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2B6D5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2C7994E7">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457EB99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vAlign w:val="center"/>
          </w:tcPr>
          <w:p w14:paraId="45F27BB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vAlign w:val="center"/>
          </w:tcPr>
          <w:p w14:paraId="00DC635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75.00</w:t>
            </w:r>
          </w:p>
        </w:tc>
        <w:tc>
          <w:tcPr>
            <w:tcW w:w="2977" w:type="dxa"/>
            <w:gridSpan w:val="2"/>
            <w:vAlign w:val="center"/>
          </w:tcPr>
          <w:p w14:paraId="5EAA72B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30663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A716A5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0611F2F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根据年度计划工作，统筹安排创城、新时代文明实践、土地、环保、食品安全、安全生产、信访、独生子女费、劳务费、团委工作经费、人口普查经费、委托业务费、绿化植树等资金支出，确保常安镇各项工作顺利开展。</w:t>
            </w:r>
          </w:p>
        </w:tc>
      </w:tr>
    </w:tbl>
    <w:p w14:paraId="314DE50C">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5E7BE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7029B3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39A6EED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0EFF794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274D079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12A0122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7C7A319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44E89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CB560D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5814762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14:paraId="4903F68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完成率</w:t>
            </w:r>
          </w:p>
        </w:tc>
        <w:tc>
          <w:tcPr>
            <w:tcW w:w="2892" w:type="dxa"/>
            <w:vAlign w:val="center"/>
          </w:tcPr>
          <w:p w14:paraId="0B3C494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当年镇政府各项工作完成进度</w:t>
            </w:r>
          </w:p>
        </w:tc>
        <w:tc>
          <w:tcPr>
            <w:tcW w:w="1276" w:type="dxa"/>
            <w:vAlign w:val="center"/>
          </w:tcPr>
          <w:p w14:paraId="5196E6F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0B7A3D7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民主测评</w:t>
            </w:r>
          </w:p>
        </w:tc>
      </w:tr>
      <w:tr w14:paraId="2C084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30A9FDD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1BC6245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5B0DF5A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vAlign w:val="center"/>
          </w:tcPr>
          <w:p w14:paraId="1FD6069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年度工作在全镇形成的重要影响得到广大群众的认可</w:t>
            </w:r>
          </w:p>
        </w:tc>
        <w:tc>
          <w:tcPr>
            <w:tcW w:w="1276" w:type="dxa"/>
            <w:vAlign w:val="center"/>
          </w:tcPr>
          <w:p w14:paraId="1CEF76F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656C90A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调查问卷</w:t>
            </w:r>
          </w:p>
        </w:tc>
      </w:tr>
      <w:tr w14:paraId="37D58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7379FC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610E332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1F7D111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34AD996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群众对当年工作的满意度</w:t>
            </w:r>
          </w:p>
        </w:tc>
        <w:tc>
          <w:tcPr>
            <w:tcW w:w="1276" w:type="dxa"/>
            <w:vAlign w:val="center"/>
          </w:tcPr>
          <w:p w14:paraId="0DEB8C9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≥80百分比</w:t>
            </w:r>
          </w:p>
        </w:tc>
        <w:tc>
          <w:tcPr>
            <w:tcW w:w="1701" w:type="dxa"/>
            <w:vAlign w:val="center"/>
          </w:tcPr>
          <w:p w14:paraId="45D60C3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调查问卷</w:t>
            </w:r>
          </w:p>
        </w:tc>
      </w:tr>
    </w:tbl>
    <w:p w14:paraId="3A4589BF">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4B618870">
      <w:pPr>
        <w:spacing w:line="300" w:lineRule="exact"/>
        <w:ind w:firstLine="422" w:firstLineChars="200"/>
        <w:jc w:val="left"/>
        <w:rPr>
          <w:rFonts w:ascii="方正书宋_GBK" w:hAnsi="方正书宋_GBK" w:eastAsia="方正书宋_GBK" w:cs="方正书宋_GBK"/>
          <w:b/>
        </w:rPr>
      </w:pPr>
    </w:p>
    <w:p w14:paraId="3AC90B3E">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5、村级办公经费绩效目标表</w:t>
      </w:r>
      <w:bookmarkStart w:id="8" w:name="_Toc11339"/>
      <w:r>
        <w:rPr>
          <w:rFonts w:hint="eastAsia"/>
        </w:rPr>
        <w:fldChar w:fldCharType="begin"/>
      </w:r>
      <w:r>
        <w:rPr>
          <w:rFonts w:hint="eastAsia" w:ascii="方正仿宋_GBK" w:hAnsi="方正仿宋_GBK" w:eastAsia="方正仿宋_GBK" w:cs="方正仿宋_GBK"/>
          <w:b/>
          <w:sz w:val="28"/>
        </w:rPr>
        <w:instrText xml:space="preserve"> TC 5、村级办公经费绩效目标表 \f C \l 1 </w:instrText>
      </w:r>
      <w:r>
        <w:rPr>
          <w:rFonts w:hint="eastAsia" w:ascii="方正仿宋_GBK" w:hAnsi="方正仿宋_GBK" w:eastAsia="方正仿宋_GBK" w:cs="方正仿宋_GBK"/>
          <w:b/>
          <w:sz w:val="28"/>
        </w:rPr>
        <w:fldChar w:fldCharType="end"/>
      </w:r>
      <w:bookmarkEnd w:id="8"/>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016B2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2F9E7B3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804002石家庄市藁城区常安镇人民政府</w:t>
            </w:r>
          </w:p>
        </w:tc>
        <w:tc>
          <w:tcPr>
            <w:tcW w:w="1701" w:type="dxa"/>
            <w:tcBorders>
              <w:top w:val="single" w:color="FFFFFF" w:sz="6" w:space="0"/>
              <w:left w:val="single" w:color="FFFFFF" w:sz="6" w:space="0"/>
              <w:right w:val="single" w:color="FFFFFF" w:sz="6" w:space="0"/>
            </w:tcBorders>
            <w:vAlign w:val="center"/>
          </w:tcPr>
          <w:p w14:paraId="1A57FC0D">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单位：万元</w:t>
            </w:r>
          </w:p>
        </w:tc>
      </w:tr>
      <w:tr w14:paraId="6C1BF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0CA92EB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0F608D6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804-1501-YQN-NLCY</w:t>
            </w:r>
          </w:p>
        </w:tc>
        <w:tc>
          <w:tcPr>
            <w:tcW w:w="1588" w:type="dxa"/>
            <w:vAlign w:val="center"/>
          </w:tcPr>
          <w:p w14:paraId="177AB96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7846825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村级办公经费</w:t>
            </w:r>
          </w:p>
        </w:tc>
      </w:tr>
      <w:tr w14:paraId="01827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E7B193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122DEA5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58529D3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9.00</w:t>
            </w:r>
          </w:p>
        </w:tc>
        <w:tc>
          <w:tcPr>
            <w:tcW w:w="1588" w:type="dxa"/>
            <w:vAlign w:val="center"/>
          </w:tcPr>
          <w:p w14:paraId="38B9CD9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32E081E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9.00</w:t>
            </w:r>
          </w:p>
        </w:tc>
        <w:tc>
          <w:tcPr>
            <w:tcW w:w="1276" w:type="dxa"/>
            <w:vAlign w:val="center"/>
          </w:tcPr>
          <w:p w14:paraId="0EE64FE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522A7D9F">
            <w:pPr>
              <w:spacing w:line="300" w:lineRule="exact"/>
              <w:jc w:val="left"/>
              <w:rPr>
                <w:rFonts w:ascii="方正书宋_GBK" w:hAnsi="方正书宋_GBK" w:eastAsia="方正书宋_GBK" w:cs="方正书宋_GBK"/>
                <w:b/>
              </w:rPr>
            </w:pPr>
          </w:p>
        </w:tc>
      </w:tr>
      <w:tr w14:paraId="53CA5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68875B89">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6D8446E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根据省委组织部、省财政厅关于《关于提高村级组织运转保障水平的意见》安排落实村级工作经费9万元，确保各村制定的工作计划能够保质保量完成。</w:t>
            </w:r>
          </w:p>
        </w:tc>
      </w:tr>
      <w:tr w14:paraId="5BCE3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62CFE39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07C10A5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38114CC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6CC2A38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5FCDDDB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3410E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DF11A0F">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585CC197">
            <w:pPr>
              <w:spacing w:line="300" w:lineRule="exact"/>
              <w:jc w:val="center"/>
              <w:rPr>
                <w:rFonts w:ascii="方正书宋_GBK" w:hAnsi="方正书宋_GBK" w:eastAsia="方正书宋_GBK" w:cs="方正书宋_GBK"/>
                <w:b/>
              </w:rPr>
            </w:pPr>
          </w:p>
        </w:tc>
        <w:tc>
          <w:tcPr>
            <w:tcW w:w="1588" w:type="dxa"/>
            <w:vAlign w:val="center"/>
          </w:tcPr>
          <w:p w14:paraId="6FA803C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vAlign w:val="center"/>
          </w:tcPr>
          <w:p w14:paraId="387645F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2977" w:type="dxa"/>
            <w:gridSpan w:val="2"/>
            <w:vAlign w:val="center"/>
          </w:tcPr>
          <w:p w14:paraId="15695CD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0BACE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295188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36B6D1B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1、保障村级日常工作正常开展</w:t>
            </w:r>
          </w:p>
        </w:tc>
      </w:tr>
    </w:tbl>
    <w:p w14:paraId="2BAF5035">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1CDAC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865409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415F8C4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0E3E751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477B2B3B">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5AECA80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14CEB52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3236A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571FD5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01487C8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5628A3C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受扶持的村集体数量</w:t>
            </w:r>
          </w:p>
        </w:tc>
        <w:tc>
          <w:tcPr>
            <w:tcW w:w="2892" w:type="dxa"/>
            <w:vAlign w:val="center"/>
          </w:tcPr>
          <w:p w14:paraId="6B24B4C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镇级财政对村集体补助的数量</w:t>
            </w:r>
          </w:p>
        </w:tc>
        <w:tc>
          <w:tcPr>
            <w:tcW w:w="1276" w:type="dxa"/>
            <w:vAlign w:val="center"/>
          </w:tcPr>
          <w:p w14:paraId="758C762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≥6数量</w:t>
            </w:r>
          </w:p>
        </w:tc>
        <w:tc>
          <w:tcPr>
            <w:tcW w:w="1701" w:type="dxa"/>
            <w:vAlign w:val="center"/>
          </w:tcPr>
          <w:p w14:paraId="7A1F631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资金拨付情况</w:t>
            </w:r>
          </w:p>
        </w:tc>
      </w:tr>
      <w:tr w14:paraId="37D9A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2DE5A50C">
            <w:pPr>
              <w:spacing w:line="300" w:lineRule="exact"/>
              <w:jc w:val="center"/>
              <w:rPr>
                <w:rFonts w:ascii="方正书宋_GBK" w:hAnsi="方正书宋_GBK" w:eastAsia="方正书宋_GBK" w:cs="方正书宋_GBK"/>
                <w:b/>
              </w:rPr>
            </w:pPr>
          </w:p>
        </w:tc>
        <w:tc>
          <w:tcPr>
            <w:tcW w:w="1134" w:type="dxa"/>
            <w:vAlign w:val="center"/>
          </w:tcPr>
          <w:p w14:paraId="7158A5F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14:paraId="4DA6EFF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补助金额发放率</w:t>
            </w:r>
          </w:p>
        </w:tc>
        <w:tc>
          <w:tcPr>
            <w:tcW w:w="2892" w:type="dxa"/>
            <w:vAlign w:val="center"/>
          </w:tcPr>
          <w:p w14:paraId="613BCFC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对村级的补助发放完成率</w:t>
            </w:r>
          </w:p>
        </w:tc>
        <w:tc>
          <w:tcPr>
            <w:tcW w:w="1276" w:type="dxa"/>
            <w:vAlign w:val="center"/>
          </w:tcPr>
          <w:p w14:paraId="3726763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16C7480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拨付凭证</w:t>
            </w:r>
          </w:p>
        </w:tc>
      </w:tr>
      <w:tr w14:paraId="552C9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58F6190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38249E5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1ECA156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892" w:type="dxa"/>
            <w:vAlign w:val="center"/>
          </w:tcPr>
          <w:p w14:paraId="19A5867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村级对镇扶持工作的满意度</w:t>
            </w:r>
          </w:p>
        </w:tc>
        <w:tc>
          <w:tcPr>
            <w:tcW w:w="1276" w:type="dxa"/>
            <w:vAlign w:val="center"/>
          </w:tcPr>
          <w:p w14:paraId="5E889C8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0D0A916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民主测评</w:t>
            </w:r>
          </w:p>
        </w:tc>
      </w:tr>
    </w:tbl>
    <w:p w14:paraId="441FB669">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1F009349">
      <w:pPr>
        <w:spacing w:line="300" w:lineRule="exact"/>
        <w:ind w:firstLine="422" w:firstLineChars="200"/>
        <w:jc w:val="left"/>
        <w:rPr>
          <w:rFonts w:ascii="方正书宋_GBK" w:hAnsi="方正书宋_GBK" w:eastAsia="方正书宋_GBK" w:cs="方正书宋_GBK"/>
          <w:b/>
        </w:rPr>
      </w:pPr>
    </w:p>
    <w:p w14:paraId="71F80EC0">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6、村级服务群众专项经费绩效目标表</w:t>
      </w:r>
      <w:bookmarkStart w:id="9" w:name="_Toc13215"/>
      <w:r>
        <w:rPr>
          <w:rFonts w:hint="eastAsia"/>
        </w:rPr>
        <w:fldChar w:fldCharType="begin"/>
      </w:r>
      <w:r>
        <w:rPr>
          <w:rFonts w:hint="eastAsia" w:ascii="方正仿宋_GBK" w:hAnsi="方正仿宋_GBK" w:eastAsia="方正仿宋_GBK" w:cs="方正仿宋_GBK"/>
          <w:b/>
          <w:sz w:val="28"/>
        </w:rPr>
        <w:instrText xml:space="preserve"> TC 6、村级服务群众专项经费绩效目标表 \f C \l 1 </w:instrText>
      </w:r>
      <w:r>
        <w:rPr>
          <w:rFonts w:hint="eastAsia" w:ascii="方正仿宋_GBK" w:hAnsi="方正仿宋_GBK" w:eastAsia="方正仿宋_GBK" w:cs="方正仿宋_GBK"/>
          <w:b/>
          <w:sz w:val="28"/>
        </w:rPr>
        <w:fldChar w:fldCharType="end"/>
      </w:r>
      <w:bookmarkEnd w:id="9"/>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1A07E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4253444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804002石家庄市藁城区常安镇人民政府</w:t>
            </w:r>
          </w:p>
        </w:tc>
        <w:tc>
          <w:tcPr>
            <w:tcW w:w="1701" w:type="dxa"/>
            <w:tcBorders>
              <w:top w:val="single" w:color="FFFFFF" w:sz="6" w:space="0"/>
              <w:left w:val="single" w:color="FFFFFF" w:sz="6" w:space="0"/>
              <w:right w:val="single" w:color="FFFFFF" w:sz="6" w:space="0"/>
            </w:tcBorders>
            <w:vAlign w:val="center"/>
          </w:tcPr>
          <w:p w14:paraId="3C628F4A">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单位：万元</w:t>
            </w:r>
          </w:p>
        </w:tc>
      </w:tr>
      <w:tr w14:paraId="6041D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1E583A1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2213363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804-1501-YQN-7IXG</w:t>
            </w:r>
          </w:p>
        </w:tc>
        <w:tc>
          <w:tcPr>
            <w:tcW w:w="1588" w:type="dxa"/>
            <w:vAlign w:val="center"/>
          </w:tcPr>
          <w:p w14:paraId="4CC71709">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6625D59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村级服务群众专项经费</w:t>
            </w:r>
          </w:p>
        </w:tc>
      </w:tr>
      <w:tr w14:paraId="188BF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1EE2356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66210C8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681EE48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58.50</w:t>
            </w:r>
          </w:p>
        </w:tc>
        <w:tc>
          <w:tcPr>
            <w:tcW w:w="1588" w:type="dxa"/>
            <w:vAlign w:val="center"/>
          </w:tcPr>
          <w:p w14:paraId="2700CBB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5A3EB00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58.50</w:t>
            </w:r>
          </w:p>
        </w:tc>
        <w:tc>
          <w:tcPr>
            <w:tcW w:w="1276" w:type="dxa"/>
            <w:vAlign w:val="center"/>
          </w:tcPr>
          <w:p w14:paraId="1A70D870">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3FCA39C9">
            <w:pPr>
              <w:spacing w:line="300" w:lineRule="exact"/>
              <w:jc w:val="left"/>
              <w:rPr>
                <w:rFonts w:ascii="方正书宋_GBK" w:hAnsi="方正书宋_GBK" w:eastAsia="方正书宋_GBK" w:cs="方正书宋_GBK"/>
                <w:b/>
              </w:rPr>
            </w:pPr>
          </w:p>
        </w:tc>
      </w:tr>
      <w:tr w14:paraId="433CD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39C63B05">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7EB84E9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根据省委组织部、省财政厅关于《关于提高村级组织运转保障水平的意见》安排落实村级服务群众经费39万元，确保各村制定的工作计划能够保质保量完成。</w:t>
            </w:r>
          </w:p>
        </w:tc>
      </w:tr>
      <w:tr w14:paraId="002F7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052B92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144B3B4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73B62C2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45BF82A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0B36BD5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38F67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EFD7844">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37C0403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vAlign w:val="center"/>
          </w:tcPr>
          <w:p w14:paraId="18F34D3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vAlign w:val="center"/>
          </w:tcPr>
          <w:p w14:paraId="4CE002F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2977" w:type="dxa"/>
            <w:gridSpan w:val="2"/>
            <w:vAlign w:val="center"/>
          </w:tcPr>
          <w:p w14:paraId="5AC7A18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34E2C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370922F">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0329607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1、保障村级服务群众的项目正常开展</w:t>
            </w:r>
          </w:p>
          <w:p w14:paraId="4BF10DF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2、保障农村文化建设的实施</w:t>
            </w:r>
          </w:p>
        </w:tc>
      </w:tr>
    </w:tbl>
    <w:p w14:paraId="5E1BE629">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18CB3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608FEA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0D6BF80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17AE4778">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03D085D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73629EB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0622D03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6590C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8D967B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6A988E9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质量指标</w:t>
            </w:r>
          </w:p>
        </w:tc>
        <w:tc>
          <w:tcPr>
            <w:tcW w:w="1276" w:type="dxa"/>
            <w:vAlign w:val="center"/>
          </w:tcPr>
          <w:p w14:paraId="7B90C839">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完成率</w:t>
            </w:r>
          </w:p>
        </w:tc>
        <w:tc>
          <w:tcPr>
            <w:tcW w:w="2892" w:type="dxa"/>
            <w:vAlign w:val="center"/>
          </w:tcPr>
          <w:p w14:paraId="4CE8DAE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当年服务群众项目完成情况</w:t>
            </w:r>
          </w:p>
        </w:tc>
        <w:tc>
          <w:tcPr>
            <w:tcW w:w="1276" w:type="dxa"/>
            <w:vAlign w:val="center"/>
          </w:tcPr>
          <w:p w14:paraId="18DAD747">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385A690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民主测评</w:t>
            </w:r>
          </w:p>
        </w:tc>
      </w:tr>
      <w:tr w14:paraId="69A67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CAF9E6D">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14:paraId="44C600E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14:paraId="3197CF2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vAlign w:val="center"/>
          </w:tcPr>
          <w:p w14:paraId="265DEF8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在全镇或全村产生的重要影响收到广大群众的充分认可</w:t>
            </w:r>
          </w:p>
        </w:tc>
        <w:tc>
          <w:tcPr>
            <w:tcW w:w="1276" w:type="dxa"/>
            <w:vAlign w:val="center"/>
          </w:tcPr>
          <w:p w14:paraId="4A23A1E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3FE0A6B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调查问卷</w:t>
            </w:r>
          </w:p>
        </w:tc>
      </w:tr>
      <w:tr w14:paraId="0774D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B51155A">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12BDC19B">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26C7646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223F286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群众对当年农村工作的满意度</w:t>
            </w:r>
          </w:p>
        </w:tc>
        <w:tc>
          <w:tcPr>
            <w:tcW w:w="1276" w:type="dxa"/>
            <w:vAlign w:val="center"/>
          </w:tcPr>
          <w:p w14:paraId="417C59C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72D280A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调查问卷</w:t>
            </w:r>
          </w:p>
        </w:tc>
      </w:tr>
    </w:tbl>
    <w:p w14:paraId="7B5AEAAF">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2189178A">
      <w:pPr>
        <w:spacing w:line="300" w:lineRule="exact"/>
        <w:ind w:firstLine="422" w:firstLineChars="200"/>
        <w:jc w:val="left"/>
        <w:rPr>
          <w:rFonts w:ascii="方正书宋_GBK" w:hAnsi="方正书宋_GBK" w:eastAsia="方正书宋_GBK" w:cs="方正书宋_GBK"/>
          <w:b/>
        </w:rPr>
      </w:pPr>
    </w:p>
    <w:p w14:paraId="3C1A3805">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7、马山线、定魏线、定魏支线占地补偿绩效目标表</w:t>
      </w:r>
      <w:bookmarkStart w:id="10" w:name="_Toc11094"/>
      <w:r>
        <w:rPr>
          <w:rFonts w:hint="eastAsia"/>
        </w:rPr>
        <w:fldChar w:fldCharType="begin"/>
      </w:r>
      <w:r>
        <w:rPr>
          <w:rFonts w:hint="eastAsia" w:ascii="方正仿宋_GBK" w:hAnsi="方正仿宋_GBK" w:eastAsia="方正仿宋_GBK" w:cs="方正仿宋_GBK"/>
          <w:b/>
          <w:sz w:val="28"/>
        </w:rPr>
        <w:instrText xml:space="preserve"> TC 7、马山线、定魏线、定魏支线占地补偿绩效目标表 \f C \l 1 </w:instrText>
      </w:r>
      <w:r>
        <w:rPr>
          <w:rFonts w:hint="eastAsia" w:ascii="方正仿宋_GBK" w:hAnsi="方正仿宋_GBK" w:eastAsia="方正仿宋_GBK" w:cs="方正仿宋_GBK"/>
          <w:b/>
          <w:sz w:val="28"/>
        </w:rPr>
        <w:fldChar w:fldCharType="end"/>
      </w:r>
      <w:bookmarkEnd w:id="10"/>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14:paraId="32DE7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14:paraId="5551117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804002石家庄市藁城区常安镇人民政府</w:t>
            </w:r>
          </w:p>
        </w:tc>
        <w:tc>
          <w:tcPr>
            <w:tcW w:w="1701" w:type="dxa"/>
            <w:tcBorders>
              <w:top w:val="single" w:color="FFFFFF" w:sz="6" w:space="0"/>
              <w:left w:val="single" w:color="FFFFFF" w:sz="6" w:space="0"/>
              <w:right w:val="single" w:color="FFFFFF" w:sz="6" w:space="0"/>
            </w:tcBorders>
            <w:vAlign w:val="center"/>
          </w:tcPr>
          <w:p w14:paraId="2B8256FC">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单位：万元</w:t>
            </w:r>
          </w:p>
        </w:tc>
      </w:tr>
      <w:tr w14:paraId="1089B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14:paraId="7314D84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14:paraId="4D75A83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804-0102-YQN-CRR3</w:t>
            </w:r>
          </w:p>
        </w:tc>
        <w:tc>
          <w:tcPr>
            <w:tcW w:w="1588" w:type="dxa"/>
            <w:vAlign w:val="center"/>
          </w:tcPr>
          <w:p w14:paraId="5C7C226E">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vAlign w:val="center"/>
          </w:tcPr>
          <w:p w14:paraId="05617C8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马山线、定魏线、定魏支线占地补偿</w:t>
            </w:r>
          </w:p>
        </w:tc>
      </w:tr>
      <w:tr w14:paraId="082A0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4BBDF8B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14:paraId="5222A89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14:paraId="23E72ED4">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7.81</w:t>
            </w:r>
          </w:p>
        </w:tc>
        <w:tc>
          <w:tcPr>
            <w:tcW w:w="1588" w:type="dxa"/>
            <w:vAlign w:val="center"/>
          </w:tcPr>
          <w:p w14:paraId="487115C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14:paraId="7C734F6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7.81</w:t>
            </w:r>
          </w:p>
        </w:tc>
        <w:tc>
          <w:tcPr>
            <w:tcW w:w="1276" w:type="dxa"/>
            <w:vAlign w:val="center"/>
          </w:tcPr>
          <w:p w14:paraId="0D3535D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vAlign w:val="center"/>
          </w:tcPr>
          <w:p w14:paraId="7E03359E">
            <w:pPr>
              <w:spacing w:line="300" w:lineRule="exact"/>
              <w:jc w:val="left"/>
              <w:rPr>
                <w:rFonts w:ascii="方正书宋_GBK" w:hAnsi="方正书宋_GBK" w:eastAsia="方正书宋_GBK" w:cs="方正书宋_GBK"/>
                <w:b/>
              </w:rPr>
            </w:pPr>
          </w:p>
        </w:tc>
      </w:tr>
      <w:tr w14:paraId="29CB0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62CD2782">
            <w:pPr>
              <w:spacing w:line="300" w:lineRule="exact"/>
              <w:jc w:val="left"/>
              <w:outlineLvl w:val="1"/>
              <w:rPr>
                <w:rFonts w:ascii="方正仿宋_GBK" w:hAnsi="方正仿宋_GBK" w:eastAsia="方正仿宋_GBK" w:cs="方正仿宋_GBK"/>
                <w:b/>
                <w:sz w:val="28"/>
              </w:rPr>
            </w:pPr>
          </w:p>
        </w:tc>
        <w:tc>
          <w:tcPr>
            <w:tcW w:w="8279" w:type="dxa"/>
            <w:gridSpan w:val="6"/>
            <w:vAlign w:val="center"/>
          </w:tcPr>
          <w:p w14:paraId="4073399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根据横井线道路占地租赁合同约定向村民支付占地补偿款</w:t>
            </w:r>
          </w:p>
        </w:tc>
      </w:tr>
      <w:tr w14:paraId="08757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14:paraId="39625F0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14:paraId="0E65966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14:paraId="18B6F06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14:paraId="6E6D1F1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vAlign w:val="center"/>
          </w:tcPr>
          <w:p w14:paraId="40A9E73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14:paraId="28CFB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14:paraId="16B91148">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14:paraId="494AC1A1">
            <w:pPr>
              <w:spacing w:line="300" w:lineRule="exact"/>
              <w:jc w:val="center"/>
              <w:rPr>
                <w:rFonts w:ascii="方正书宋_GBK" w:hAnsi="方正书宋_GBK" w:eastAsia="方正书宋_GBK" w:cs="方正书宋_GBK"/>
                <w:b/>
              </w:rPr>
            </w:pPr>
          </w:p>
        </w:tc>
        <w:tc>
          <w:tcPr>
            <w:tcW w:w="1588" w:type="dxa"/>
            <w:vAlign w:val="center"/>
          </w:tcPr>
          <w:p w14:paraId="24493E76">
            <w:pPr>
              <w:spacing w:line="300" w:lineRule="exact"/>
              <w:jc w:val="center"/>
              <w:rPr>
                <w:rFonts w:ascii="方正书宋_GBK" w:hAnsi="方正书宋_GBK" w:eastAsia="方正书宋_GBK" w:cs="方正书宋_GBK"/>
                <w:b/>
              </w:rPr>
            </w:pPr>
          </w:p>
        </w:tc>
        <w:tc>
          <w:tcPr>
            <w:tcW w:w="1304" w:type="dxa"/>
            <w:vAlign w:val="center"/>
          </w:tcPr>
          <w:p w14:paraId="62CCCE33">
            <w:pPr>
              <w:spacing w:line="300" w:lineRule="exact"/>
              <w:jc w:val="center"/>
              <w:rPr>
                <w:rFonts w:ascii="方正书宋_GBK" w:hAnsi="方正书宋_GBK" w:eastAsia="方正书宋_GBK" w:cs="方正书宋_GBK"/>
                <w:b/>
              </w:rPr>
            </w:pPr>
          </w:p>
        </w:tc>
        <w:tc>
          <w:tcPr>
            <w:tcW w:w="2977" w:type="dxa"/>
            <w:gridSpan w:val="2"/>
            <w:vAlign w:val="center"/>
          </w:tcPr>
          <w:p w14:paraId="502EFE55">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14:paraId="21A32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A788F4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vAlign w:val="center"/>
          </w:tcPr>
          <w:p w14:paraId="403D600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1、待交通局负担占地补偿款拨付到位后，及时拨付农户占地补偿款</w:t>
            </w:r>
          </w:p>
        </w:tc>
      </w:tr>
    </w:tbl>
    <w:p w14:paraId="3B18A42D">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9"/>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14:paraId="40A92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55D972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14:paraId="717F9346">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14:paraId="7CD48512">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14:paraId="6CE8B614">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vAlign w:val="center"/>
          </w:tcPr>
          <w:p w14:paraId="321929C3">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vAlign w:val="center"/>
          </w:tcPr>
          <w:p w14:paraId="603AC4E7">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14:paraId="76832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14:paraId="5BAF686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14:paraId="62BAD3D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vAlign w:val="center"/>
          </w:tcPr>
          <w:p w14:paraId="08887F7C">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拨付占地补偿农户比例</w:t>
            </w:r>
          </w:p>
        </w:tc>
        <w:tc>
          <w:tcPr>
            <w:tcW w:w="2892" w:type="dxa"/>
            <w:vAlign w:val="center"/>
          </w:tcPr>
          <w:p w14:paraId="0FC84A7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拨付占地补偿农户占中农户比例</w:t>
            </w:r>
          </w:p>
        </w:tc>
        <w:tc>
          <w:tcPr>
            <w:tcW w:w="1276" w:type="dxa"/>
            <w:vAlign w:val="center"/>
          </w:tcPr>
          <w:p w14:paraId="0ACB0901">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1EBC4423">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查看账目</w:t>
            </w:r>
          </w:p>
        </w:tc>
      </w:tr>
      <w:tr w14:paraId="175E6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14:paraId="76222451">
            <w:pPr>
              <w:spacing w:line="300" w:lineRule="exact"/>
              <w:jc w:val="center"/>
              <w:rPr>
                <w:rFonts w:ascii="方正书宋_GBK" w:hAnsi="方正书宋_GBK" w:eastAsia="方正书宋_GBK" w:cs="方正书宋_GBK"/>
                <w:b/>
              </w:rPr>
            </w:pPr>
          </w:p>
        </w:tc>
        <w:tc>
          <w:tcPr>
            <w:tcW w:w="1134" w:type="dxa"/>
            <w:vAlign w:val="center"/>
          </w:tcPr>
          <w:p w14:paraId="78AC75C8">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14:paraId="08395B8D">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拨付及时率</w:t>
            </w:r>
          </w:p>
        </w:tc>
        <w:tc>
          <w:tcPr>
            <w:tcW w:w="2892" w:type="dxa"/>
            <w:vAlign w:val="center"/>
          </w:tcPr>
          <w:p w14:paraId="2BD606DE">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是否及时拨付农户</w:t>
            </w:r>
          </w:p>
        </w:tc>
        <w:tc>
          <w:tcPr>
            <w:tcW w:w="1276" w:type="dxa"/>
            <w:vAlign w:val="center"/>
          </w:tcPr>
          <w:p w14:paraId="1427F3C2">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≥90百分比</w:t>
            </w:r>
          </w:p>
        </w:tc>
        <w:tc>
          <w:tcPr>
            <w:tcW w:w="1701" w:type="dxa"/>
            <w:vAlign w:val="center"/>
          </w:tcPr>
          <w:p w14:paraId="56949EA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查看账目</w:t>
            </w:r>
          </w:p>
        </w:tc>
      </w:tr>
      <w:tr w14:paraId="2461B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2BCA191">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14:paraId="5C7FF655">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14:paraId="08EB3716">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14:paraId="55BB936F">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占地农户对租金拨付的满意度</w:t>
            </w:r>
          </w:p>
        </w:tc>
        <w:tc>
          <w:tcPr>
            <w:tcW w:w="1276" w:type="dxa"/>
            <w:vAlign w:val="center"/>
          </w:tcPr>
          <w:p w14:paraId="54A372BA">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≥80百分比</w:t>
            </w:r>
          </w:p>
        </w:tc>
        <w:tc>
          <w:tcPr>
            <w:tcW w:w="1701" w:type="dxa"/>
            <w:vAlign w:val="center"/>
          </w:tcPr>
          <w:p w14:paraId="453A49A0">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调查问卷</w:t>
            </w:r>
          </w:p>
        </w:tc>
      </w:tr>
    </w:tbl>
    <w:p w14:paraId="11AD01B7">
      <w:pPr>
        <w:jc w:val="left"/>
        <w:outlineLvl w:val="1"/>
        <w:sectPr>
          <w:footerReference r:id="rId3" w:type="default"/>
          <w:pgSz w:w="11907" w:h="16839" w:orient="landscape"/>
          <w:pgMar w:top="1984" w:right="1304" w:bottom="1134" w:left="1304" w:header="851" w:footer="992" w:gutter="0"/>
          <w:cols w:space="720" w:num="1"/>
          <w:docGrid w:type="lines" w:linePitch="312" w:charSpace="0"/>
        </w:sectPr>
      </w:pPr>
    </w:p>
    <w:bookmarkEnd w:id="0"/>
    <w:p w14:paraId="1A720B76">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2AB98DD5">
      <w:pPr>
        <w:ind w:firstLine="640" w:firstLineChars="200"/>
        <w:outlineLvl w:val="0"/>
        <w:rPr>
          <w:rFonts w:ascii="Times New Roman" w:hAnsi="Times New Roman" w:eastAsia="仿宋" w:cs="Times New Roman"/>
          <w:sz w:val="32"/>
          <w:szCs w:val="24"/>
        </w:rPr>
      </w:pPr>
      <w:bookmarkStart w:id="11"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0</w:t>
      </w:r>
      <w:r>
        <w:rPr>
          <w:rFonts w:ascii="Times New Roman" w:hAnsi="Times New Roman" w:eastAsia="仿宋" w:cs="Times New Roman"/>
          <w:sz w:val="32"/>
          <w:szCs w:val="24"/>
        </w:rPr>
        <w:t>万元。具体内容见下表。</w:t>
      </w:r>
      <w:bookmarkEnd w:id="11"/>
    </w:p>
    <w:p w14:paraId="65275951">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12" w:name="_Toc28848395"/>
      <w:r>
        <w:rPr>
          <w:rFonts w:hint="eastAsia" w:ascii="方正小标宋_GBK" w:eastAsia="方正小标宋_GBK"/>
          <w:sz w:val="32"/>
        </w:rPr>
        <w:instrText xml:space="preserve">部门政府采购预算</w:instrText>
      </w:r>
      <w:bookmarkEnd w:id="12"/>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8"/>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56684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233A7BB5">
            <w:pPr>
              <w:spacing w:line="300" w:lineRule="exact"/>
              <w:jc w:val="left"/>
              <w:rPr>
                <w:rFonts w:ascii="方正小标宋_GBK" w:eastAsia="方正小标宋_GBK"/>
                <w:sz w:val="24"/>
              </w:rPr>
            </w:pPr>
            <w:r>
              <w:rPr>
                <w:rFonts w:ascii="方正小标宋_GBK" w:eastAsia="方正小标宋_GBK"/>
                <w:sz w:val="24"/>
              </w:rPr>
              <w:t>804</w:t>
            </w:r>
            <w:r>
              <w:rPr>
                <w:rFonts w:hint="eastAsia" w:ascii="方正小标宋_GBK" w:eastAsia="方正小标宋_GBK"/>
                <w:sz w:val="24"/>
              </w:rPr>
              <w:t>石家庄市藁城区常安镇人民政府</w:t>
            </w:r>
          </w:p>
        </w:tc>
        <w:tc>
          <w:tcPr>
            <w:tcW w:w="5854" w:type="dxa"/>
            <w:gridSpan w:val="6"/>
            <w:tcBorders>
              <w:top w:val="single" w:color="FFFFFF" w:sz="6" w:space="0"/>
              <w:left w:val="single" w:color="FFFFFF" w:sz="6" w:space="0"/>
              <w:right w:val="single" w:color="FFFFFF" w:sz="6" w:space="0"/>
            </w:tcBorders>
            <w:vAlign w:val="center"/>
          </w:tcPr>
          <w:p w14:paraId="3DF8F348">
            <w:pPr>
              <w:spacing w:line="300" w:lineRule="exact"/>
              <w:jc w:val="right"/>
              <w:rPr>
                <w:rFonts w:ascii="方正书宋_GBK" w:eastAsia="方正书宋_GBK"/>
                <w:sz w:val="24"/>
              </w:rPr>
            </w:pPr>
            <w:r>
              <w:rPr>
                <w:rFonts w:hint="eastAsia" w:ascii="方正书宋_GBK" w:eastAsia="方正书宋_GBK"/>
                <w:sz w:val="24"/>
              </w:rPr>
              <w:t>单位：万元</w:t>
            </w:r>
          </w:p>
        </w:tc>
      </w:tr>
      <w:tr w14:paraId="6758D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759730C0">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14:paraId="5F481596">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14:paraId="778486C9">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342DCB21">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14:paraId="26D7E0FB">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14:paraId="52C75631">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14:paraId="25B54347">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226FF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24D5DAFC">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3A7B3209">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14:paraId="38354DC1">
            <w:pPr>
              <w:spacing w:line="300" w:lineRule="exact"/>
              <w:jc w:val="left"/>
              <w:outlineLvl w:val="0"/>
              <w:rPr>
                <w:rFonts w:ascii="Times New Roman" w:eastAsia="方正仿宋_GBK"/>
                <w:sz w:val="28"/>
              </w:rPr>
            </w:pPr>
          </w:p>
        </w:tc>
        <w:tc>
          <w:tcPr>
            <w:tcW w:w="1417" w:type="dxa"/>
            <w:vMerge w:val="continue"/>
            <w:vAlign w:val="center"/>
          </w:tcPr>
          <w:p w14:paraId="10A86726">
            <w:pPr>
              <w:spacing w:line="300" w:lineRule="exact"/>
              <w:jc w:val="left"/>
              <w:outlineLvl w:val="0"/>
              <w:rPr>
                <w:rFonts w:ascii="Times New Roman" w:eastAsia="方正仿宋_GBK"/>
                <w:sz w:val="28"/>
              </w:rPr>
            </w:pPr>
          </w:p>
        </w:tc>
        <w:tc>
          <w:tcPr>
            <w:tcW w:w="709" w:type="dxa"/>
            <w:vMerge w:val="continue"/>
            <w:vAlign w:val="center"/>
          </w:tcPr>
          <w:p w14:paraId="06791A86">
            <w:pPr>
              <w:spacing w:line="300" w:lineRule="exact"/>
              <w:jc w:val="left"/>
              <w:outlineLvl w:val="0"/>
              <w:rPr>
                <w:rFonts w:ascii="Times New Roman" w:eastAsia="方正仿宋_GBK"/>
                <w:sz w:val="28"/>
              </w:rPr>
            </w:pPr>
          </w:p>
        </w:tc>
        <w:tc>
          <w:tcPr>
            <w:tcW w:w="851" w:type="dxa"/>
            <w:vMerge w:val="continue"/>
            <w:vAlign w:val="center"/>
          </w:tcPr>
          <w:p w14:paraId="4BD5C8E3">
            <w:pPr>
              <w:spacing w:line="300" w:lineRule="exact"/>
              <w:jc w:val="left"/>
              <w:outlineLvl w:val="0"/>
              <w:rPr>
                <w:rFonts w:ascii="Times New Roman" w:eastAsia="方正仿宋_GBK"/>
                <w:sz w:val="28"/>
              </w:rPr>
            </w:pPr>
          </w:p>
        </w:tc>
        <w:tc>
          <w:tcPr>
            <w:tcW w:w="992" w:type="dxa"/>
            <w:vMerge w:val="continue"/>
            <w:vAlign w:val="center"/>
          </w:tcPr>
          <w:p w14:paraId="02108822">
            <w:pPr>
              <w:spacing w:line="300" w:lineRule="exact"/>
              <w:jc w:val="left"/>
              <w:outlineLvl w:val="0"/>
              <w:rPr>
                <w:rFonts w:ascii="Times New Roman" w:eastAsia="方正仿宋_GBK"/>
                <w:sz w:val="28"/>
              </w:rPr>
            </w:pPr>
          </w:p>
        </w:tc>
        <w:tc>
          <w:tcPr>
            <w:tcW w:w="992" w:type="dxa"/>
            <w:vAlign w:val="center"/>
          </w:tcPr>
          <w:p w14:paraId="19C17061">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14:paraId="58C87EE1">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14:paraId="425535D1">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0B654532">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14:paraId="60BD1722">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14:paraId="68EE9A46">
            <w:pPr>
              <w:spacing w:line="300" w:lineRule="exact"/>
              <w:jc w:val="center"/>
              <w:rPr>
                <w:rFonts w:ascii="方正书宋_GBK" w:eastAsia="方正书宋_GBK"/>
                <w:b/>
              </w:rPr>
            </w:pPr>
            <w:r>
              <w:rPr>
                <w:rFonts w:hint="eastAsia" w:ascii="方正书宋_GBK" w:eastAsia="方正书宋_GBK"/>
                <w:b/>
              </w:rPr>
              <w:t>其他来源收入</w:t>
            </w:r>
          </w:p>
        </w:tc>
      </w:tr>
      <w:tr w14:paraId="6A252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A592C54">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14:paraId="3740570A">
            <w:pPr>
              <w:spacing w:line="300" w:lineRule="exact"/>
              <w:jc w:val="right"/>
              <w:rPr>
                <w:rFonts w:ascii="方正书宋_GBK" w:eastAsia="方正书宋_GBK"/>
                <w:b/>
              </w:rPr>
            </w:pPr>
          </w:p>
        </w:tc>
        <w:tc>
          <w:tcPr>
            <w:tcW w:w="1559" w:type="dxa"/>
            <w:vAlign w:val="center"/>
          </w:tcPr>
          <w:p w14:paraId="6DAB79BE">
            <w:pPr>
              <w:spacing w:line="300" w:lineRule="exact"/>
              <w:jc w:val="left"/>
              <w:rPr>
                <w:rFonts w:ascii="方正书宋_GBK" w:eastAsia="方正书宋_GBK"/>
                <w:b/>
              </w:rPr>
            </w:pPr>
          </w:p>
        </w:tc>
        <w:tc>
          <w:tcPr>
            <w:tcW w:w="1417" w:type="dxa"/>
            <w:vAlign w:val="center"/>
          </w:tcPr>
          <w:p w14:paraId="2195A3D4">
            <w:pPr>
              <w:spacing w:line="300" w:lineRule="exact"/>
              <w:jc w:val="left"/>
              <w:rPr>
                <w:rFonts w:ascii="方正书宋_GBK" w:eastAsia="方正书宋_GBK"/>
                <w:b/>
              </w:rPr>
            </w:pPr>
          </w:p>
        </w:tc>
        <w:tc>
          <w:tcPr>
            <w:tcW w:w="709" w:type="dxa"/>
            <w:vAlign w:val="center"/>
          </w:tcPr>
          <w:p w14:paraId="1DBABD0B">
            <w:pPr>
              <w:spacing w:line="300" w:lineRule="exact"/>
              <w:jc w:val="left"/>
              <w:rPr>
                <w:rFonts w:ascii="方正书宋_GBK" w:eastAsia="方正书宋_GBK"/>
                <w:b/>
              </w:rPr>
            </w:pPr>
          </w:p>
        </w:tc>
        <w:tc>
          <w:tcPr>
            <w:tcW w:w="851" w:type="dxa"/>
            <w:vAlign w:val="center"/>
          </w:tcPr>
          <w:p w14:paraId="5EB299BC">
            <w:pPr>
              <w:spacing w:line="300" w:lineRule="exact"/>
              <w:jc w:val="right"/>
              <w:rPr>
                <w:rFonts w:ascii="方正书宋_GBK" w:eastAsia="方正书宋_GBK"/>
                <w:b/>
              </w:rPr>
            </w:pPr>
          </w:p>
        </w:tc>
        <w:tc>
          <w:tcPr>
            <w:tcW w:w="992" w:type="dxa"/>
            <w:vAlign w:val="center"/>
          </w:tcPr>
          <w:p w14:paraId="09F17F6D">
            <w:pPr>
              <w:spacing w:line="300" w:lineRule="exact"/>
              <w:jc w:val="right"/>
              <w:rPr>
                <w:rFonts w:ascii="方正书宋_GBK" w:eastAsia="方正书宋_GBK"/>
                <w:b/>
              </w:rPr>
            </w:pPr>
          </w:p>
        </w:tc>
        <w:tc>
          <w:tcPr>
            <w:tcW w:w="992" w:type="dxa"/>
            <w:vAlign w:val="center"/>
          </w:tcPr>
          <w:p w14:paraId="37091E6F">
            <w:pPr>
              <w:adjustRightInd w:val="0"/>
              <w:snapToGrid w:val="0"/>
              <w:jc w:val="right"/>
              <w:rPr>
                <w:rFonts w:ascii="方正书宋_GBK" w:hAnsi="宋体" w:eastAsia="方正书宋_GBK" w:cs="宋体"/>
                <w:b/>
                <w:bCs/>
                <w:color w:val="000000"/>
                <w:szCs w:val="21"/>
              </w:rPr>
            </w:pPr>
          </w:p>
        </w:tc>
        <w:tc>
          <w:tcPr>
            <w:tcW w:w="992" w:type="dxa"/>
            <w:vAlign w:val="center"/>
          </w:tcPr>
          <w:p w14:paraId="6751FB8B">
            <w:pPr>
              <w:adjustRightInd w:val="0"/>
              <w:snapToGrid w:val="0"/>
              <w:jc w:val="right"/>
              <w:rPr>
                <w:rFonts w:ascii="方正书宋_GBK" w:hAnsi="宋体" w:eastAsia="方正书宋_GBK" w:cs="宋体"/>
                <w:b/>
                <w:bCs/>
                <w:color w:val="000000"/>
                <w:szCs w:val="21"/>
              </w:rPr>
            </w:pPr>
          </w:p>
        </w:tc>
        <w:tc>
          <w:tcPr>
            <w:tcW w:w="993" w:type="dxa"/>
            <w:vAlign w:val="center"/>
          </w:tcPr>
          <w:p w14:paraId="4C169783">
            <w:pPr>
              <w:spacing w:line="300" w:lineRule="exact"/>
              <w:jc w:val="right"/>
              <w:rPr>
                <w:rFonts w:ascii="方正书宋_GBK" w:eastAsia="方正书宋_GBK"/>
                <w:b/>
              </w:rPr>
            </w:pPr>
          </w:p>
        </w:tc>
        <w:tc>
          <w:tcPr>
            <w:tcW w:w="1134" w:type="dxa"/>
            <w:vAlign w:val="center"/>
          </w:tcPr>
          <w:p w14:paraId="13C3DB96">
            <w:pPr>
              <w:spacing w:line="300" w:lineRule="exact"/>
              <w:jc w:val="right"/>
              <w:rPr>
                <w:rFonts w:ascii="方正书宋_GBK" w:eastAsia="方正书宋_GBK"/>
                <w:b/>
              </w:rPr>
            </w:pPr>
          </w:p>
        </w:tc>
        <w:tc>
          <w:tcPr>
            <w:tcW w:w="850" w:type="dxa"/>
            <w:vAlign w:val="center"/>
          </w:tcPr>
          <w:p w14:paraId="211FD063">
            <w:pPr>
              <w:spacing w:line="300" w:lineRule="exact"/>
              <w:jc w:val="right"/>
              <w:rPr>
                <w:rFonts w:ascii="方正书宋_GBK" w:eastAsia="方正书宋_GBK"/>
                <w:b/>
              </w:rPr>
            </w:pPr>
          </w:p>
        </w:tc>
        <w:tc>
          <w:tcPr>
            <w:tcW w:w="893" w:type="dxa"/>
            <w:vAlign w:val="center"/>
          </w:tcPr>
          <w:p w14:paraId="438E0C89">
            <w:pPr>
              <w:spacing w:line="300" w:lineRule="exact"/>
              <w:jc w:val="right"/>
              <w:rPr>
                <w:rFonts w:ascii="方正书宋_GBK" w:eastAsia="方正书宋_GBK"/>
                <w:b/>
              </w:rPr>
            </w:pPr>
          </w:p>
        </w:tc>
      </w:tr>
    </w:tbl>
    <w:p w14:paraId="148734FC">
      <w:pPr>
        <w:autoSpaceDE w:val="0"/>
        <w:autoSpaceDN w:val="0"/>
        <w:adjustRightInd w:val="0"/>
        <w:ind w:firstLine="480" w:firstLineChars="200"/>
        <w:jc w:val="left"/>
        <w:rPr>
          <w:rFonts w:ascii="黑体" w:hAnsi="黑体" w:eastAsia="黑体" w:cs="Times New Roman"/>
          <w:sz w:val="24"/>
          <w:szCs w:val="24"/>
        </w:rPr>
      </w:pPr>
      <w:r>
        <w:rPr>
          <w:rFonts w:hint="eastAsia" w:ascii="黑体" w:hAnsi="黑体" w:eastAsia="黑体" w:cs="Times New Roman"/>
          <w:sz w:val="24"/>
          <w:szCs w:val="24"/>
        </w:rPr>
        <w:t>注：本部门无政府采购预算情况，故空表列示。</w:t>
      </w:r>
    </w:p>
    <w:p w14:paraId="703129B3">
      <w:pPr>
        <w:autoSpaceDE w:val="0"/>
        <w:autoSpaceDN w:val="0"/>
        <w:adjustRightInd w:val="0"/>
        <w:ind w:firstLine="640" w:firstLineChars="200"/>
        <w:jc w:val="left"/>
        <w:rPr>
          <w:rFonts w:ascii="黑体" w:hAnsi="黑体" w:eastAsia="黑体" w:cs="Times New Roman"/>
          <w:sz w:val="32"/>
          <w:szCs w:val="32"/>
        </w:rPr>
      </w:pPr>
    </w:p>
    <w:p w14:paraId="3B6AA206">
      <w:pPr>
        <w:autoSpaceDE w:val="0"/>
        <w:autoSpaceDN w:val="0"/>
        <w:adjustRightInd w:val="0"/>
        <w:ind w:firstLine="640" w:firstLineChars="200"/>
        <w:jc w:val="left"/>
        <w:rPr>
          <w:rFonts w:ascii="黑体" w:hAnsi="黑体" w:eastAsia="黑体" w:cs="Times New Roman"/>
          <w:sz w:val="32"/>
          <w:szCs w:val="32"/>
        </w:rPr>
      </w:pPr>
    </w:p>
    <w:p w14:paraId="37C469DA">
      <w:pPr>
        <w:autoSpaceDE w:val="0"/>
        <w:autoSpaceDN w:val="0"/>
        <w:adjustRightInd w:val="0"/>
        <w:ind w:firstLine="640" w:firstLineChars="200"/>
        <w:jc w:val="left"/>
        <w:rPr>
          <w:rFonts w:ascii="黑体" w:hAnsi="黑体" w:eastAsia="黑体" w:cs="Times New Roman"/>
          <w:sz w:val="32"/>
          <w:szCs w:val="32"/>
        </w:rPr>
      </w:pPr>
    </w:p>
    <w:p w14:paraId="372D5AD3">
      <w:pPr>
        <w:autoSpaceDE w:val="0"/>
        <w:autoSpaceDN w:val="0"/>
        <w:adjustRightInd w:val="0"/>
        <w:ind w:firstLine="640" w:firstLineChars="200"/>
        <w:jc w:val="left"/>
        <w:rPr>
          <w:rFonts w:ascii="黑体" w:hAnsi="黑体" w:eastAsia="黑体" w:cs="Times New Roman"/>
          <w:sz w:val="32"/>
          <w:szCs w:val="32"/>
        </w:rPr>
      </w:pPr>
    </w:p>
    <w:p w14:paraId="67612C28">
      <w:pPr>
        <w:autoSpaceDE w:val="0"/>
        <w:autoSpaceDN w:val="0"/>
        <w:adjustRightInd w:val="0"/>
        <w:ind w:firstLine="640" w:firstLineChars="200"/>
        <w:jc w:val="left"/>
        <w:rPr>
          <w:rFonts w:ascii="黑体" w:hAnsi="黑体" w:eastAsia="黑体" w:cs="Times New Roman"/>
          <w:sz w:val="32"/>
          <w:szCs w:val="32"/>
        </w:rPr>
      </w:pPr>
    </w:p>
    <w:p w14:paraId="48904DB5">
      <w:pPr>
        <w:autoSpaceDE w:val="0"/>
        <w:autoSpaceDN w:val="0"/>
        <w:adjustRightInd w:val="0"/>
        <w:ind w:firstLine="640" w:firstLineChars="200"/>
        <w:jc w:val="left"/>
        <w:rPr>
          <w:rFonts w:ascii="黑体" w:hAnsi="黑体" w:eastAsia="黑体" w:cs="Times New Roman"/>
          <w:sz w:val="32"/>
          <w:szCs w:val="32"/>
        </w:rPr>
      </w:pPr>
    </w:p>
    <w:p w14:paraId="46F597A0">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514D8CE6">
      <w:pPr>
        <w:ind w:firstLine="640"/>
        <w:rPr>
          <w:rFonts w:ascii="Times New Roman" w:hAnsi="Times New Roman" w:eastAsia="仿宋" w:cs="Times New Roman"/>
          <w:color w:val="000000"/>
          <w:sz w:val="32"/>
          <w:szCs w:val="32"/>
        </w:rPr>
      </w:pPr>
      <w:r>
        <w:rPr>
          <w:rFonts w:hint="eastAsia" w:ascii="Times New Roman" w:hAnsi="Times New Roman" w:eastAsia="仿宋" w:cs="Times New Roman"/>
          <w:sz w:val="32"/>
          <w:szCs w:val="32"/>
        </w:rPr>
        <w:t>石家庄市藁城区常安镇人民政府</w:t>
      </w:r>
      <w:r>
        <w:rPr>
          <w:rFonts w:hint="eastAsia" w:ascii="Times New Roman" w:hAnsi="Times New Roman" w:eastAsia="仿宋" w:cs="Times New Roman"/>
          <w:color w:val="000000"/>
          <w:sz w:val="32"/>
          <w:szCs w:val="32"/>
        </w:rPr>
        <w:t>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1115.67</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总额为0</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rPr>
        <w:t>。</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14:paraId="1741CB85">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4B18175F">
            <w:pPr>
              <w:widowControl/>
              <w:jc w:val="center"/>
              <w:rPr>
                <w:rFonts w:ascii="宋体" w:hAnsi="宋体" w:cs="宋体"/>
                <w:b/>
                <w:bCs/>
                <w:kern w:val="0"/>
                <w:sz w:val="32"/>
                <w:szCs w:val="32"/>
              </w:rPr>
            </w:pPr>
            <w:r>
              <w:rPr>
                <w:rFonts w:hint="eastAsia" w:ascii="宋体" w:hAnsi="宋体" w:cs="宋体"/>
                <w:b/>
                <w:bCs/>
                <w:kern w:val="0"/>
                <w:sz w:val="32"/>
                <w:szCs w:val="32"/>
              </w:rPr>
              <w:t>石家庄市藁城区常安镇人民政府固定资产占用情况表</w:t>
            </w:r>
          </w:p>
        </w:tc>
      </w:tr>
      <w:tr w14:paraId="1BAD13ED">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0098FA58">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石家庄市藁城区常安镇人民政府</w:t>
            </w:r>
          </w:p>
        </w:tc>
        <w:tc>
          <w:tcPr>
            <w:tcW w:w="5103" w:type="dxa"/>
            <w:tcBorders>
              <w:top w:val="nil"/>
              <w:left w:val="nil"/>
              <w:bottom w:val="nil"/>
              <w:right w:val="nil"/>
            </w:tcBorders>
            <w:vAlign w:val="center"/>
          </w:tcPr>
          <w:p w14:paraId="4309ED81">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14:paraId="74D65884">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4A226BCB">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7C37732C">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2689441D">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3A9B588E">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F810F18">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55A052FD">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53C144B7">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kern w:val="0"/>
                <w:sz w:val="22"/>
              </w:rPr>
              <w:t>1115.67</w:t>
            </w:r>
          </w:p>
        </w:tc>
      </w:tr>
      <w:tr w14:paraId="718FEE4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21D086A">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4FC1FA8B">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35118</w:t>
            </w:r>
          </w:p>
        </w:tc>
        <w:tc>
          <w:tcPr>
            <w:tcW w:w="5103" w:type="dxa"/>
            <w:tcBorders>
              <w:top w:val="nil"/>
              <w:left w:val="nil"/>
              <w:bottom w:val="single" w:color="auto" w:sz="4" w:space="0"/>
              <w:right w:val="single" w:color="auto" w:sz="4" w:space="0"/>
            </w:tcBorders>
            <w:vAlign w:val="center"/>
          </w:tcPr>
          <w:p w14:paraId="5BA05CA0">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977.39</w:t>
            </w:r>
          </w:p>
        </w:tc>
      </w:tr>
      <w:tr w14:paraId="5764EDF7">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7021A51">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59D0659B">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14:paraId="6B58FA75">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977.39</w:t>
            </w:r>
          </w:p>
        </w:tc>
      </w:tr>
      <w:tr w14:paraId="17D6590E">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2A6E890">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04513A2A">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w:t>
            </w:r>
          </w:p>
        </w:tc>
        <w:tc>
          <w:tcPr>
            <w:tcW w:w="5103" w:type="dxa"/>
            <w:tcBorders>
              <w:top w:val="nil"/>
              <w:left w:val="nil"/>
              <w:bottom w:val="single" w:color="auto" w:sz="4" w:space="0"/>
              <w:right w:val="single" w:color="auto" w:sz="4" w:space="0"/>
            </w:tcBorders>
            <w:vAlign w:val="center"/>
          </w:tcPr>
          <w:p w14:paraId="5E067C5D">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11.9</w:t>
            </w:r>
          </w:p>
        </w:tc>
      </w:tr>
      <w:tr w14:paraId="7A00390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4BC5917">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79069207">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7686BE93">
            <w:pPr>
              <w:widowControl/>
              <w:jc w:val="center"/>
              <w:rPr>
                <w:rFonts w:ascii="Times New Roman" w:hAnsi="Times New Roman" w:eastAsia="仿宋" w:cs="Times New Roman"/>
                <w:kern w:val="0"/>
                <w:sz w:val="22"/>
              </w:rPr>
            </w:pPr>
          </w:p>
        </w:tc>
      </w:tr>
      <w:tr w14:paraId="4BAC6D2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2780DEC">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1CF1A72A">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47D7A7E3">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126.38</w:t>
            </w:r>
          </w:p>
        </w:tc>
      </w:tr>
    </w:tbl>
    <w:p w14:paraId="47C25710">
      <w:pPr>
        <w:autoSpaceDE w:val="0"/>
        <w:autoSpaceDN w:val="0"/>
        <w:adjustRightInd w:val="0"/>
        <w:ind w:firstLine="640" w:firstLineChars="200"/>
        <w:jc w:val="left"/>
        <w:rPr>
          <w:rFonts w:ascii="黑体" w:hAnsi="黑体" w:eastAsia="黑体" w:cs="Times New Roman"/>
          <w:sz w:val="32"/>
          <w:szCs w:val="32"/>
        </w:rPr>
      </w:pPr>
    </w:p>
    <w:p w14:paraId="7A1DC105">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3990349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1、一般公共预算拨款收入：指区县级财政当年拨付的资金。</w:t>
      </w:r>
    </w:p>
    <w:p w14:paraId="7798CFB1">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36B42E0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76E10A1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7503C4A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4815D22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79D2D4F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837641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3967EF0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125938C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5942CBEF">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3581466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黑体"/>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黑体"/>
    <w:panose1 w:val="00000000000000000000"/>
    <w:charset w:val="86"/>
    <w:family w:val="script"/>
    <w:pitch w:val="default"/>
    <w:sig w:usb0="00000000" w:usb1="00000000" w:usb2="00000010" w:usb3="00000000" w:csb0="00040000" w:csb1="00000000"/>
  </w:font>
  <w:font w:name="方正仿宋_GBK">
    <w:altName w:val="黑体"/>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550817">
    <w:pPr>
      <w:pStyle w:val="3"/>
      <w:framePr w:wrap="around" w:vAnchor="text" w:hAnchor="margin" w:xAlign="outside" w:y="1"/>
      <w:rPr>
        <w:rStyle w:val="13"/>
      </w:rPr>
    </w:pPr>
    <w:r>
      <w:fldChar w:fldCharType="begin"/>
    </w:r>
    <w:r>
      <w:rPr>
        <w:rStyle w:val="13"/>
      </w:rPr>
      <w:instrText xml:space="preserve">PAGE  </w:instrText>
    </w:r>
    <w:r>
      <w:fldChar w:fldCharType="separate"/>
    </w:r>
    <w:r>
      <w:rPr>
        <w:rStyle w:val="13"/>
      </w:rPr>
      <w:t>15</w:t>
    </w:r>
    <w:r>
      <w:fldChar w:fldCharType="end"/>
    </w:r>
  </w:p>
  <w:p w14:paraId="23C8D6D6">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890915">
    <w:pPr>
      <w:pStyle w:val="3"/>
      <w:framePr w:wrap="around" w:vAnchor="text" w:hAnchor="margin" w:xAlign="outside" w:y="1"/>
      <w:rPr>
        <w:rStyle w:val="13"/>
      </w:rPr>
    </w:pPr>
    <w:r>
      <w:fldChar w:fldCharType="begin"/>
    </w:r>
    <w:r>
      <w:rPr>
        <w:rStyle w:val="13"/>
      </w:rPr>
      <w:instrText xml:space="preserve">PAGE  </w:instrText>
    </w:r>
    <w:r>
      <w:fldChar w:fldCharType="separate"/>
    </w:r>
    <w:r>
      <w:rPr>
        <w:rStyle w:val="13"/>
      </w:rPr>
      <w:t>19</w:t>
    </w:r>
    <w:r>
      <w:fldChar w:fldCharType="end"/>
    </w:r>
  </w:p>
  <w:p w14:paraId="7CBA60AA">
    <w:pPr>
      <w:pStyle w:val="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E71BA"/>
    <w:rsid w:val="0002581B"/>
    <w:rsid w:val="00081CDE"/>
    <w:rsid w:val="000C7140"/>
    <w:rsid w:val="00255284"/>
    <w:rsid w:val="002B3EA2"/>
    <w:rsid w:val="00323B29"/>
    <w:rsid w:val="0039059E"/>
    <w:rsid w:val="004D06FA"/>
    <w:rsid w:val="004D68C3"/>
    <w:rsid w:val="005173CB"/>
    <w:rsid w:val="00574E85"/>
    <w:rsid w:val="005F4A41"/>
    <w:rsid w:val="0067651B"/>
    <w:rsid w:val="007F0341"/>
    <w:rsid w:val="008D20C2"/>
    <w:rsid w:val="009003B1"/>
    <w:rsid w:val="009A521C"/>
    <w:rsid w:val="009C44EC"/>
    <w:rsid w:val="00B40B75"/>
    <w:rsid w:val="00BD6006"/>
    <w:rsid w:val="00CA04B2"/>
    <w:rsid w:val="00D41C01"/>
    <w:rsid w:val="00D55BAB"/>
    <w:rsid w:val="00D607DA"/>
    <w:rsid w:val="00DB57BF"/>
    <w:rsid w:val="00DC6EE5"/>
    <w:rsid w:val="00E03159"/>
    <w:rsid w:val="00E75B02"/>
    <w:rsid w:val="00EE71BA"/>
    <w:rsid w:val="00F46523"/>
    <w:rsid w:val="00F867E4"/>
    <w:rsid w:val="056D17C0"/>
    <w:rsid w:val="09AD1AAA"/>
    <w:rsid w:val="0A533DDE"/>
    <w:rsid w:val="0C6E7D44"/>
    <w:rsid w:val="0D2F561C"/>
    <w:rsid w:val="11F13C59"/>
    <w:rsid w:val="14F26811"/>
    <w:rsid w:val="222C48FB"/>
    <w:rsid w:val="38DA66E9"/>
    <w:rsid w:val="67375AC2"/>
    <w:rsid w:val="687A20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alloon Text"/>
    <w:basedOn w:val="1"/>
    <w:link w:val="16"/>
    <w:autoRedefine/>
    <w:unhideWhenUsed/>
    <w:qFormat/>
    <w:uiPriority w:val="99"/>
    <w:rPr>
      <w:sz w:val="18"/>
      <w:szCs w:val="18"/>
    </w:rPr>
  </w:style>
  <w:style w:type="paragraph" w:styleId="3">
    <w:name w:val="footer"/>
    <w:basedOn w:val="1"/>
    <w:link w:val="14"/>
    <w:autoRedefine/>
    <w:qFormat/>
    <w:uiPriority w:val="0"/>
    <w:pPr>
      <w:tabs>
        <w:tab w:val="center" w:pos="4153"/>
        <w:tab w:val="right" w:pos="8306"/>
      </w:tabs>
      <w:snapToGrid w:val="0"/>
      <w:jc w:val="left"/>
    </w:pPr>
    <w:rPr>
      <w:rFonts w:ascii="Times New Roman" w:hAnsi="Times New Roman" w:cs="Times New Roman"/>
      <w:sz w:val="18"/>
      <w:szCs w:val="18"/>
    </w:rPr>
  </w:style>
  <w:style w:type="paragraph" w:styleId="4">
    <w:name w:val="header"/>
    <w:basedOn w:val="1"/>
    <w:link w:val="15"/>
    <w:autoRedefine/>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5">
    <w:name w:val="toc 1"/>
    <w:basedOn w:val="1"/>
    <w:next w:val="1"/>
    <w:autoRedefine/>
    <w:qFormat/>
    <w:uiPriority w:val="0"/>
    <w:rPr>
      <w:rFonts w:ascii="Times New Roman" w:hAnsi="Times New Roman" w:cs="Times New Roman"/>
      <w:szCs w:val="24"/>
    </w:rPr>
  </w:style>
  <w:style w:type="paragraph" w:styleId="6">
    <w:name w:val="footnote text"/>
    <w:basedOn w:val="1"/>
    <w:autoRedefine/>
    <w:qFormat/>
    <w:uiPriority w:val="0"/>
    <w:pPr>
      <w:snapToGrid w:val="0"/>
      <w:jc w:val="left"/>
    </w:pPr>
    <w:rPr>
      <w:sz w:val="18"/>
      <w:szCs w:val="18"/>
    </w:rPr>
  </w:style>
  <w:style w:type="paragraph" w:styleId="7">
    <w:name w:val="toc 2"/>
    <w:basedOn w:val="1"/>
    <w:next w:val="1"/>
    <w:autoRedefine/>
    <w:qFormat/>
    <w:uiPriority w:val="0"/>
    <w:pPr>
      <w:ind w:left="420" w:leftChars="200"/>
    </w:pPr>
    <w:rPr>
      <w:rFonts w:ascii="Times New Roman" w:hAnsi="Times New Roman" w:cs="Times New Roman"/>
      <w:szCs w:val="24"/>
    </w:rPr>
  </w:style>
  <w:style w:type="table" w:styleId="9">
    <w:name w:val="Table Grid"/>
    <w:basedOn w:val="8"/>
    <w:autoRedefine/>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footnote reference"/>
    <w:autoRedefine/>
    <w:qFormat/>
    <w:uiPriority w:val="0"/>
    <w:rPr>
      <w:vertAlign w:val="superscript"/>
    </w:rPr>
  </w:style>
  <w:style w:type="paragraph" w:customStyle="1" w:styleId="12">
    <w:name w:val="Char"/>
    <w:basedOn w:val="1"/>
    <w:autoRedefine/>
    <w:qFormat/>
    <w:uiPriority w:val="0"/>
    <w:rPr>
      <w:rFonts w:ascii="Times New Roman" w:hAnsi="Times New Roman" w:cs="Times New Roman"/>
      <w:szCs w:val="24"/>
    </w:rPr>
  </w:style>
  <w:style w:type="character" w:customStyle="1" w:styleId="13">
    <w:name w:val="页码1"/>
    <w:autoRedefine/>
    <w:qFormat/>
    <w:uiPriority w:val="0"/>
  </w:style>
  <w:style w:type="character" w:customStyle="1" w:styleId="14">
    <w:name w:val="页脚 Char"/>
    <w:link w:val="3"/>
    <w:autoRedefine/>
    <w:semiHidden/>
    <w:qFormat/>
    <w:uiPriority w:val="0"/>
    <w:rPr>
      <w:rFonts w:ascii="Times New Roman" w:hAnsi="Times New Roman" w:eastAsia="宋体" w:cs="Times New Roman"/>
      <w:sz w:val="18"/>
      <w:szCs w:val="18"/>
    </w:rPr>
  </w:style>
  <w:style w:type="character" w:customStyle="1" w:styleId="15">
    <w:name w:val="页眉 Char"/>
    <w:link w:val="4"/>
    <w:autoRedefine/>
    <w:semiHidden/>
    <w:qFormat/>
    <w:uiPriority w:val="0"/>
    <w:rPr>
      <w:rFonts w:ascii="Times New Roman" w:hAnsi="Times New Roman" w:eastAsia="宋体" w:cs="Times New Roman"/>
      <w:sz w:val="18"/>
      <w:szCs w:val="18"/>
    </w:rPr>
  </w:style>
  <w:style w:type="character" w:customStyle="1" w:styleId="16">
    <w:name w:val="批注框文本 Char"/>
    <w:basedOn w:val="10"/>
    <w:link w:val="2"/>
    <w:autoRedefine/>
    <w:semiHidden/>
    <w:qFormat/>
    <w:uiPriority w:val="99"/>
    <w:rPr>
      <w:rFonts w:ascii="Calibri" w:hAnsi="Calibri" w:cs="黑体"/>
      <w:kern w:val="2"/>
      <w:sz w:val="18"/>
      <w:szCs w:val="18"/>
    </w:rPr>
  </w:style>
  <w:style w:type="paragraph" w:customStyle="1" w:styleId="17">
    <w:name w:val="[Normal]"/>
    <w:autoRedefine/>
    <w:qFormat/>
    <w:uiPriority w:val="0"/>
    <w:rPr>
      <w:rFonts w:ascii="宋体" w:hAnsi="宋体" w:eastAsia="宋体" w:cs="Times New Roman"/>
      <w:sz w:val="24"/>
      <w:lang w:val="en-US"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19</Pages>
  <Words>7530</Words>
  <Characters>8056</Characters>
  <Lines>64</Lines>
  <Paragraphs>18</Paragraphs>
  <TotalTime>0</TotalTime>
  <ScaleCrop>false</ScaleCrop>
  <LinksUpToDate>false</LinksUpToDate>
  <CharactersWithSpaces>8114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 </cp:lastModifiedBy>
  <cp:lastPrinted>2020-01-10T15:53:00Z</cp:lastPrinted>
  <dcterms:modified xsi:type="dcterms:W3CDTF">2024-09-21T03:35:35Z</dcterms:modified>
  <dc:title>o</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2A72C6EA7B2147D2918ACE523A806BB2_13</vt:lpwstr>
  </property>
</Properties>
</file>