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1049.12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182.28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844.65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1049.12</w:t>
            </w:r>
          </w:p>
        </w:tc>
        <w:tc>
          <w:tcPr>
            <w:tcW w:w="4535" w:type="dxa"/>
            <w:vAlign w:val="center"/>
          </w:tcPr>
          <w:p>
            <w:pPr>
              <w:pStyle w:val="15"/>
            </w:pPr>
            <w:r>
              <w:t>本年支出合计</w:t>
            </w:r>
          </w:p>
        </w:tc>
        <w:tc>
          <w:tcPr>
            <w:tcW w:w="2126" w:type="dxa"/>
            <w:vAlign w:val="center"/>
          </w:tcPr>
          <w:p>
            <w:pPr>
              <w:pStyle w:val="16"/>
            </w:pPr>
            <w:r>
              <w:t>1049.12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1049.12</w:t>
            </w:r>
          </w:p>
        </w:tc>
        <w:tc>
          <w:tcPr>
            <w:tcW w:w="4535" w:type="dxa"/>
            <w:vAlign w:val="center"/>
          </w:tcPr>
          <w:p>
            <w:pPr>
              <w:pStyle w:val="15"/>
            </w:pPr>
            <w:r>
              <w:t>支出总计</w:t>
            </w:r>
          </w:p>
        </w:tc>
        <w:tc>
          <w:tcPr>
            <w:tcW w:w="2126" w:type="dxa"/>
            <w:vAlign w:val="center"/>
          </w:tcPr>
          <w:p>
            <w:pPr>
              <w:pStyle w:val="16"/>
            </w:pPr>
            <w:r>
              <w:t>1049.12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1049.12</w:t>
            </w:r>
          </w:p>
        </w:tc>
        <w:tc>
          <w:tcPr>
            <w:tcW w:w="1134" w:type="dxa"/>
            <w:vAlign w:val="center"/>
          </w:tcPr>
          <w:p>
            <w:pPr>
              <w:pStyle w:val="16"/>
            </w:pPr>
            <w:r>
              <w:t>1049.12</w:t>
            </w:r>
          </w:p>
        </w:tc>
        <w:tc>
          <w:tcPr>
            <w:tcW w:w="1134" w:type="dxa"/>
            <w:vAlign w:val="center"/>
          </w:tcPr>
          <w:p>
            <w:pPr>
              <w:pStyle w:val="16"/>
            </w:pPr>
            <w:r>
              <w:t>1049.12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182.28</w:t>
            </w:r>
          </w:p>
        </w:tc>
        <w:tc>
          <w:tcPr>
            <w:tcW w:w="1134" w:type="dxa"/>
            <w:vAlign w:val="center"/>
          </w:tcPr>
          <w:p>
            <w:pPr>
              <w:pStyle w:val="12"/>
            </w:pPr>
            <w:r>
              <w:t>182.28</w:t>
            </w:r>
          </w:p>
        </w:tc>
        <w:tc>
          <w:tcPr>
            <w:tcW w:w="1134" w:type="dxa"/>
            <w:vAlign w:val="center"/>
          </w:tcPr>
          <w:p>
            <w:pPr>
              <w:pStyle w:val="12"/>
            </w:pPr>
            <w:r>
              <w:t>182.28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182.28</w:t>
            </w:r>
          </w:p>
        </w:tc>
        <w:tc>
          <w:tcPr>
            <w:tcW w:w="1134" w:type="dxa"/>
            <w:vAlign w:val="center"/>
          </w:tcPr>
          <w:p>
            <w:pPr>
              <w:pStyle w:val="12"/>
            </w:pPr>
            <w:r>
              <w:t>182.28</w:t>
            </w:r>
          </w:p>
        </w:tc>
        <w:tc>
          <w:tcPr>
            <w:tcW w:w="1134" w:type="dxa"/>
            <w:vAlign w:val="center"/>
          </w:tcPr>
          <w:p>
            <w:pPr>
              <w:pStyle w:val="12"/>
            </w:pPr>
            <w:r>
              <w:t>182.28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152.10</w:t>
            </w:r>
          </w:p>
        </w:tc>
        <w:tc>
          <w:tcPr>
            <w:tcW w:w="1134" w:type="dxa"/>
            <w:vAlign w:val="center"/>
          </w:tcPr>
          <w:p>
            <w:pPr>
              <w:pStyle w:val="12"/>
            </w:pPr>
            <w:r>
              <w:t>152.10</w:t>
            </w:r>
          </w:p>
        </w:tc>
        <w:tc>
          <w:tcPr>
            <w:tcW w:w="1134" w:type="dxa"/>
            <w:vAlign w:val="center"/>
          </w:tcPr>
          <w:p>
            <w:pPr>
              <w:pStyle w:val="12"/>
            </w:pPr>
            <w:r>
              <w:t>152.10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30.18</w:t>
            </w:r>
          </w:p>
        </w:tc>
        <w:tc>
          <w:tcPr>
            <w:tcW w:w="1134" w:type="dxa"/>
            <w:vAlign w:val="center"/>
          </w:tcPr>
          <w:p>
            <w:pPr>
              <w:pStyle w:val="12"/>
            </w:pPr>
            <w:r>
              <w:t>30.18</w:t>
            </w:r>
          </w:p>
        </w:tc>
        <w:tc>
          <w:tcPr>
            <w:tcW w:w="1134" w:type="dxa"/>
            <w:vAlign w:val="center"/>
          </w:tcPr>
          <w:p>
            <w:pPr>
              <w:pStyle w:val="12"/>
            </w:pPr>
            <w:r>
              <w:t>30.18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844.65</w:t>
            </w:r>
          </w:p>
        </w:tc>
        <w:tc>
          <w:tcPr>
            <w:tcW w:w="1134" w:type="dxa"/>
            <w:vAlign w:val="center"/>
          </w:tcPr>
          <w:p>
            <w:pPr>
              <w:pStyle w:val="12"/>
            </w:pPr>
            <w:r>
              <w:t>844.65</w:t>
            </w:r>
          </w:p>
        </w:tc>
        <w:tc>
          <w:tcPr>
            <w:tcW w:w="1134" w:type="dxa"/>
            <w:vAlign w:val="center"/>
          </w:tcPr>
          <w:p>
            <w:pPr>
              <w:pStyle w:val="12"/>
            </w:pPr>
            <w:r>
              <w:t>844.65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21101</w:t>
            </w:r>
          </w:p>
        </w:tc>
        <w:tc>
          <w:tcPr>
            <w:tcW w:w="1559" w:type="dxa"/>
            <w:vAlign w:val="center"/>
          </w:tcPr>
          <w:p>
            <w:pPr>
              <w:pStyle w:val="13"/>
            </w:pPr>
            <w:r>
              <w:t>环境保护管理事务</w:t>
            </w:r>
          </w:p>
        </w:tc>
        <w:tc>
          <w:tcPr>
            <w:tcW w:w="1134" w:type="dxa"/>
            <w:vAlign w:val="center"/>
          </w:tcPr>
          <w:p>
            <w:pPr>
              <w:pStyle w:val="12"/>
            </w:pPr>
            <w:r>
              <w:t>543.00</w:t>
            </w:r>
          </w:p>
        </w:tc>
        <w:tc>
          <w:tcPr>
            <w:tcW w:w="1134" w:type="dxa"/>
            <w:vAlign w:val="center"/>
          </w:tcPr>
          <w:p>
            <w:pPr>
              <w:pStyle w:val="12"/>
            </w:pPr>
            <w:r>
              <w:t>543.00</w:t>
            </w:r>
          </w:p>
        </w:tc>
        <w:tc>
          <w:tcPr>
            <w:tcW w:w="1134" w:type="dxa"/>
            <w:vAlign w:val="center"/>
          </w:tcPr>
          <w:p>
            <w:pPr>
              <w:pStyle w:val="12"/>
            </w:pPr>
            <w:r>
              <w:t>543.00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2110101</w:t>
            </w:r>
          </w:p>
        </w:tc>
        <w:tc>
          <w:tcPr>
            <w:tcW w:w="1559" w:type="dxa"/>
            <w:vAlign w:val="center"/>
          </w:tcPr>
          <w:p>
            <w:pPr>
              <w:pStyle w:val="13"/>
            </w:pPr>
            <w:r>
              <w:t>行政运行</w:t>
            </w:r>
          </w:p>
        </w:tc>
        <w:tc>
          <w:tcPr>
            <w:tcW w:w="1134" w:type="dxa"/>
            <w:vAlign w:val="center"/>
          </w:tcPr>
          <w:p>
            <w:pPr>
              <w:pStyle w:val="12"/>
            </w:pPr>
            <w:r>
              <w:t>187.10</w:t>
            </w:r>
          </w:p>
        </w:tc>
        <w:tc>
          <w:tcPr>
            <w:tcW w:w="1134" w:type="dxa"/>
            <w:vAlign w:val="center"/>
          </w:tcPr>
          <w:p>
            <w:pPr>
              <w:pStyle w:val="12"/>
            </w:pPr>
            <w:r>
              <w:t>187.10</w:t>
            </w:r>
          </w:p>
        </w:tc>
        <w:tc>
          <w:tcPr>
            <w:tcW w:w="1134" w:type="dxa"/>
            <w:vAlign w:val="center"/>
          </w:tcPr>
          <w:p>
            <w:pPr>
              <w:pStyle w:val="12"/>
            </w:pPr>
            <w:r>
              <w:t>187.10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2110102</w:t>
            </w:r>
          </w:p>
        </w:tc>
        <w:tc>
          <w:tcPr>
            <w:tcW w:w="1559" w:type="dxa"/>
            <w:vAlign w:val="center"/>
          </w:tcPr>
          <w:p>
            <w:pPr>
              <w:pStyle w:val="13"/>
            </w:pPr>
            <w:r>
              <w:t>一般行政管理事务</w:t>
            </w:r>
          </w:p>
        </w:tc>
        <w:tc>
          <w:tcPr>
            <w:tcW w:w="1134" w:type="dxa"/>
            <w:vAlign w:val="center"/>
          </w:tcPr>
          <w:p>
            <w:pPr>
              <w:pStyle w:val="12"/>
            </w:pPr>
            <w:r>
              <w:t>355.90</w:t>
            </w:r>
          </w:p>
        </w:tc>
        <w:tc>
          <w:tcPr>
            <w:tcW w:w="1134" w:type="dxa"/>
            <w:vAlign w:val="center"/>
          </w:tcPr>
          <w:p>
            <w:pPr>
              <w:pStyle w:val="12"/>
            </w:pPr>
            <w:r>
              <w:t>355.90</w:t>
            </w:r>
          </w:p>
        </w:tc>
        <w:tc>
          <w:tcPr>
            <w:tcW w:w="1134" w:type="dxa"/>
            <w:vAlign w:val="center"/>
          </w:tcPr>
          <w:p>
            <w:pPr>
              <w:pStyle w:val="12"/>
            </w:pPr>
            <w:r>
              <w:t>355.90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301.65</w:t>
            </w:r>
          </w:p>
        </w:tc>
        <w:tc>
          <w:tcPr>
            <w:tcW w:w="1134" w:type="dxa"/>
            <w:vAlign w:val="center"/>
          </w:tcPr>
          <w:p>
            <w:pPr>
              <w:pStyle w:val="12"/>
            </w:pPr>
            <w:r>
              <w:t>301.65</w:t>
            </w:r>
          </w:p>
        </w:tc>
        <w:tc>
          <w:tcPr>
            <w:tcW w:w="1134" w:type="dxa"/>
            <w:vAlign w:val="center"/>
          </w:tcPr>
          <w:p>
            <w:pPr>
              <w:pStyle w:val="12"/>
            </w:pPr>
            <w:r>
              <w:t>301.65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301.65</w:t>
            </w:r>
          </w:p>
        </w:tc>
        <w:tc>
          <w:tcPr>
            <w:tcW w:w="1134" w:type="dxa"/>
            <w:vAlign w:val="center"/>
          </w:tcPr>
          <w:p>
            <w:pPr>
              <w:pStyle w:val="12"/>
            </w:pPr>
            <w:r>
              <w:t>301.65</w:t>
            </w:r>
          </w:p>
        </w:tc>
        <w:tc>
          <w:tcPr>
            <w:tcW w:w="1134" w:type="dxa"/>
            <w:vAlign w:val="center"/>
          </w:tcPr>
          <w:p>
            <w:pPr>
              <w:pStyle w:val="12"/>
            </w:pPr>
            <w:r>
              <w:t>301.65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22.19</w:t>
            </w:r>
          </w:p>
        </w:tc>
        <w:tc>
          <w:tcPr>
            <w:tcW w:w="1134" w:type="dxa"/>
            <w:vAlign w:val="center"/>
          </w:tcPr>
          <w:p>
            <w:pPr>
              <w:pStyle w:val="12"/>
            </w:pPr>
            <w:r>
              <w:t>22.19</w:t>
            </w:r>
          </w:p>
        </w:tc>
        <w:tc>
          <w:tcPr>
            <w:tcW w:w="1134" w:type="dxa"/>
            <w:vAlign w:val="center"/>
          </w:tcPr>
          <w:p>
            <w:pPr>
              <w:pStyle w:val="12"/>
            </w:pPr>
            <w:r>
              <w:t>22.19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22.19</w:t>
            </w:r>
          </w:p>
        </w:tc>
        <w:tc>
          <w:tcPr>
            <w:tcW w:w="1134" w:type="dxa"/>
            <w:vAlign w:val="center"/>
          </w:tcPr>
          <w:p>
            <w:pPr>
              <w:pStyle w:val="12"/>
            </w:pPr>
            <w:r>
              <w:t>22.19</w:t>
            </w:r>
          </w:p>
        </w:tc>
        <w:tc>
          <w:tcPr>
            <w:tcW w:w="1134" w:type="dxa"/>
            <w:vAlign w:val="center"/>
          </w:tcPr>
          <w:p>
            <w:pPr>
              <w:pStyle w:val="12"/>
            </w:pPr>
            <w:r>
              <w:t>22.19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22.19</w:t>
            </w:r>
          </w:p>
        </w:tc>
        <w:tc>
          <w:tcPr>
            <w:tcW w:w="1134" w:type="dxa"/>
            <w:vAlign w:val="center"/>
          </w:tcPr>
          <w:p>
            <w:pPr>
              <w:pStyle w:val="12"/>
            </w:pPr>
            <w:r>
              <w:t>22.19</w:t>
            </w:r>
          </w:p>
        </w:tc>
        <w:tc>
          <w:tcPr>
            <w:tcW w:w="1134" w:type="dxa"/>
            <w:vAlign w:val="center"/>
          </w:tcPr>
          <w:p>
            <w:pPr>
              <w:pStyle w:val="12"/>
            </w:pPr>
            <w:r>
              <w:t>22.19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1049.12</w:t>
            </w:r>
          </w:p>
        </w:tc>
        <w:tc>
          <w:tcPr>
            <w:tcW w:w="1361" w:type="dxa"/>
            <w:vAlign w:val="center"/>
          </w:tcPr>
          <w:p>
            <w:pPr>
              <w:pStyle w:val="16"/>
            </w:pPr>
            <w:r>
              <w:t>391.57</w:t>
            </w:r>
          </w:p>
        </w:tc>
        <w:tc>
          <w:tcPr>
            <w:tcW w:w="1361" w:type="dxa"/>
            <w:vAlign w:val="center"/>
          </w:tcPr>
          <w:p>
            <w:pPr>
              <w:pStyle w:val="16"/>
            </w:pPr>
            <w:r>
              <w:t>657.55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182.28</w:t>
            </w:r>
          </w:p>
        </w:tc>
        <w:tc>
          <w:tcPr>
            <w:tcW w:w="1361" w:type="dxa"/>
            <w:vAlign w:val="center"/>
          </w:tcPr>
          <w:p>
            <w:pPr>
              <w:pStyle w:val="12"/>
            </w:pPr>
            <w:r>
              <w:t>182.28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182.28</w:t>
            </w:r>
          </w:p>
        </w:tc>
        <w:tc>
          <w:tcPr>
            <w:tcW w:w="1361" w:type="dxa"/>
            <w:vAlign w:val="center"/>
          </w:tcPr>
          <w:p>
            <w:pPr>
              <w:pStyle w:val="12"/>
            </w:pPr>
            <w:r>
              <w:t>182.28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152.10</w:t>
            </w:r>
          </w:p>
        </w:tc>
        <w:tc>
          <w:tcPr>
            <w:tcW w:w="1361" w:type="dxa"/>
            <w:vAlign w:val="center"/>
          </w:tcPr>
          <w:p>
            <w:pPr>
              <w:pStyle w:val="12"/>
            </w:pPr>
            <w:r>
              <w:t>152.10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30.18</w:t>
            </w:r>
          </w:p>
        </w:tc>
        <w:tc>
          <w:tcPr>
            <w:tcW w:w="1361" w:type="dxa"/>
            <w:vAlign w:val="center"/>
          </w:tcPr>
          <w:p>
            <w:pPr>
              <w:pStyle w:val="12"/>
            </w:pPr>
            <w:r>
              <w:t>30.18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844.65</w:t>
            </w:r>
          </w:p>
        </w:tc>
        <w:tc>
          <w:tcPr>
            <w:tcW w:w="1361" w:type="dxa"/>
            <w:vAlign w:val="center"/>
          </w:tcPr>
          <w:p>
            <w:pPr>
              <w:pStyle w:val="12"/>
            </w:pPr>
            <w:r>
              <w:t>187.10</w:t>
            </w:r>
          </w:p>
        </w:tc>
        <w:tc>
          <w:tcPr>
            <w:tcW w:w="1361" w:type="dxa"/>
            <w:vAlign w:val="center"/>
          </w:tcPr>
          <w:p>
            <w:pPr>
              <w:pStyle w:val="12"/>
            </w:pPr>
            <w:r>
              <w:t>657.55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21101</w:t>
            </w:r>
          </w:p>
        </w:tc>
        <w:tc>
          <w:tcPr>
            <w:tcW w:w="4535" w:type="dxa"/>
            <w:vAlign w:val="center"/>
          </w:tcPr>
          <w:p>
            <w:pPr>
              <w:pStyle w:val="13"/>
            </w:pPr>
            <w:r>
              <w:t>环境保护管理事务</w:t>
            </w:r>
          </w:p>
        </w:tc>
        <w:tc>
          <w:tcPr>
            <w:tcW w:w="1361" w:type="dxa"/>
            <w:vAlign w:val="center"/>
          </w:tcPr>
          <w:p>
            <w:pPr>
              <w:pStyle w:val="12"/>
            </w:pPr>
            <w:r>
              <w:t>543.00</w:t>
            </w:r>
          </w:p>
        </w:tc>
        <w:tc>
          <w:tcPr>
            <w:tcW w:w="1361" w:type="dxa"/>
            <w:vAlign w:val="center"/>
          </w:tcPr>
          <w:p>
            <w:pPr>
              <w:pStyle w:val="12"/>
            </w:pPr>
            <w:r>
              <w:t>187.10</w:t>
            </w:r>
          </w:p>
        </w:tc>
        <w:tc>
          <w:tcPr>
            <w:tcW w:w="1361" w:type="dxa"/>
            <w:vAlign w:val="center"/>
          </w:tcPr>
          <w:p>
            <w:pPr>
              <w:pStyle w:val="12"/>
            </w:pPr>
            <w:r>
              <w:t>355.90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2110101</w:t>
            </w:r>
          </w:p>
        </w:tc>
        <w:tc>
          <w:tcPr>
            <w:tcW w:w="4535" w:type="dxa"/>
            <w:vAlign w:val="center"/>
          </w:tcPr>
          <w:p>
            <w:pPr>
              <w:pStyle w:val="13"/>
            </w:pPr>
            <w:r>
              <w:t>行政运行</w:t>
            </w:r>
          </w:p>
        </w:tc>
        <w:tc>
          <w:tcPr>
            <w:tcW w:w="1361" w:type="dxa"/>
            <w:vAlign w:val="center"/>
          </w:tcPr>
          <w:p>
            <w:pPr>
              <w:pStyle w:val="12"/>
            </w:pPr>
            <w:r>
              <w:t>187.10</w:t>
            </w:r>
          </w:p>
        </w:tc>
        <w:tc>
          <w:tcPr>
            <w:tcW w:w="1361" w:type="dxa"/>
            <w:vAlign w:val="center"/>
          </w:tcPr>
          <w:p>
            <w:pPr>
              <w:pStyle w:val="12"/>
            </w:pPr>
            <w:r>
              <w:t>187.10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2110102</w:t>
            </w:r>
          </w:p>
        </w:tc>
        <w:tc>
          <w:tcPr>
            <w:tcW w:w="4535" w:type="dxa"/>
            <w:vAlign w:val="center"/>
          </w:tcPr>
          <w:p>
            <w:pPr>
              <w:pStyle w:val="13"/>
            </w:pPr>
            <w:r>
              <w:t>一般行政管理事务</w:t>
            </w:r>
          </w:p>
        </w:tc>
        <w:tc>
          <w:tcPr>
            <w:tcW w:w="1361" w:type="dxa"/>
            <w:vAlign w:val="center"/>
          </w:tcPr>
          <w:p>
            <w:pPr>
              <w:pStyle w:val="12"/>
            </w:pPr>
            <w:r>
              <w:t>355.90</w:t>
            </w:r>
          </w:p>
        </w:tc>
        <w:tc>
          <w:tcPr>
            <w:tcW w:w="1361" w:type="dxa"/>
            <w:vAlign w:val="center"/>
          </w:tcPr>
          <w:p>
            <w:pPr>
              <w:pStyle w:val="12"/>
            </w:pPr>
          </w:p>
        </w:tc>
        <w:tc>
          <w:tcPr>
            <w:tcW w:w="1361" w:type="dxa"/>
            <w:vAlign w:val="center"/>
          </w:tcPr>
          <w:p>
            <w:pPr>
              <w:pStyle w:val="12"/>
            </w:pPr>
            <w:r>
              <w:t>355.90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301.65</w:t>
            </w:r>
          </w:p>
        </w:tc>
        <w:tc>
          <w:tcPr>
            <w:tcW w:w="1361" w:type="dxa"/>
            <w:vAlign w:val="center"/>
          </w:tcPr>
          <w:p>
            <w:pPr>
              <w:pStyle w:val="12"/>
            </w:pPr>
          </w:p>
        </w:tc>
        <w:tc>
          <w:tcPr>
            <w:tcW w:w="1361" w:type="dxa"/>
            <w:vAlign w:val="center"/>
          </w:tcPr>
          <w:p>
            <w:pPr>
              <w:pStyle w:val="12"/>
            </w:pPr>
            <w:r>
              <w:t>301.65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301.65</w:t>
            </w:r>
          </w:p>
        </w:tc>
        <w:tc>
          <w:tcPr>
            <w:tcW w:w="1361" w:type="dxa"/>
            <w:vAlign w:val="center"/>
          </w:tcPr>
          <w:p>
            <w:pPr>
              <w:pStyle w:val="12"/>
            </w:pPr>
          </w:p>
        </w:tc>
        <w:tc>
          <w:tcPr>
            <w:tcW w:w="1361" w:type="dxa"/>
            <w:vAlign w:val="center"/>
          </w:tcPr>
          <w:p>
            <w:pPr>
              <w:pStyle w:val="12"/>
            </w:pPr>
            <w:r>
              <w:t>301.65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22.19</w:t>
            </w:r>
          </w:p>
        </w:tc>
        <w:tc>
          <w:tcPr>
            <w:tcW w:w="1361" w:type="dxa"/>
            <w:vAlign w:val="center"/>
          </w:tcPr>
          <w:p>
            <w:pPr>
              <w:pStyle w:val="12"/>
            </w:pPr>
            <w:r>
              <w:t>22.19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22.19</w:t>
            </w:r>
          </w:p>
        </w:tc>
        <w:tc>
          <w:tcPr>
            <w:tcW w:w="1361" w:type="dxa"/>
            <w:vAlign w:val="center"/>
          </w:tcPr>
          <w:p>
            <w:pPr>
              <w:pStyle w:val="12"/>
            </w:pPr>
            <w:r>
              <w:t>22.19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22.19</w:t>
            </w:r>
          </w:p>
        </w:tc>
        <w:tc>
          <w:tcPr>
            <w:tcW w:w="1361" w:type="dxa"/>
            <w:vAlign w:val="center"/>
          </w:tcPr>
          <w:p>
            <w:pPr>
              <w:pStyle w:val="12"/>
            </w:pPr>
            <w:r>
              <w:t>22.19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1049.12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182.28</w:t>
            </w:r>
          </w:p>
        </w:tc>
        <w:tc>
          <w:tcPr>
            <w:tcW w:w="1474" w:type="dxa"/>
            <w:vAlign w:val="center"/>
          </w:tcPr>
          <w:p>
            <w:pPr>
              <w:pStyle w:val="12"/>
            </w:pPr>
            <w:r>
              <w:t>182.28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844.65</w:t>
            </w:r>
          </w:p>
        </w:tc>
        <w:tc>
          <w:tcPr>
            <w:tcW w:w="1474" w:type="dxa"/>
            <w:vAlign w:val="center"/>
          </w:tcPr>
          <w:p>
            <w:pPr>
              <w:pStyle w:val="12"/>
            </w:pPr>
            <w:r>
              <w:t>844.65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22.19</w:t>
            </w:r>
          </w:p>
        </w:tc>
        <w:tc>
          <w:tcPr>
            <w:tcW w:w="1474" w:type="dxa"/>
            <w:vAlign w:val="center"/>
          </w:tcPr>
          <w:p>
            <w:pPr>
              <w:pStyle w:val="12"/>
            </w:pPr>
            <w:r>
              <w:t>22.19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1049.12</w:t>
            </w:r>
          </w:p>
        </w:tc>
        <w:tc>
          <w:tcPr>
            <w:tcW w:w="3402" w:type="dxa"/>
            <w:vAlign w:val="center"/>
          </w:tcPr>
          <w:p>
            <w:pPr>
              <w:pStyle w:val="15"/>
            </w:pPr>
            <w:r>
              <w:t>本年支出合计</w:t>
            </w:r>
          </w:p>
        </w:tc>
        <w:tc>
          <w:tcPr>
            <w:tcW w:w="1474" w:type="dxa"/>
            <w:vAlign w:val="center"/>
          </w:tcPr>
          <w:p>
            <w:pPr>
              <w:pStyle w:val="16"/>
            </w:pPr>
            <w:r>
              <w:t>1049.12</w:t>
            </w:r>
          </w:p>
        </w:tc>
        <w:tc>
          <w:tcPr>
            <w:tcW w:w="1474" w:type="dxa"/>
            <w:vAlign w:val="center"/>
          </w:tcPr>
          <w:p>
            <w:pPr>
              <w:pStyle w:val="16"/>
            </w:pPr>
            <w:r>
              <w:t>1049.12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1049.12</w:t>
            </w:r>
          </w:p>
        </w:tc>
        <w:tc>
          <w:tcPr>
            <w:tcW w:w="3402" w:type="dxa"/>
            <w:vAlign w:val="center"/>
          </w:tcPr>
          <w:p>
            <w:pPr>
              <w:pStyle w:val="15"/>
            </w:pPr>
            <w:r>
              <w:t>支出总计</w:t>
            </w:r>
          </w:p>
        </w:tc>
        <w:tc>
          <w:tcPr>
            <w:tcW w:w="1474" w:type="dxa"/>
            <w:vAlign w:val="center"/>
          </w:tcPr>
          <w:p>
            <w:pPr>
              <w:pStyle w:val="16"/>
            </w:pPr>
            <w:r>
              <w:t>1049.12</w:t>
            </w:r>
          </w:p>
        </w:tc>
        <w:tc>
          <w:tcPr>
            <w:tcW w:w="1474" w:type="dxa"/>
            <w:vAlign w:val="center"/>
          </w:tcPr>
          <w:p>
            <w:pPr>
              <w:pStyle w:val="16"/>
            </w:pPr>
            <w:r>
              <w:t>1049.12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1049.12</w:t>
            </w:r>
          </w:p>
        </w:tc>
        <w:tc>
          <w:tcPr>
            <w:tcW w:w="2551" w:type="dxa"/>
            <w:vAlign w:val="center"/>
          </w:tcPr>
          <w:p>
            <w:pPr>
              <w:pStyle w:val="16"/>
            </w:pPr>
            <w:r>
              <w:t>391.57</w:t>
            </w:r>
          </w:p>
        </w:tc>
        <w:tc>
          <w:tcPr>
            <w:tcW w:w="2551" w:type="dxa"/>
            <w:vAlign w:val="center"/>
          </w:tcPr>
          <w:p>
            <w:pPr>
              <w:pStyle w:val="16"/>
            </w:pPr>
            <w:r>
              <w:t>657.55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182.28</w:t>
            </w:r>
          </w:p>
        </w:tc>
        <w:tc>
          <w:tcPr>
            <w:tcW w:w="2551" w:type="dxa"/>
            <w:vAlign w:val="center"/>
          </w:tcPr>
          <w:p>
            <w:pPr>
              <w:pStyle w:val="12"/>
            </w:pPr>
            <w:r>
              <w:t>182.28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182.28</w:t>
            </w:r>
          </w:p>
        </w:tc>
        <w:tc>
          <w:tcPr>
            <w:tcW w:w="2551" w:type="dxa"/>
            <w:vAlign w:val="center"/>
          </w:tcPr>
          <w:p>
            <w:pPr>
              <w:pStyle w:val="12"/>
            </w:pPr>
            <w:r>
              <w:t>182.28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152.10</w:t>
            </w:r>
          </w:p>
        </w:tc>
        <w:tc>
          <w:tcPr>
            <w:tcW w:w="2551" w:type="dxa"/>
            <w:vAlign w:val="center"/>
          </w:tcPr>
          <w:p>
            <w:pPr>
              <w:pStyle w:val="12"/>
            </w:pPr>
            <w:r>
              <w:t>152.10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30.18</w:t>
            </w:r>
          </w:p>
        </w:tc>
        <w:tc>
          <w:tcPr>
            <w:tcW w:w="2551" w:type="dxa"/>
            <w:vAlign w:val="center"/>
          </w:tcPr>
          <w:p>
            <w:pPr>
              <w:pStyle w:val="12"/>
            </w:pPr>
            <w:r>
              <w:t>30.18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844.65</w:t>
            </w:r>
          </w:p>
        </w:tc>
        <w:tc>
          <w:tcPr>
            <w:tcW w:w="2551" w:type="dxa"/>
            <w:vAlign w:val="center"/>
          </w:tcPr>
          <w:p>
            <w:pPr>
              <w:pStyle w:val="12"/>
            </w:pPr>
            <w:r>
              <w:t>187.10</w:t>
            </w:r>
          </w:p>
        </w:tc>
        <w:tc>
          <w:tcPr>
            <w:tcW w:w="2551" w:type="dxa"/>
            <w:vAlign w:val="center"/>
          </w:tcPr>
          <w:p>
            <w:pPr>
              <w:pStyle w:val="12"/>
            </w:pPr>
            <w:r>
              <w:t>657.55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21101</w:t>
            </w:r>
          </w:p>
        </w:tc>
        <w:tc>
          <w:tcPr>
            <w:tcW w:w="4535" w:type="dxa"/>
            <w:vAlign w:val="center"/>
          </w:tcPr>
          <w:p>
            <w:pPr>
              <w:pStyle w:val="13"/>
            </w:pPr>
            <w:r>
              <w:t>环境保护管理事务</w:t>
            </w:r>
          </w:p>
        </w:tc>
        <w:tc>
          <w:tcPr>
            <w:tcW w:w="2551" w:type="dxa"/>
            <w:vAlign w:val="center"/>
          </w:tcPr>
          <w:p>
            <w:pPr>
              <w:pStyle w:val="12"/>
            </w:pPr>
            <w:r>
              <w:t>543.00</w:t>
            </w:r>
          </w:p>
        </w:tc>
        <w:tc>
          <w:tcPr>
            <w:tcW w:w="2551" w:type="dxa"/>
            <w:vAlign w:val="center"/>
          </w:tcPr>
          <w:p>
            <w:pPr>
              <w:pStyle w:val="12"/>
            </w:pPr>
            <w:r>
              <w:t>187.10</w:t>
            </w:r>
          </w:p>
        </w:tc>
        <w:tc>
          <w:tcPr>
            <w:tcW w:w="2551" w:type="dxa"/>
            <w:vAlign w:val="center"/>
          </w:tcPr>
          <w:p>
            <w:pPr>
              <w:pStyle w:val="12"/>
            </w:pPr>
            <w:r>
              <w:t>355.90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2110101</w:t>
            </w:r>
          </w:p>
        </w:tc>
        <w:tc>
          <w:tcPr>
            <w:tcW w:w="4535" w:type="dxa"/>
            <w:vAlign w:val="center"/>
          </w:tcPr>
          <w:p>
            <w:pPr>
              <w:pStyle w:val="13"/>
            </w:pPr>
            <w:r>
              <w:t>行政运行</w:t>
            </w:r>
          </w:p>
        </w:tc>
        <w:tc>
          <w:tcPr>
            <w:tcW w:w="2551" w:type="dxa"/>
            <w:vAlign w:val="center"/>
          </w:tcPr>
          <w:p>
            <w:pPr>
              <w:pStyle w:val="12"/>
            </w:pPr>
            <w:r>
              <w:t>187.10</w:t>
            </w:r>
          </w:p>
        </w:tc>
        <w:tc>
          <w:tcPr>
            <w:tcW w:w="2551" w:type="dxa"/>
            <w:vAlign w:val="center"/>
          </w:tcPr>
          <w:p>
            <w:pPr>
              <w:pStyle w:val="12"/>
            </w:pPr>
            <w:r>
              <w:t>187.10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2110102</w:t>
            </w:r>
          </w:p>
        </w:tc>
        <w:tc>
          <w:tcPr>
            <w:tcW w:w="4535" w:type="dxa"/>
            <w:vAlign w:val="center"/>
          </w:tcPr>
          <w:p>
            <w:pPr>
              <w:pStyle w:val="13"/>
            </w:pPr>
            <w:r>
              <w:t>一般行政管理事务</w:t>
            </w:r>
          </w:p>
        </w:tc>
        <w:tc>
          <w:tcPr>
            <w:tcW w:w="2551" w:type="dxa"/>
            <w:vAlign w:val="center"/>
          </w:tcPr>
          <w:p>
            <w:pPr>
              <w:pStyle w:val="12"/>
            </w:pPr>
            <w:r>
              <w:t>355.90</w:t>
            </w:r>
          </w:p>
        </w:tc>
        <w:tc>
          <w:tcPr>
            <w:tcW w:w="2551" w:type="dxa"/>
            <w:vAlign w:val="center"/>
          </w:tcPr>
          <w:p>
            <w:pPr>
              <w:pStyle w:val="12"/>
            </w:pPr>
          </w:p>
        </w:tc>
        <w:tc>
          <w:tcPr>
            <w:tcW w:w="2551" w:type="dxa"/>
            <w:vAlign w:val="center"/>
          </w:tcPr>
          <w:p>
            <w:pPr>
              <w:pStyle w:val="12"/>
            </w:pPr>
            <w:r>
              <w:t>355.90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301.65</w:t>
            </w:r>
          </w:p>
        </w:tc>
        <w:tc>
          <w:tcPr>
            <w:tcW w:w="2551" w:type="dxa"/>
            <w:vAlign w:val="center"/>
          </w:tcPr>
          <w:p>
            <w:pPr>
              <w:pStyle w:val="12"/>
            </w:pPr>
          </w:p>
        </w:tc>
        <w:tc>
          <w:tcPr>
            <w:tcW w:w="2551" w:type="dxa"/>
            <w:vAlign w:val="center"/>
          </w:tcPr>
          <w:p>
            <w:pPr>
              <w:pStyle w:val="12"/>
            </w:pPr>
            <w:r>
              <w:t>301.65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301.65</w:t>
            </w:r>
          </w:p>
        </w:tc>
        <w:tc>
          <w:tcPr>
            <w:tcW w:w="2551" w:type="dxa"/>
            <w:vAlign w:val="center"/>
          </w:tcPr>
          <w:p>
            <w:pPr>
              <w:pStyle w:val="12"/>
            </w:pPr>
          </w:p>
        </w:tc>
        <w:tc>
          <w:tcPr>
            <w:tcW w:w="2551" w:type="dxa"/>
            <w:vAlign w:val="center"/>
          </w:tcPr>
          <w:p>
            <w:pPr>
              <w:pStyle w:val="12"/>
            </w:pPr>
            <w:r>
              <w:t>301.65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22.19</w:t>
            </w:r>
          </w:p>
        </w:tc>
        <w:tc>
          <w:tcPr>
            <w:tcW w:w="2551" w:type="dxa"/>
            <w:vAlign w:val="center"/>
          </w:tcPr>
          <w:p>
            <w:pPr>
              <w:pStyle w:val="12"/>
            </w:pPr>
            <w:r>
              <w:t>22.19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22.19</w:t>
            </w:r>
          </w:p>
        </w:tc>
        <w:tc>
          <w:tcPr>
            <w:tcW w:w="2551" w:type="dxa"/>
            <w:vAlign w:val="center"/>
          </w:tcPr>
          <w:p>
            <w:pPr>
              <w:pStyle w:val="12"/>
            </w:pPr>
            <w:r>
              <w:t>22.19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22.19</w:t>
            </w:r>
          </w:p>
        </w:tc>
        <w:tc>
          <w:tcPr>
            <w:tcW w:w="2551" w:type="dxa"/>
            <w:vAlign w:val="center"/>
          </w:tcPr>
          <w:p>
            <w:pPr>
              <w:pStyle w:val="12"/>
            </w:pPr>
            <w:r>
              <w:t>22.19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391.57</w:t>
            </w:r>
          </w:p>
        </w:tc>
        <w:tc>
          <w:tcPr>
            <w:tcW w:w="2551" w:type="dxa"/>
            <w:vAlign w:val="center"/>
          </w:tcPr>
          <w:p>
            <w:pPr>
              <w:pStyle w:val="16"/>
            </w:pPr>
            <w:r>
              <w:t>391.57</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237.34</w:t>
            </w:r>
          </w:p>
        </w:tc>
        <w:tc>
          <w:tcPr>
            <w:tcW w:w="2551" w:type="dxa"/>
            <w:vAlign w:val="center"/>
          </w:tcPr>
          <w:p>
            <w:pPr>
              <w:pStyle w:val="12"/>
            </w:pPr>
            <w:r>
              <w:t>237.34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65.33</w:t>
            </w:r>
          </w:p>
        </w:tc>
        <w:tc>
          <w:tcPr>
            <w:tcW w:w="2551" w:type="dxa"/>
            <w:vAlign w:val="center"/>
          </w:tcPr>
          <w:p>
            <w:pPr>
              <w:pStyle w:val="12"/>
            </w:pPr>
            <w:r>
              <w:t>65.33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21.81</w:t>
            </w:r>
          </w:p>
        </w:tc>
        <w:tc>
          <w:tcPr>
            <w:tcW w:w="2551" w:type="dxa"/>
            <w:vAlign w:val="center"/>
          </w:tcPr>
          <w:p>
            <w:pPr>
              <w:pStyle w:val="12"/>
            </w:pPr>
            <w:r>
              <w:t>21.81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97.83</w:t>
            </w:r>
          </w:p>
        </w:tc>
        <w:tc>
          <w:tcPr>
            <w:tcW w:w="2551" w:type="dxa"/>
            <w:vAlign w:val="center"/>
          </w:tcPr>
          <w:p>
            <w:pPr>
              <w:pStyle w:val="12"/>
            </w:pPr>
            <w:r>
              <w:t>97.83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30.18</w:t>
            </w:r>
          </w:p>
        </w:tc>
        <w:tc>
          <w:tcPr>
            <w:tcW w:w="2551" w:type="dxa"/>
            <w:vAlign w:val="center"/>
          </w:tcPr>
          <w:p>
            <w:pPr>
              <w:pStyle w:val="12"/>
            </w:pPr>
            <w:r>
              <w:t>30.18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22.19</w:t>
            </w:r>
          </w:p>
        </w:tc>
        <w:tc>
          <w:tcPr>
            <w:tcW w:w="2551" w:type="dxa"/>
            <w:vAlign w:val="center"/>
          </w:tcPr>
          <w:p>
            <w:pPr>
              <w:pStyle w:val="12"/>
            </w:pPr>
            <w:r>
              <w:t>22.19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154.23</w:t>
            </w:r>
          </w:p>
        </w:tc>
        <w:tc>
          <w:tcPr>
            <w:tcW w:w="2551" w:type="dxa"/>
            <w:vAlign w:val="center"/>
          </w:tcPr>
          <w:p>
            <w:pPr>
              <w:pStyle w:val="12"/>
            </w:pPr>
            <w:r>
              <w:t>154.23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152.10</w:t>
            </w:r>
          </w:p>
        </w:tc>
        <w:tc>
          <w:tcPr>
            <w:tcW w:w="2551" w:type="dxa"/>
            <w:vAlign w:val="center"/>
          </w:tcPr>
          <w:p>
            <w:pPr>
              <w:pStyle w:val="12"/>
            </w:pPr>
            <w:r>
              <w:t>152.10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2.13</w:t>
            </w:r>
          </w:p>
        </w:tc>
        <w:tc>
          <w:tcPr>
            <w:tcW w:w="2551" w:type="dxa"/>
            <w:vAlign w:val="center"/>
          </w:tcPr>
          <w:p>
            <w:pPr>
              <w:pStyle w:val="12"/>
            </w:pPr>
            <w:r>
              <w:t>2.13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石家庄市生态环境局藁城区分局2025年部门预算信息公开情况说明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石家庄市生态环境局藁城区分局2025年部门预算信息公开情况说明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按照《中华人民共和国预算法》、《地方预决算公开操作规程》和《关于进一步推进预算公开工作的实施意见》规定，现将石家庄市生态环境局藁城区分局2025年部门预算公开如下：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承担法律、法规、规章和规范性文件规定的其他职责，以及上级环保部门、本局委托和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石家庄市生态环境局藁城区分局本级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按照预算管理有关规定，目前部门预算的编制实行综合预算管理，即全部收入和支出都反映在预算中。石家庄市生态环境局藁城区分局机关及所属事业单位的收支包含在部门预算中。</w:t>
      </w:r>
    </w:p>
    <w:p>
      <w:pPr>
        <w:pStyle w:val="19"/>
      </w:pPr>
      <w:r>
        <w:t>1、收入说明</w:t>
      </w:r>
    </w:p>
    <w:p>
      <w:pPr>
        <w:pStyle w:val="19"/>
      </w:pPr>
      <w:r>
        <w:t>反映本部门当年全部收入。2025年预算收入1049.12万元，其中：一般公共预算收入1049.12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生态环境局藁城区分局年度部门预算中支出预算的总体情况。2025年支出预算1049.12万元，其中基本支出391.57万元，包括人员经费391.57万元和日常公用经费0.00万元；项目支出657.55万元，主要为业务咨询委托、办公设备购置、党组织活动费、文件资料印刷、专用材料购置、专用设备维修、环境保护宣传、预留应急等支出。</w:t>
      </w:r>
    </w:p>
    <w:p>
      <w:pPr>
        <w:pStyle w:val="19"/>
      </w:pPr>
      <w:r>
        <w:t>3、比上年增减情况</w:t>
      </w:r>
    </w:p>
    <w:p>
      <w:pPr>
        <w:pStyle w:val="19"/>
      </w:pPr>
      <w:r>
        <w:t>2025年预算收支安排1049.12万元，较2024年预算减少333.14万元，其中：基本支出减少50.69万元，主要为人员经费减少和公用经费减少。项目支出减少282.45万元，主要为较上年基础压减开支。</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2025年，我部门机关运行经费共计安排0.00万元，主要用于日常维修、办公用房水电费、办公用房取暖费、办公用房物业管理费等日常运行支出。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有效整合全市生态环境保护领域执法职责和队伍，理顺执法体制，创新执法机制，优化资源配置，强化执法监管，科学合理设置执法机构，强化生态环境保护综合执法体系和能力建设；承担法律、法规、规章和规范性文件规定的其他职责，以及上级环保部门、本局委托和交办的其他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依法加大环境执法监察与监测力度，加强环境监察队伍建设，提升环境监察效能。</w:t>
      </w:r>
    </w:p>
    <w:p>
      <w:pPr>
        <w:pStyle w:val="23"/>
      </w:pPr>
      <w:r>
        <w:t>绩效目标：及时发放劳务派遣人员工资、完成对辅勤人员的体检，完成对三个点位的维护，保障工作正常进行。</w:t>
      </w:r>
    </w:p>
    <w:p>
      <w:pPr>
        <w:pStyle w:val="23"/>
      </w:pPr>
      <w:r>
        <w:t>绩效指标：及时发放63个劳务派遣人员的工资，促进劳务派遣人员工作积极性。通过对150名辅勤人员进行体检，及时发现身体的健康隐患，促进健康的提升，保障辅勤人员的身体健康。通过对三个点位的维护，保障国省控空气质量自动监测点位、污染源自动监控平台和空气网格化的工作正常进行，为改善环境质量提供有力支撑，保障各项工作正常开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强化使命担当，落实主体责任。持续深入贯彻国家、省环境保护的方针、政策、法律，明确职责分工，提升环保部门的履行职责能力，强化对辖区内环境保护的统一监督，全面落实主体责任，切实担负起基环境治理方面的职责使命。</w:t>
      </w:r>
    </w:p>
    <w:p>
      <w:pPr>
        <w:pStyle w:val="24"/>
      </w:pPr>
      <w:r>
        <w:t>（2）加强支出管理，紧盯重点难点，提速工作进度。将2025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pPr>
        <w:pStyle w:val="24"/>
      </w:pPr>
      <w:r>
        <w:t>（3）加强绩效运行监控，按上级要求全程跟踪预算执行进度，坚持底线思维，科学防控风险。制定切实可行措施，保障绩效目标按期高质量完成。</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（5）规范财务资产管理。完善财务管理制度，严格审批程序，加强固定资产登记、使用和报废处理管理，做到支出合理，物尽其用。</w:t>
      </w:r>
    </w:p>
    <w:p>
      <w:pPr>
        <w:pStyle w:val="24"/>
      </w:pPr>
      <w:r>
        <w:t>（6）加强内部监督。注重内部监督制度建设、对绩效运行情况、重大支出决策等重要经济事业事项的决策和执行进行督导、并配合做好审计、财政监督等外部监督工作，确保财政资金安全有效，最大限度发挥财政资金使用效益。</w:t>
      </w:r>
    </w:p>
    <w:p>
      <w:pPr>
        <w:pStyle w:val="24"/>
        <w:sectPr>
          <w:pgSz w:w="16840" w:h="11900" w:orient="landscape"/>
          <w:pgMar w:top="1361" w:right="1020" w:bottom="1361" w:left="1020" w:header="720" w:footer="720" w:gutter="0"/>
          <w:cols w:space="720" w:num="1"/>
        </w:sectPr>
      </w:pPr>
      <w:r>
        <w:t>（7）加强宣传培训。组织指导开展环境保护宣传教育工作；协同有关部门开展生态环境法制教育，推动公众和非政府组织参与环境保护工作；协助县（区）组织部门管理环境保护行政主管部门领导干部；抓好环保系统在职人员的岗位培训和继续教育。</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304" w:firstLineChars="466"/>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bookmarkStart w:id="20" w:name="_GoBack"/>
      <w:bookmarkEnd w:id="20"/>
      <w:r>
        <w:rPr>
          <w:rFonts w:hint="eastAsia" w:ascii="Times New Roman" w:hAnsi="Times New Roman" w:eastAsia="方正仿宋_GBK" w:cs="Times New Roman"/>
          <w:sz w:val="28"/>
          <w:szCs w:val="24"/>
          <w:lang w:val="en-US" w:eastAsia="zh-CN" w:bidi="ar-SA"/>
        </w:rPr>
        <w:t>我部门2025年无专项资金。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1、辅勤人员体检费绩效目标表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13010925P00000810037Y</w:t>
            </w:r>
          </w:p>
        </w:tc>
        <w:tc>
          <w:tcPr>
            <w:tcW w:w="2835" w:type="dxa"/>
            <w:vAlign w:val="center"/>
          </w:tcPr>
          <w:p>
            <w:pPr>
              <w:pStyle w:val="11"/>
            </w:pPr>
            <w:r>
              <w:t>项目名称</w:t>
            </w:r>
          </w:p>
        </w:tc>
        <w:tc>
          <w:tcPr>
            <w:tcW w:w="6095" w:type="dxa"/>
            <w:gridSpan w:val="3"/>
            <w:vAlign w:val="center"/>
          </w:tcPr>
          <w:p>
            <w:pPr>
              <w:pStyle w:val="13"/>
            </w:pPr>
            <w:r>
              <w:t>辅勤人员体检费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w:t>
            </w:r>
          </w:p>
        </w:tc>
        <w:tc>
          <w:tcPr>
            <w:tcW w:w="2835" w:type="dxa"/>
            <w:vAlign w:val="center"/>
          </w:tcPr>
          <w:p>
            <w:pPr>
              <w:pStyle w:val="11"/>
            </w:pPr>
            <w:r>
              <w:t>其中：财政    资金</w:t>
            </w:r>
          </w:p>
        </w:tc>
        <w:tc>
          <w:tcPr>
            <w:tcW w:w="2551" w:type="dxa"/>
            <w:vAlign w:val="center"/>
          </w:tcPr>
          <w:p>
            <w:pPr>
              <w:pStyle w:val="13"/>
            </w:pPr>
            <w:r>
              <w:t>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通过给辅勤人员体检，保障了人员身体健康。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1.通过给辅勤人员体检，保障了人员身体健康。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辅勤人员数量</w:t>
            </w:r>
          </w:p>
        </w:tc>
        <w:tc>
          <w:tcPr>
            <w:tcW w:w="5386" w:type="dxa"/>
            <w:vAlign w:val="center"/>
          </w:tcPr>
          <w:p>
            <w:pPr>
              <w:pStyle w:val="13"/>
            </w:pPr>
            <w:r>
              <w:t>辅勤人员数量</w:t>
            </w:r>
          </w:p>
        </w:tc>
        <w:tc>
          <w:tcPr>
            <w:tcW w:w="2268" w:type="dxa"/>
            <w:vAlign w:val="center"/>
          </w:tcPr>
          <w:p>
            <w:pPr>
              <w:pStyle w:val="13"/>
            </w:pPr>
            <w:r>
              <w:t>≤150人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辅勤人员体检完成率</w:t>
            </w:r>
          </w:p>
        </w:tc>
        <w:tc>
          <w:tcPr>
            <w:tcW w:w="5386" w:type="dxa"/>
            <w:vAlign w:val="center"/>
          </w:tcPr>
          <w:p>
            <w:pPr>
              <w:pStyle w:val="13"/>
            </w:pPr>
            <w:r>
              <w:t>辅勤人员体检完成率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体检时间</w:t>
            </w:r>
          </w:p>
        </w:tc>
        <w:tc>
          <w:tcPr>
            <w:tcW w:w="5386" w:type="dxa"/>
            <w:vAlign w:val="center"/>
          </w:tcPr>
          <w:p>
            <w:pPr>
              <w:pStyle w:val="13"/>
            </w:pPr>
            <w:r>
              <w:t>体检时间</w:t>
            </w:r>
          </w:p>
        </w:tc>
        <w:tc>
          <w:tcPr>
            <w:tcW w:w="2268" w:type="dxa"/>
            <w:vAlign w:val="center"/>
          </w:tcPr>
          <w:p>
            <w:pPr>
              <w:pStyle w:val="13"/>
            </w:pPr>
            <w:r>
              <w:t>2026年</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体检标准</w:t>
            </w:r>
          </w:p>
        </w:tc>
        <w:tc>
          <w:tcPr>
            <w:tcW w:w="5386" w:type="dxa"/>
            <w:vAlign w:val="center"/>
          </w:tcPr>
          <w:p>
            <w:pPr>
              <w:pStyle w:val="13"/>
            </w:pPr>
            <w:r>
              <w:t>体检标准</w:t>
            </w:r>
          </w:p>
        </w:tc>
        <w:tc>
          <w:tcPr>
            <w:tcW w:w="2268" w:type="dxa"/>
            <w:vAlign w:val="center"/>
          </w:tcPr>
          <w:p>
            <w:pPr>
              <w:pStyle w:val="13"/>
            </w:pPr>
            <w:r>
              <w:t>660元/人</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加强辅勤人员身体健康意识</w:t>
            </w:r>
          </w:p>
        </w:tc>
        <w:tc>
          <w:tcPr>
            <w:tcW w:w="5386" w:type="dxa"/>
            <w:vAlign w:val="center"/>
          </w:tcPr>
          <w:p>
            <w:pPr>
              <w:pStyle w:val="13"/>
            </w:pPr>
            <w:r>
              <w:t>加强辅勤人员身体健康意识</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辅勤人员满意度</w:t>
            </w:r>
          </w:p>
        </w:tc>
        <w:tc>
          <w:tcPr>
            <w:tcW w:w="5386" w:type="dxa"/>
            <w:vAlign w:val="center"/>
          </w:tcPr>
          <w:p>
            <w:pPr>
              <w:pStyle w:val="13"/>
            </w:pPr>
            <w:r>
              <w:t>辅勤人员满意度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2、国省控点位及监控项目维护费绩效目标表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13010925P00000810030M</w:t>
            </w:r>
          </w:p>
        </w:tc>
        <w:tc>
          <w:tcPr>
            <w:tcW w:w="2835" w:type="dxa"/>
            <w:vAlign w:val="center"/>
          </w:tcPr>
          <w:p>
            <w:pPr>
              <w:pStyle w:val="11"/>
            </w:pPr>
            <w:r>
              <w:t>项目名称</w:t>
            </w:r>
          </w:p>
        </w:tc>
        <w:tc>
          <w:tcPr>
            <w:tcW w:w="6095" w:type="dxa"/>
            <w:gridSpan w:val="3"/>
            <w:vAlign w:val="center"/>
          </w:tcPr>
          <w:p>
            <w:pPr>
              <w:pStyle w:val="13"/>
            </w:pPr>
            <w:r>
              <w:t>国省控点位及监控项目维护费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通过对国省控空气质量自动监测点位、污染源自动监控平台和空气网格化的电力供应及国省控点位的维护，保障工作正常进行。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1.通过对国省控空气质量自动监测点位、污染源自动监控平台和空气网格化的电力供应及国省控点位的维护，保障工作正常进行。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项目包含内容明细数量</w:t>
            </w:r>
          </w:p>
        </w:tc>
        <w:tc>
          <w:tcPr>
            <w:tcW w:w="5386" w:type="dxa"/>
            <w:vAlign w:val="center"/>
          </w:tcPr>
          <w:p>
            <w:pPr>
              <w:pStyle w:val="13"/>
            </w:pPr>
            <w:r>
              <w:t>包含电力供应、国省控点位的维护工作等办公费用</w:t>
            </w:r>
          </w:p>
        </w:tc>
        <w:tc>
          <w:tcPr>
            <w:tcW w:w="2268" w:type="dxa"/>
            <w:vAlign w:val="center"/>
          </w:tcPr>
          <w:p>
            <w:pPr>
              <w:pStyle w:val="13"/>
            </w:pPr>
            <w:r>
              <w:t>1项</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对点位的维护及时性</w:t>
            </w:r>
          </w:p>
        </w:tc>
        <w:tc>
          <w:tcPr>
            <w:tcW w:w="5386" w:type="dxa"/>
            <w:vAlign w:val="center"/>
          </w:tcPr>
          <w:p>
            <w:pPr>
              <w:pStyle w:val="13"/>
            </w:pPr>
            <w:r>
              <w:t>对点位的维护及时性</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≤65万元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改善环境质量有力支撑</w:t>
            </w:r>
          </w:p>
        </w:tc>
        <w:tc>
          <w:tcPr>
            <w:tcW w:w="5386" w:type="dxa"/>
            <w:vAlign w:val="center"/>
          </w:tcPr>
          <w:p>
            <w:pPr>
              <w:pStyle w:val="13"/>
            </w:pPr>
            <w:r>
              <w:t>改善环境质量有力支撑</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服务收益对象满意度</w:t>
            </w:r>
          </w:p>
        </w:tc>
        <w:tc>
          <w:tcPr>
            <w:tcW w:w="5386" w:type="dxa"/>
            <w:vAlign w:val="center"/>
          </w:tcPr>
          <w:p>
            <w:pPr>
              <w:pStyle w:val="13"/>
            </w:pPr>
            <w:r>
              <w:t>服务收益对象满意度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3、劳务派遣人员工资绩效目标表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13010925P00000810029A</w:t>
            </w:r>
          </w:p>
        </w:tc>
        <w:tc>
          <w:tcPr>
            <w:tcW w:w="2835" w:type="dxa"/>
            <w:vAlign w:val="center"/>
          </w:tcPr>
          <w:p>
            <w:pPr>
              <w:pStyle w:val="11"/>
            </w:pPr>
            <w:r>
              <w:t>项目名称</w:t>
            </w:r>
          </w:p>
        </w:tc>
        <w:tc>
          <w:tcPr>
            <w:tcW w:w="6095" w:type="dxa"/>
            <w:gridSpan w:val="3"/>
            <w:vAlign w:val="center"/>
          </w:tcPr>
          <w:p>
            <w:pPr>
              <w:pStyle w:val="13"/>
            </w:pPr>
            <w:r>
              <w:t>劳务派遣人员工资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281.00</w:t>
            </w:r>
          </w:p>
        </w:tc>
        <w:tc>
          <w:tcPr>
            <w:tcW w:w="2835" w:type="dxa"/>
            <w:vAlign w:val="center"/>
          </w:tcPr>
          <w:p>
            <w:pPr>
              <w:pStyle w:val="11"/>
            </w:pPr>
            <w:r>
              <w:t>其中：财政    资金</w:t>
            </w:r>
          </w:p>
        </w:tc>
        <w:tc>
          <w:tcPr>
            <w:tcW w:w="2551" w:type="dxa"/>
            <w:vAlign w:val="center"/>
          </w:tcPr>
          <w:p>
            <w:pPr>
              <w:pStyle w:val="13"/>
            </w:pPr>
            <w:r>
              <w:t>281.00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通过发放劳务派遣人员工资保障工作正常，坚守在不同的工作岗位。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1.通过发放劳务派遣人员工资保障工作正常，坚守在不同的工作岗位。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≤63人</w:t>
            </w:r>
          </w:p>
        </w:tc>
        <w:tc>
          <w:tcPr>
            <w:tcW w:w="1276" w:type="dxa"/>
            <w:vAlign w:val="center"/>
          </w:tcPr>
          <w:p>
            <w:pPr>
              <w:pStyle w:val="13"/>
            </w:pPr>
            <w:r>
              <w:t>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资金落实率</w:t>
            </w:r>
          </w:p>
        </w:tc>
        <w:tc>
          <w:tcPr>
            <w:tcW w:w="5386" w:type="dxa"/>
            <w:vAlign w:val="center"/>
          </w:tcPr>
          <w:p>
            <w:pPr>
              <w:pStyle w:val="13"/>
            </w:pPr>
            <w:r>
              <w:t>资金落实率</w:t>
            </w:r>
          </w:p>
        </w:tc>
        <w:tc>
          <w:tcPr>
            <w:tcW w:w="2268" w:type="dxa"/>
            <w:vAlign w:val="center"/>
          </w:tcPr>
          <w:p>
            <w:pPr>
              <w:pStyle w:val="13"/>
            </w:pPr>
            <w:r>
              <w:t>100%</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拨付工资及时率</w:t>
            </w:r>
          </w:p>
        </w:tc>
        <w:tc>
          <w:tcPr>
            <w:tcW w:w="5386" w:type="dxa"/>
            <w:vAlign w:val="center"/>
          </w:tcPr>
          <w:p>
            <w:pPr>
              <w:pStyle w:val="13"/>
            </w:pPr>
            <w:r>
              <w:t>拨付工资及时率</w:t>
            </w:r>
          </w:p>
        </w:tc>
        <w:tc>
          <w:tcPr>
            <w:tcW w:w="2268" w:type="dxa"/>
            <w:vAlign w:val="center"/>
          </w:tcPr>
          <w:p>
            <w:pPr>
              <w:pStyle w:val="13"/>
            </w:pPr>
            <w:r>
              <w:t>100%</w:t>
            </w:r>
          </w:p>
        </w:tc>
        <w:tc>
          <w:tcPr>
            <w:tcW w:w="1276" w:type="dxa"/>
            <w:vAlign w:val="center"/>
          </w:tcPr>
          <w:p>
            <w:pPr>
              <w:pStyle w:val="13"/>
            </w:pPr>
            <w:r>
              <w:t>银行回单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不超预算控制数</w:t>
            </w:r>
          </w:p>
        </w:tc>
        <w:tc>
          <w:tcPr>
            <w:tcW w:w="2268" w:type="dxa"/>
            <w:vAlign w:val="center"/>
          </w:tcPr>
          <w:p>
            <w:pPr>
              <w:pStyle w:val="13"/>
            </w:pPr>
            <w:r>
              <w:t>≤281万元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落实劳务派遣人员工资</w:t>
            </w:r>
          </w:p>
        </w:tc>
        <w:tc>
          <w:tcPr>
            <w:tcW w:w="5386" w:type="dxa"/>
            <w:vAlign w:val="center"/>
          </w:tcPr>
          <w:p>
            <w:pPr>
              <w:pStyle w:val="13"/>
            </w:pPr>
            <w:r>
              <w:t>促进人员工资积极性</w:t>
            </w:r>
          </w:p>
        </w:tc>
        <w:tc>
          <w:tcPr>
            <w:tcW w:w="2268" w:type="dxa"/>
            <w:vAlign w:val="center"/>
          </w:tcPr>
          <w:p>
            <w:pPr>
              <w:pStyle w:val="13"/>
            </w:pPr>
            <w:r>
              <w:t>有效促进</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劳务派遣人员对工资发放的满意度</w:t>
            </w:r>
          </w:p>
        </w:tc>
        <w:tc>
          <w:tcPr>
            <w:tcW w:w="5386" w:type="dxa"/>
            <w:vAlign w:val="center"/>
          </w:tcPr>
          <w:p>
            <w:pPr>
              <w:pStyle w:val="13"/>
            </w:pPr>
            <w:r>
              <w:t>劳务派遣人员对工资发放的满意度</w:t>
            </w:r>
          </w:p>
        </w:tc>
        <w:tc>
          <w:tcPr>
            <w:tcW w:w="2268" w:type="dxa"/>
            <w:vAlign w:val="center"/>
          </w:tcPr>
          <w:p>
            <w:pPr>
              <w:pStyle w:val="13"/>
            </w:pPr>
            <w:r>
              <w:t>≥99%</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4、石财建[2022]23号下达污染防治项目资金（重点涉气企业排污智能监管）绩效目标表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13010925P00000810038J</w:t>
            </w:r>
          </w:p>
        </w:tc>
        <w:tc>
          <w:tcPr>
            <w:tcW w:w="2835" w:type="dxa"/>
            <w:vAlign w:val="center"/>
          </w:tcPr>
          <w:p>
            <w:pPr>
              <w:pStyle w:val="11"/>
            </w:pPr>
            <w:r>
              <w:t>项目名称</w:t>
            </w:r>
          </w:p>
        </w:tc>
        <w:tc>
          <w:tcPr>
            <w:tcW w:w="6095" w:type="dxa"/>
            <w:gridSpan w:val="3"/>
            <w:vAlign w:val="center"/>
          </w:tcPr>
          <w:p>
            <w:pPr>
              <w:pStyle w:val="13"/>
            </w:pPr>
            <w:r>
              <w:t>石财建[2022]23号下达污染防治项目资金（重点涉气企业排污智能监管）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68.45</w:t>
            </w:r>
          </w:p>
        </w:tc>
        <w:tc>
          <w:tcPr>
            <w:tcW w:w="2835" w:type="dxa"/>
            <w:vAlign w:val="center"/>
          </w:tcPr>
          <w:p>
            <w:pPr>
              <w:pStyle w:val="11"/>
            </w:pPr>
            <w:r>
              <w:t>其中：财政    资金</w:t>
            </w:r>
          </w:p>
        </w:tc>
        <w:tc>
          <w:tcPr>
            <w:tcW w:w="2551" w:type="dxa"/>
            <w:vAlign w:val="center"/>
          </w:tcPr>
          <w:p>
            <w:pPr>
              <w:pStyle w:val="13"/>
            </w:pPr>
            <w:r>
              <w:t>68.45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主要用于提升石家庄市大气环境质量，精细化监管石家庄市各重点排污企业的产、治、排，从而建立全过程式得工业源头减排、控排监管模式。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1.主要用于提升石家庄市大气环境质量，精细化监管石家庄市各重点排污企业的产、治、排，从而建立全过程式得工业源头减排、控排监管模式。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石家庄重点涉气企业安装企业端智能监管设备</w:t>
            </w:r>
          </w:p>
        </w:tc>
        <w:tc>
          <w:tcPr>
            <w:tcW w:w="5386" w:type="dxa"/>
            <w:vAlign w:val="center"/>
          </w:tcPr>
          <w:p>
            <w:pPr>
              <w:pStyle w:val="13"/>
            </w:pPr>
            <w:r>
              <w:t>对石家庄市藁城区重点污染源企业安装家数</w:t>
            </w:r>
          </w:p>
        </w:tc>
        <w:tc>
          <w:tcPr>
            <w:tcW w:w="2268" w:type="dxa"/>
            <w:vAlign w:val="center"/>
          </w:tcPr>
          <w:p>
            <w:pPr>
              <w:pStyle w:val="13"/>
            </w:pPr>
            <w:r>
              <w:t>≥3家</w:t>
            </w:r>
          </w:p>
        </w:tc>
        <w:tc>
          <w:tcPr>
            <w:tcW w:w="1276" w:type="dxa"/>
            <w:vAlign w:val="center"/>
          </w:tcPr>
          <w:p>
            <w:pPr>
              <w:pStyle w:val="13"/>
            </w:pPr>
            <w:r>
              <w:t>完成安装的家数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建设质量，按照石家庄市关于大气污染防治指标规划及具体业务举措</w:t>
            </w:r>
          </w:p>
        </w:tc>
        <w:tc>
          <w:tcPr>
            <w:tcW w:w="5386" w:type="dxa"/>
            <w:vAlign w:val="center"/>
          </w:tcPr>
          <w:p>
            <w:pPr>
              <w:pStyle w:val="13"/>
            </w:pPr>
            <w:r>
              <w:t>按照石家庄市关于大气污染防治指标规划及具体业务举措，完成相应建设</w:t>
            </w:r>
          </w:p>
        </w:tc>
        <w:tc>
          <w:tcPr>
            <w:tcW w:w="2268" w:type="dxa"/>
            <w:vAlign w:val="center"/>
          </w:tcPr>
          <w:p>
            <w:pPr>
              <w:pStyle w:val="13"/>
            </w:pPr>
            <w:r>
              <w:t>1项</w:t>
            </w:r>
          </w:p>
        </w:tc>
        <w:tc>
          <w:tcPr>
            <w:tcW w:w="1276" w:type="dxa"/>
            <w:vAlign w:val="center"/>
          </w:tcPr>
          <w:p>
            <w:pPr>
              <w:pStyle w:val="13"/>
            </w:pPr>
            <w:r>
              <w:t>完成相应数据采集指标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合同签订后，监管设备系统尽快投入运行</w:t>
            </w:r>
          </w:p>
        </w:tc>
        <w:tc>
          <w:tcPr>
            <w:tcW w:w="5386" w:type="dxa"/>
            <w:vAlign w:val="center"/>
          </w:tcPr>
          <w:p>
            <w:pPr>
              <w:pStyle w:val="13"/>
            </w:pPr>
            <w:r>
              <w:t>按时完成监管设备系统建设</w:t>
            </w:r>
          </w:p>
        </w:tc>
        <w:tc>
          <w:tcPr>
            <w:tcW w:w="2268" w:type="dxa"/>
            <w:vAlign w:val="center"/>
          </w:tcPr>
          <w:p>
            <w:pPr>
              <w:pStyle w:val="13"/>
            </w:pPr>
            <w:r>
              <w:t>完成</w:t>
            </w:r>
          </w:p>
        </w:tc>
        <w:tc>
          <w:tcPr>
            <w:tcW w:w="1276" w:type="dxa"/>
            <w:vAlign w:val="center"/>
          </w:tcPr>
          <w:p>
            <w:pPr>
              <w:pStyle w:val="13"/>
            </w:pPr>
            <w:r>
              <w:t>完成相应系统建设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实际支出在经费预算内</w:t>
            </w:r>
          </w:p>
        </w:tc>
        <w:tc>
          <w:tcPr>
            <w:tcW w:w="5386" w:type="dxa"/>
            <w:vAlign w:val="center"/>
          </w:tcPr>
          <w:p>
            <w:pPr>
              <w:pStyle w:val="13"/>
            </w:pPr>
            <w:r>
              <w:t>实际支出在经费预算内</w:t>
            </w:r>
          </w:p>
        </w:tc>
        <w:tc>
          <w:tcPr>
            <w:tcW w:w="2268" w:type="dxa"/>
            <w:vAlign w:val="center"/>
          </w:tcPr>
          <w:p>
            <w:pPr>
              <w:pStyle w:val="13"/>
            </w:pPr>
            <w:r>
              <w:t>≤68.45万元</w:t>
            </w:r>
          </w:p>
        </w:tc>
        <w:tc>
          <w:tcPr>
            <w:tcW w:w="1276" w:type="dxa"/>
            <w:vAlign w:val="center"/>
          </w:tcPr>
          <w:p>
            <w:pPr>
              <w:pStyle w:val="13"/>
            </w:pPr>
            <w:r>
              <w:t>采购预算执行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绿色生态管理的协调性</w:t>
            </w:r>
          </w:p>
        </w:tc>
        <w:tc>
          <w:tcPr>
            <w:tcW w:w="5386" w:type="dxa"/>
            <w:vAlign w:val="center"/>
          </w:tcPr>
          <w:p>
            <w:pPr>
              <w:pStyle w:val="13"/>
            </w:pPr>
            <w:r>
              <w:t>绿色生态管理的协调性提升</w:t>
            </w:r>
          </w:p>
        </w:tc>
        <w:tc>
          <w:tcPr>
            <w:tcW w:w="2268" w:type="dxa"/>
            <w:vAlign w:val="center"/>
          </w:tcPr>
          <w:p>
            <w:pPr>
              <w:pStyle w:val="13"/>
            </w:pPr>
            <w:r>
              <w:t>提升</w:t>
            </w:r>
          </w:p>
        </w:tc>
        <w:tc>
          <w:tcPr>
            <w:tcW w:w="1276" w:type="dxa"/>
            <w:vAlign w:val="center"/>
          </w:tcPr>
          <w:p>
            <w:pPr>
              <w:pStyle w:val="13"/>
            </w:pPr>
            <w:r>
              <w:t>统计分析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主管部门满意度</w:t>
            </w:r>
          </w:p>
        </w:tc>
        <w:tc>
          <w:tcPr>
            <w:tcW w:w="5386" w:type="dxa"/>
            <w:vAlign w:val="center"/>
          </w:tcPr>
          <w:p>
            <w:pPr>
              <w:pStyle w:val="13"/>
            </w:pPr>
            <w:r>
              <w:t>部门满意度提升</w:t>
            </w:r>
          </w:p>
        </w:tc>
        <w:tc>
          <w:tcPr>
            <w:tcW w:w="2268" w:type="dxa"/>
            <w:vAlign w:val="center"/>
          </w:tcPr>
          <w:p>
            <w:pPr>
              <w:pStyle w:val="13"/>
            </w:pPr>
            <w:r>
              <w:t>描述</w:t>
            </w:r>
          </w:p>
        </w:tc>
        <w:tc>
          <w:tcPr>
            <w:tcW w:w="1276" w:type="dxa"/>
            <w:vAlign w:val="center"/>
          </w:tcPr>
          <w:p>
            <w:pPr>
              <w:pStyle w:val="13"/>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5、石财建【2023】11号2021年中央大气污染防治资金【第三批】绩效目标表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13010925P000008105646</w:t>
            </w:r>
          </w:p>
        </w:tc>
        <w:tc>
          <w:tcPr>
            <w:tcW w:w="2835" w:type="dxa"/>
            <w:vAlign w:val="center"/>
          </w:tcPr>
          <w:p>
            <w:pPr>
              <w:pStyle w:val="11"/>
            </w:pPr>
            <w:r>
              <w:t>项目名称</w:t>
            </w:r>
          </w:p>
        </w:tc>
        <w:tc>
          <w:tcPr>
            <w:tcW w:w="6095" w:type="dxa"/>
            <w:gridSpan w:val="3"/>
            <w:vAlign w:val="center"/>
          </w:tcPr>
          <w:p>
            <w:pPr>
              <w:pStyle w:val="13"/>
            </w:pPr>
            <w:r>
              <w:t>石财建【2023】11号2021年中央大气污染防治资金【第三批】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91.00</w:t>
            </w:r>
          </w:p>
        </w:tc>
        <w:tc>
          <w:tcPr>
            <w:tcW w:w="2835" w:type="dxa"/>
            <w:vAlign w:val="center"/>
          </w:tcPr>
          <w:p>
            <w:pPr>
              <w:pStyle w:val="11"/>
            </w:pPr>
            <w:r>
              <w:t>其中：财政    资金</w:t>
            </w:r>
          </w:p>
        </w:tc>
        <w:tc>
          <w:tcPr>
            <w:tcW w:w="2551" w:type="dxa"/>
            <w:vAlign w:val="center"/>
          </w:tcPr>
          <w:p>
            <w:pPr>
              <w:pStyle w:val="13"/>
            </w:pPr>
            <w:r>
              <w:t>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石财建【2023】11号2021年中央大气污染防治资金【第三批】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1.石财建【2023】11号2021年中央大气污染防治资金【第三批】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新增1套RCO治理设施</w:t>
            </w:r>
          </w:p>
        </w:tc>
        <w:tc>
          <w:tcPr>
            <w:tcW w:w="5386" w:type="dxa"/>
            <w:vAlign w:val="center"/>
          </w:tcPr>
          <w:p>
            <w:pPr>
              <w:pStyle w:val="13"/>
            </w:pPr>
            <w:r>
              <w:t>新增1套RCO治理设施</w:t>
            </w:r>
          </w:p>
        </w:tc>
        <w:tc>
          <w:tcPr>
            <w:tcW w:w="2268" w:type="dxa"/>
            <w:vAlign w:val="center"/>
          </w:tcPr>
          <w:p>
            <w:pPr>
              <w:pStyle w:val="13"/>
            </w:pPr>
            <w:r>
              <w:t>1套</w:t>
            </w:r>
          </w:p>
        </w:tc>
        <w:tc>
          <w:tcPr>
            <w:tcW w:w="1276" w:type="dxa"/>
            <w:vAlign w:val="center"/>
          </w:tcPr>
          <w:p>
            <w:pPr>
              <w:pStyle w:val="13"/>
            </w:pPr>
            <w:r>
              <w:t>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高端处理设施改造，减少VOCs排放78Kg/年</w:t>
            </w:r>
          </w:p>
        </w:tc>
        <w:tc>
          <w:tcPr>
            <w:tcW w:w="5386" w:type="dxa"/>
            <w:vAlign w:val="center"/>
          </w:tcPr>
          <w:p>
            <w:pPr>
              <w:pStyle w:val="13"/>
            </w:pPr>
            <w:r>
              <w:t>非甲烷总烃排放浓度达到《河北省工业企业大气污染物排放控制标准》规定值70%以下</w:t>
            </w:r>
          </w:p>
        </w:tc>
        <w:tc>
          <w:tcPr>
            <w:tcW w:w="2268" w:type="dxa"/>
            <w:vAlign w:val="center"/>
          </w:tcPr>
          <w:p>
            <w:pPr>
              <w:pStyle w:val="13"/>
            </w:pPr>
            <w:r>
              <w:t>非甲烷总烃排放浓度达到《河北省工业企业大气污染物排放控制标准》规定值70%以下</w:t>
            </w:r>
          </w:p>
        </w:tc>
        <w:tc>
          <w:tcPr>
            <w:tcW w:w="1276" w:type="dxa"/>
            <w:vAlign w:val="center"/>
          </w:tcPr>
          <w:p>
            <w:pPr>
              <w:pStyle w:val="13"/>
            </w:pPr>
            <w:r>
              <w:t>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2023年6月完工</w:t>
            </w:r>
          </w:p>
        </w:tc>
        <w:tc>
          <w:tcPr>
            <w:tcW w:w="5386" w:type="dxa"/>
            <w:vAlign w:val="center"/>
          </w:tcPr>
          <w:p>
            <w:pPr>
              <w:pStyle w:val="13"/>
            </w:pPr>
            <w:r>
              <w:t>2023年6月完工</w:t>
            </w:r>
          </w:p>
        </w:tc>
        <w:tc>
          <w:tcPr>
            <w:tcW w:w="2268" w:type="dxa"/>
            <w:vAlign w:val="center"/>
          </w:tcPr>
          <w:p>
            <w:pPr>
              <w:pStyle w:val="13"/>
            </w:pPr>
            <w:r>
              <w:t>按时完成</w:t>
            </w:r>
          </w:p>
        </w:tc>
        <w:tc>
          <w:tcPr>
            <w:tcW w:w="1276" w:type="dxa"/>
            <w:vAlign w:val="center"/>
          </w:tcPr>
          <w:p>
            <w:pPr>
              <w:pStyle w:val="13"/>
            </w:pPr>
            <w:r>
              <w:t>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≤91万元</w:t>
            </w:r>
          </w:p>
        </w:tc>
        <w:tc>
          <w:tcPr>
            <w:tcW w:w="1276" w:type="dxa"/>
            <w:vAlign w:val="center"/>
          </w:tcPr>
          <w:p>
            <w:pPr>
              <w:pStyle w:val="13"/>
            </w:pPr>
            <w:r>
              <w:t>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改善环境质量</w:t>
            </w:r>
          </w:p>
        </w:tc>
        <w:tc>
          <w:tcPr>
            <w:tcW w:w="5386" w:type="dxa"/>
            <w:vAlign w:val="center"/>
          </w:tcPr>
          <w:p>
            <w:pPr>
              <w:pStyle w:val="13"/>
            </w:pPr>
            <w:r>
              <w:t>改善环境质量</w:t>
            </w:r>
          </w:p>
        </w:tc>
        <w:tc>
          <w:tcPr>
            <w:tcW w:w="2268" w:type="dxa"/>
            <w:vAlign w:val="center"/>
          </w:tcPr>
          <w:p>
            <w:pPr>
              <w:pStyle w:val="13"/>
            </w:pPr>
            <w:r>
              <w:t>改善</w:t>
            </w:r>
          </w:p>
        </w:tc>
        <w:tc>
          <w:tcPr>
            <w:tcW w:w="1276" w:type="dxa"/>
            <w:vAlign w:val="center"/>
          </w:tcPr>
          <w:p>
            <w:pPr>
              <w:pStyle w:val="13"/>
            </w:pPr>
            <w:r>
              <w:t>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服务受益对象满意度</w:t>
            </w:r>
          </w:p>
        </w:tc>
        <w:tc>
          <w:tcPr>
            <w:tcW w:w="5386" w:type="dxa"/>
            <w:vAlign w:val="center"/>
          </w:tcPr>
          <w:p>
            <w:pPr>
              <w:pStyle w:val="13"/>
            </w:pPr>
            <w:r>
              <w:t>服务受益对象满意度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6、石财建【2023】11号中央大气污染防治资金绩效目标表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13010925P00000810565R</w:t>
            </w:r>
          </w:p>
        </w:tc>
        <w:tc>
          <w:tcPr>
            <w:tcW w:w="2835" w:type="dxa"/>
            <w:vAlign w:val="center"/>
          </w:tcPr>
          <w:p>
            <w:pPr>
              <w:pStyle w:val="11"/>
            </w:pPr>
            <w:r>
              <w:t>项目名称</w:t>
            </w:r>
          </w:p>
        </w:tc>
        <w:tc>
          <w:tcPr>
            <w:tcW w:w="6095" w:type="dxa"/>
            <w:gridSpan w:val="3"/>
            <w:vAlign w:val="center"/>
          </w:tcPr>
          <w:p>
            <w:pPr>
              <w:pStyle w:val="13"/>
            </w:pPr>
            <w:r>
              <w:t>石财建【2023】11号中央大气污染防治资金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142.20</w:t>
            </w:r>
          </w:p>
        </w:tc>
        <w:tc>
          <w:tcPr>
            <w:tcW w:w="2835" w:type="dxa"/>
            <w:vAlign w:val="center"/>
          </w:tcPr>
          <w:p>
            <w:pPr>
              <w:pStyle w:val="11"/>
            </w:pPr>
            <w:r>
              <w:t>其中：财政    资金</w:t>
            </w:r>
          </w:p>
        </w:tc>
        <w:tc>
          <w:tcPr>
            <w:tcW w:w="2551" w:type="dxa"/>
            <w:vAlign w:val="center"/>
          </w:tcPr>
          <w:p>
            <w:pPr>
              <w:pStyle w:val="13"/>
            </w:pPr>
            <w:r>
              <w:t>142.20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石财建[2023]11号中央大气污染防治资金。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1.石财建[2023]11号中央大气污染防治资金。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新增1套RCO治理设施</w:t>
            </w:r>
          </w:p>
        </w:tc>
        <w:tc>
          <w:tcPr>
            <w:tcW w:w="5386" w:type="dxa"/>
            <w:vAlign w:val="center"/>
          </w:tcPr>
          <w:p>
            <w:pPr>
              <w:pStyle w:val="13"/>
            </w:pPr>
            <w:r>
              <w:t>新增1套RCO治理设施</w:t>
            </w:r>
          </w:p>
        </w:tc>
        <w:tc>
          <w:tcPr>
            <w:tcW w:w="2268" w:type="dxa"/>
            <w:vAlign w:val="center"/>
          </w:tcPr>
          <w:p>
            <w:pPr>
              <w:pStyle w:val="13"/>
            </w:pPr>
            <w:r>
              <w:t>1套</w:t>
            </w:r>
          </w:p>
        </w:tc>
        <w:tc>
          <w:tcPr>
            <w:tcW w:w="1276" w:type="dxa"/>
            <w:vAlign w:val="center"/>
          </w:tcPr>
          <w:p>
            <w:pPr>
              <w:pStyle w:val="13"/>
            </w:pPr>
            <w:r>
              <w:t>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高端处理设施改造，减少VOCs排放78Kg/年</w:t>
            </w:r>
          </w:p>
        </w:tc>
        <w:tc>
          <w:tcPr>
            <w:tcW w:w="5386" w:type="dxa"/>
            <w:vAlign w:val="center"/>
          </w:tcPr>
          <w:p>
            <w:pPr>
              <w:pStyle w:val="13"/>
            </w:pPr>
            <w:r>
              <w:t>非甲烷总烃排放浓度达到《河北省工业企业大气污染物排放控制标准》规定值70%以下</w:t>
            </w:r>
          </w:p>
        </w:tc>
        <w:tc>
          <w:tcPr>
            <w:tcW w:w="2268" w:type="dxa"/>
            <w:vAlign w:val="center"/>
          </w:tcPr>
          <w:p>
            <w:pPr>
              <w:pStyle w:val="13"/>
            </w:pPr>
            <w:r>
              <w:t>非甲烷总烃排放浓度达到《河北省工业企业大气污染物排放控制标准》规定值70%以下</w:t>
            </w:r>
          </w:p>
        </w:tc>
        <w:tc>
          <w:tcPr>
            <w:tcW w:w="1276" w:type="dxa"/>
            <w:vAlign w:val="center"/>
          </w:tcPr>
          <w:p>
            <w:pPr>
              <w:pStyle w:val="13"/>
            </w:pPr>
            <w:r>
              <w:t>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2023年6月完成</w:t>
            </w:r>
          </w:p>
        </w:tc>
        <w:tc>
          <w:tcPr>
            <w:tcW w:w="5386" w:type="dxa"/>
            <w:vAlign w:val="center"/>
          </w:tcPr>
          <w:p>
            <w:pPr>
              <w:pStyle w:val="13"/>
            </w:pPr>
            <w:r>
              <w:t>2023年6月完成</w:t>
            </w:r>
          </w:p>
        </w:tc>
        <w:tc>
          <w:tcPr>
            <w:tcW w:w="2268" w:type="dxa"/>
            <w:vAlign w:val="center"/>
          </w:tcPr>
          <w:p>
            <w:pPr>
              <w:pStyle w:val="13"/>
            </w:pPr>
            <w:r>
              <w:t>按时完成</w:t>
            </w:r>
          </w:p>
        </w:tc>
        <w:tc>
          <w:tcPr>
            <w:tcW w:w="1276" w:type="dxa"/>
            <w:vAlign w:val="center"/>
          </w:tcPr>
          <w:p>
            <w:pPr>
              <w:pStyle w:val="13"/>
            </w:pPr>
            <w:r>
              <w:t>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≤142.2万元</w:t>
            </w:r>
          </w:p>
        </w:tc>
        <w:tc>
          <w:tcPr>
            <w:tcW w:w="1276" w:type="dxa"/>
            <w:vAlign w:val="center"/>
          </w:tcPr>
          <w:p>
            <w:pPr>
              <w:pStyle w:val="13"/>
            </w:pPr>
            <w:r>
              <w:t>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改善环境空气</w:t>
            </w:r>
          </w:p>
        </w:tc>
        <w:tc>
          <w:tcPr>
            <w:tcW w:w="5386" w:type="dxa"/>
            <w:vAlign w:val="center"/>
          </w:tcPr>
          <w:p>
            <w:pPr>
              <w:pStyle w:val="13"/>
            </w:pPr>
            <w:r>
              <w:t>改善环境空气</w:t>
            </w:r>
          </w:p>
        </w:tc>
        <w:tc>
          <w:tcPr>
            <w:tcW w:w="2268" w:type="dxa"/>
            <w:vAlign w:val="center"/>
          </w:tcPr>
          <w:p>
            <w:pPr>
              <w:pStyle w:val="13"/>
            </w:pPr>
            <w:r>
              <w:t>改善</w:t>
            </w:r>
          </w:p>
        </w:tc>
        <w:tc>
          <w:tcPr>
            <w:tcW w:w="1276" w:type="dxa"/>
            <w:vAlign w:val="center"/>
          </w:tcPr>
          <w:p>
            <w:pPr>
              <w:pStyle w:val="13"/>
            </w:pPr>
            <w:r>
              <w:t>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服务受益对象满意度</w:t>
            </w:r>
          </w:p>
        </w:tc>
        <w:tc>
          <w:tcPr>
            <w:tcW w:w="5386" w:type="dxa"/>
            <w:vAlign w:val="center"/>
          </w:tcPr>
          <w:p>
            <w:pPr>
              <w:pStyle w:val="13"/>
            </w:pPr>
            <w:r>
              <w:t>服务受益对象满意度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石家庄市生态环境局藁城区分局（含所属单位）上年末固定资产金额为4284.07万元（详见下表）。本年度拟购置固定资产总额为0.00万元，已按要求列入政府采购预算，详见政府采购预算表。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467石家庄市生态环境局藁城区分局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4284.07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4958</w:t>
            </w:r>
          </w:p>
        </w:tc>
        <w:tc>
          <w:tcPr>
            <w:tcW w:w="2835" w:type="dxa"/>
            <w:vAlign w:val="center"/>
          </w:tcPr>
          <w:p>
            <w:pPr>
              <w:pStyle w:val="12"/>
            </w:pPr>
            <w:r>
              <w:t>658.79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4958</w:t>
            </w:r>
          </w:p>
        </w:tc>
        <w:tc>
          <w:tcPr>
            <w:tcW w:w="2835" w:type="dxa"/>
            <w:vAlign w:val="center"/>
          </w:tcPr>
          <w:p>
            <w:pPr>
              <w:pStyle w:val="12"/>
            </w:pPr>
            <w:r>
              <w:t>658.79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18</w:t>
            </w:r>
          </w:p>
        </w:tc>
        <w:tc>
          <w:tcPr>
            <w:tcW w:w="2835" w:type="dxa"/>
            <w:vAlign w:val="center"/>
          </w:tcPr>
          <w:p>
            <w:pPr>
              <w:pStyle w:val="12"/>
            </w:pPr>
            <w:r>
              <w:t>207.04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28</w:t>
            </w:r>
          </w:p>
        </w:tc>
        <w:tc>
          <w:tcPr>
            <w:tcW w:w="2835" w:type="dxa"/>
            <w:vAlign w:val="center"/>
          </w:tcPr>
          <w:p>
            <w:pPr>
              <w:pStyle w:val="12"/>
            </w:pPr>
            <w:r>
              <w:t>2685.98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1155</w:t>
            </w:r>
          </w:p>
        </w:tc>
        <w:tc>
          <w:tcPr>
            <w:tcW w:w="2835" w:type="dxa"/>
            <w:vAlign w:val="center"/>
          </w:tcPr>
          <w:p>
            <w:pPr>
              <w:pStyle w:val="12"/>
            </w:pPr>
            <w:r>
              <w:t>732.26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4FBAD45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TotalTime>7</TotalTime>
  <ScaleCrop>false</ScaleCrop>
  <LinksUpToDate>false</LinksUpToDate>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2025-02-11T22:21:00Z</dcterms:created>
  <dc:creator>uos</dc:creator>
  <cp:lastModifiedBy>uos</cp:lastModifiedBy>
  <dcterms:modified xsi:type="dcterms:W3CDTF">2025-02-12T09:18:01Z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ies>
</file>