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2063.44</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1496.61</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374.81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86.81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105.21</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2063.44</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2063.44</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2063.44</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2063.44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20111</w:t>
            </w:r>
          </w:p>
        </w:tc>
        <w:tc>
          <w:tcPr>
            <w:tcW w:w="1559" w:type="dxa"/>
            <w:tcBorders>
              <w:left w:val="single" w:sz="6" w:space="0" w:color="auto"/>
            </w:tcBorders>
            <w:vAlign w:val="center"/>
          </w:tcPr>
          <w:p>
            <w:pPr>
              <w:pStyle w:val="20"/>
            </w:pPr>
            <w:r>
              <w:t>纪检监察事务</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2011101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2011102</w:t>
            </w:r>
          </w:p>
        </w:tc>
        <w:tc>
          <w:tcPr>
            <w:tcW w:w="1559" w:type="dxa"/>
            <w:tcBorders>
              <w:left w:val="single" w:sz="6" w:space="0" w:color="auto"/>
            </w:tcBorders>
            <w:vAlign w:val="center"/>
          </w:tcPr>
          <w:p>
            <w:pPr>
              <w:pStyle w:val="20"/>
            </w:pPr>
            <w:r>
              <w:t>一般行政管理事务</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2011104</w:t>
            </w:r>
          </w:p>
        </w:tc>
        <w:tc>
          <w:tcPr>
            <w:tcW w:w="1559" w:type="dxa"/>
            <w:tcBorders>
              <w:left w:val="single" w:sz="6" w:space="0" w:color="auto"/>
            </w:tcBorders>
            <w:vAlign w:val="center"/>
          </w:tcPr>
          <w:p>
            <w:pPr>
              <w:pStyle w:val="20"/>
            </w:pPr>
            <w:r>
              <w:t>大案要案查处</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2080506</w:t>
            </w:r>
          </w:p>
        </w:tc>
        <w:tc>
          <w:tcPr>
            <w:tcW w:w="1559" w:type="dxa"/>
            <w:tcBorders>
              <w:left w:val="single" w:sz="6" w:space="0" w:color="auto"/>
            </w:tcBorders>
            <w:vAlign w:val="center"/>
          </w:tcPr>
          <w:p>
            <w:pPr>
              <w:pStyle w:val="20"/>
            </w:pPr>
            <w:r>
              <w:t>机关事业单位职业年金缴费支出</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2063.44</w:t>
            </w:r>
          </w:p>
        </w:tc>
        <w:tc>
          <w:tcPr>
            <w:tcW w:w="1361" w:type="dxa"/>
            <w:tcBorders>
              <w:left w:val="single" w:sz="6" w:space="0" w:color="auto"/>
            </w:tcBorders>
            <w:vAlign w:val="center"/>
          </w:tcPr>
          <w:p>
            <w:pPr>
              <w:pStyle w:val="23"/>
            </w:pPr>
            <w:r>
              <w:t>1778.16</w:t>
            </w:r>
          </w:p>
        </w:tc>
        <w:tc>
          <w:tcPr>
            <w:tcW w:w="1361" w:type="dxa"/>
            <w:tcBorders>
              <w:left w:val="single" w:sz="6" w:space="0" w:color="auto"/>
            </w:tcBorders>
            <w:vAlign w:val="center"/>
          </w:tcPr>
          <w:p>
            <w:pPr>
              <w:pStyle w:val="23"/>
            </w:pPr>
            <w:r>
              <w:t>285.28</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1496.61</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285.28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20111</w:t>
            </w:r>
          </w:p>
        </w:tc>
        <w:tc>
          <w:tcPr>
            <w:tcW w:w="4535" w:type="dxa"/>
            <w:tcBorders>
              <w:left w:val="single" w:sz="6" w:space="0" w:color="auto"/>
            </w:tcBorders>
            <w:vAlign w:val="center"/>
          </w:tcPr>
          <w:p>
            <w:pPr>
              <w:pStyle w:val="20"/>
            </w:pPr>
            <w:r>
              <w:t>纪检监察事务</w:t>
            </w:r>
          </w:p>
        </w:tc>
        <w:tc>
          <w:tcPr>
            <w:tcW w:w="1361" w:type="dxa"/>
            <w:tcBorders>
              <w:left w:val="single" w:sz="6" w:space="0" w:color="auto"/>
            </w:tcBorders>
            <w:vAlign w:val="center"/>
          </w:tcPr>
          <w:p>
            <w:pPr>
              <w:pStyle w:val="19"/>
            </w:pPr>
            <w:r>
              <w:t>1496.61</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285.28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2011101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2011102</w:t>
            </w:r>
          </w:p>
        </w:tc>
        <w:tc>
          <w:tcPr>
            <w:tcW w:w="4535" w:type="dxa"/>
            <w:tcBorders>
              <w:left w:val="single" w:sz="6" w:space="0" w:color="auto"/>
            </w:tcBorders>
            <w:vAlign w:val="center"/>
          </w:tcPr>
          <w:p>
            <w:pPr>
              <w:pStyle w:val="20"/>
            </w:pPr>
            <w:r>
              <w:t>一般行政管理事务</w:t>
            </w:r>
          </w:p>
        </w:tc>
        <w:tc>
          <w:tcPr>
            <w:tcW w:w="1361" w:type="dxa"/>
            <w:tcBorders>
              <w:left w:val="single" w:sz="6" w:space="0" w:color="auto"/>
            </w:tcBorders>
            <w:vAlign w:val="center"/>
          </w:tcPr>
          <w:p>
            <w:pPr>
              <w:pStyle w:val="19"/>
            </w:pPr>
            <w:r>
              <w:t>212.34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212.34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2011104</w:t>
            </w:r>
          </w:p>
        </w:tc>
        <w:tc>
          <w:tcPr>
            <w:tcW w:w="4535" w:type="dxa"/>
            <w:tcBorders>
              <w:left w:val="single" w:sz="6" w:space="0" w:color="auto"/>
            </w:tcBorders>
            <w:vAlign w:val="center"/>
          </w:tcPr>
          <w:p>
            <w:pPr>
              <w:pStyle w:val="20"/>
            </w:pPr>
            <w:r>
              <w:t>大案要案查处</w:t>
            </w:r>
          </w:p>
        </w:tc>
        <w:tc>
          <w:tcPr>
            <w:tcW w:w="1361" w:type="dxa"/>
            <w:tcBorders>
              <w:left w:val="single" w:sz="6" w:space="0" w:color="auto"/>
            </w:tcBorders>
            <w:vAlign w:val="center"/>
          </w:tcPr>
          <w:p>
            <w:pPr>
              <w:pStyle w:val="19"/>
            </w:pPr>
            <w:r>
              <w:t>72.94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72.94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161.58</w:t>
            </w:r>
          </w:p>
        </w:tc>
        <w:tc>
          <w:tcPr>
            <w:tcW w:w="1361" w:type="dxa"/>
            <w:tcBorders>
              <w:left w:val="single" w:sz="6" w:space="0" w:color="auto"/>
            </w:tcBorders>
            <w:vAlign w:val="center"/>
          </w:tcPr>
          <w:p>
            <w:pPr>
              <w:pStyle w:val="19"/>
            </w:pPr>
            <w:r>
              <w:t>161.58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143.09</w:t>
            </w:r>
          </w:p>
        </w:tc>
        <w:tc>
          <w:tcPr>
            <w:tcW w:w="1361" w:type="dxa"/>
            <w:tcBorders>
              <w:left w:val="single" w:sz="6" w:space="0" w:color="auto"/>
            </w:tcBorders>
            <w:vAlign w:val="center"/>
          </w:tcPr>
          <w:p>
            <w:pPr>
              <w:pStyle w:val="19"/>
            </w:pPr>
            <w:r>
              <w:t>143.09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1361" w:type="dxa"/>
            <w:tcBorders>
              <w:left w:val="single" w:sz="6" w:space="0" w:color="auto"/>
            </w:tcBorders>
            <w:vAlign w:val="center"/>
          </w:tcPr>
          <w:p>
            <w:pPr>
              <w:pStyle w:val="19"/>
            </w:pPr>
            <w:r>
              <w:t>70.14</w:t>
            </w:r>
          </w:p>
        </w:tc>
        <w:tc>
          <w:tcPr>
            <w:tcW w:w="1361" w:type="dxa"/>
            <w:tcBorders>
              <w:left w:val="single" w:sz="6" w:space="0" w:color="auto"/>
            </w:tcBorders>
            <w:vAlign w:val="center"/>
          </w:tcPr>
          <w:p>
            <w:pPr>
              <w:pStyle w:val="19"/>
            </w:pPr>
            <w:r>
              <w:t>70.14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48.94</w:t>
            </w:r>
          </w:p>
        </w:tc>
        <w:tc>
          <w:tcPr>
            <w:tcW w:w="1361" w:type="dxa"/>
            <w:tcBorders>
              <w:left w:val="single" w:sz="6" w:space="0" w:color="auto"/>
            </w:tcBorders>
            <w:vAlign w:val="center"/>
          </w:tcPr>
          <w:p>
            <w:pPr>
              <w:pStyle w:val="19"/>
            </w:pPr>
            <w:r>
              <w:t>48.94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37.87</w:t>
            </w:r>
          </w:p>
        </w:tc>
        <w:tc>
          <w:tcPr>
            <w:tcW w:w="1361" w:type="dxa"/>
            <w:tcBorders>
              <w:left w:val="single" w:sz="6" w:space="0" w:color="auto"/>
            </w:tcBorders>
            <w:vAlign w:val="center"/>
          </w:tcPr>
          <w:p>
            <w:pPr>
              <w:pStyle w:val="19"/>
            </w:pPr>
            <w:r>
              <w:t>37.87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2063.44</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1496.61</w:t>
            </w:r>
          </w:p>
        </w:tc>
        <w:tc>
          <w:tcPr>
            <w:tcW w:w="1474" w:type="dxa"/>
            <w:tcBorders>
              <w:left w:val="single" w:sz="6" w:space="0" w:color="auto"/>
            </w:tcBorders>
            <w:vAlign w:val="center"/>
          </w:tcPr>
          <w:p>
            <w:pPr>
              <w:pStyle w:val="19"/>
            </w:pPr>
            <w:r>
              <w:t>1496.61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374.81</w:t>
            </w:r>
          </w:p>
        </w:tc>
        <w:tc>
          <w:tcPr>
            <w:tcW w:w="1474" w:type="dxa"/>
            <w:tcBorders>
              <w:left w:val="single" w:sz="6" w:space="0" w:color="auto"/>
            </w:tcBorders>
            <w:vAlign w:val="center"/>
          </w:tcPr>
          <w:p>
            <w:pPr>
              <w:pStyle w:val="19"/>
            </w:pPr>
            <w:r>
              <w:t>374.81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86.81</w:t>
            </w:r>
          </w:p>
        </w:tc>
        <w:tc>
          <w:tcPr>
            <w:tcW w:w="1474" w:type="dxa"/>
            <w:tcBorders>
              <w:left w:val="single" w:sz="6" w:space="0" w:color="auto"/>
            </w:tcBorders>
            <w:vAlign w:val="center"/>
          </w:tcPr>
          <w:p>
            <w:pPr>
              <w:pStyle w:val="19"/>
            </w:pPr>
            <w:r>
              <w:t>86.81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105.21</w:t>
            </w:r>
          </w:p>
        </w:tc>
        <w:tc>
          <w:tcPr>
            <w:tcW w:w="1474" w:type="dxa"/>
            <w:tcBorders>
              <w:left w:val="single" w:sz="6" w:space="0" w:color="auto"/>
            </w:tcBorders>
            <w:vAlign w:val="center"/>
          </w:tcPr>
          <w:p>
            <w:pPr>
              <w:pStyle w:val="19"/>
            </w:pPr>
            <w:r>
              <w:t>105.21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2063.44</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2063.44</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2063.44</w:t>
            </w:r>
          </w:p>
        </w:tc>
        <w:tc>
          <w:tcPr>
            <w:tcW w:w="2551" w:type="dxa"/>
            <w:tcBorders>
              <w:left w:val="single" w:sz="6" w:space="0" w:color="auto"/>
            </w:tcBorders>
            <w:vAlign w:val="center"/>
          </w:tcPr>
          <w:p>
            <w:pPr>
              <w:pStyle w:val="23"/>
            </w:pPr>
            <w:r>
              <w:t>1778.16</w:t>
            </w:r>
          </w:p>
        </w:tc>
        <w:tc>
          <w:tcPr>
            <w:tcW w:w="2551" w:type="dxa"/>
            <w:tcBorders>
              <w:left w:val="single" w:sz="6" w:space="0" w:color="auto"/>
            </w:tcBorders>
            <w:vAlign w:val="center"/>
          </w:tcPr>
          <w:p>
            <w:pPr>
              <w:pStyle w:val="23"/>
            </w:pPr>
            <w:r>
              <w:t>285.28</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1496.61</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285.28</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20111</w:t>
            </w:r>
          </w:p>
        </w:tc>
        <w:tc>
          <w:tcPr>
            <w:tcW w:w="4535" w:type="dxa"/>
            <w:tcBorders>
              <w:left w:val="single" w:sz="6" w:space="0" w:color="auto"/>
            </w:tcBorders>
            <w:vAlign w:val="center"/>
          </w:tcPr>
          <w:p>
            <w:pPr>
              <w:pStyle w:val="20"/>
            </w:pPr>
            <w:r>
              <w:t>纪检监察事务</w:t>
            </w:r>
          </w:p>
        </w:tc>
        <w:tc>
          <w:tcPr>
            <w:tcW w:w="2551" w:type="dxa"/>
            <w:tcBorders>
              <w:left w:val="single" w:sz="6" w:space="0" w:color="auto"/>
            </w:tcBorders>
            <w:vAlign w:val="center"/>
          </w:tcPr>
          <w:p>
            <w:pPr>
              <w:pStyle w:val="19"/>
            </w:pPr>
            <w:r>
              <w:t>1496.61</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285.28</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2011101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2011102</w:t>
            </w:r>
          </w:p>
        </w:tc>
        <w:tc>
          <w:tcPr>
            <w:tcW w:w="4535" w:type="dxa"/>
            <w:tcBorders>
              <w:left w:val="single" w:sz="6" w:space="0" w:color="auto"/>
            </w:tcBorders>
            <w:vAlign w:val="center"/>
          </w:tcPr>
          <w:p>
            <w:pPr>
              <w:pStyle w:val="20"/>
            </w:pPr>
            <w:r>
              <w:t>一般行政管理事务</w:t>
            </w:r>
          </w:p>
        </w:tc>
        <w:tc>
          <w:tcPr>
            <w:tcW w:w="2551" w:type="dxa"/>
            <w:tcBorders>
              <w:left w:val="single" w:sz="6" w:space="0" w:color="auto"/>
            </w:tcBorders>
            <w:vAlign w:val="center"/>
          </w:tcPr>
          <w:p>
            <w:pPr>
              <w:pStyle w:val="19"/>
            </w:pPr>
            <w:r>
              <w:t>212.34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212.34</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2011104</w:t>
            </w:r>
          </w:p>
        </w:tc>
        <w:tc>
          <w:tcPr>
            <w:tcW w:w="4535" w:type="dxa"/>
            <w:tcBorders>
              <w:left w:val="single" w:sz="6" w:space="0" w:color="auto"/>
            </w:tcBorders>
            <w:vAlign w:val="center"/>
          </w:tcPr>
          <w:p>
            <w:pPr>
              <w:pStyle w:val="20"/>
            </w:pPr>
            <w:r>
              <w:t>大案要案查处</w:t>
            </w:r>
          </w:p>
        </w:tc>
        <w:tc>
          <w:tcPr>
            <w:tcW w:w="2551" w:type="dxa"/>
            <w:tcBorders>
              <w:left w:val="single" w:sz="6" w:space="0" w:color="auto"/>
            </w:tcBorders>
            <w:vAlign w:val="center"/>
          </w:tcPr>
          <w:p>
            <w:pPr>
              <w:pStyle w:val="19"/>
            </w:pPr>
            <w:r>
              <w:t>72.94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72.94</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1778.16</w:t>
            </w:r>
          </w:p>
        </w:tc>
        <w:tc>
          <w:tcPr>
            <w:tcW w:w="2551" w:type="dxa"/>
            <w:tcBorders>
              <w:left w:val="single" w:sz="6" w:space="0" w:color="auto"/>
            </w:tcBorders>
            <w:vAlign w:val="center"/>
          </w:tcPr>
          <w:p>
            <w:pPr>
              <w:pStyle w:val="23"/>
            </w:pPr>
            <w:r>
              <w:t>1616.54</w:t>
            </w:r>
          </w:p>
        </w:tc>
        <w:tc>
          <w:tcPr>
            <w:tcW w:w="2551" w:type="dxa"/>
            <w:tcBorders>
              <w:left w:val="single" w:sz="6" w:space="0" w:color="auto"/>
            </w:tcBorders>
            <w:vAlign w:val="center"/>
          </w:tcPr>
          <w:p>
            <w:pPr>
              <w:pStyle w:val="23"/>
            </w:pPr>
            <w:r>
              <w:t>161.62</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1451.52</w:t>
            </w:r>
          </w:p>
        </w:tc>
        <w:tc>
          <w:tcPr>
            <w:tcW w:w="2551" w:type="dxa"/>
            <w:tcBorders>
              <w:left w:val="single" w:sz="6" w:space="0" w:color="auto"/>
            </w:tcBorders>
            <w:vAlign w:val="center"/>
          </w:tcPr>
          <w:p>
            <w:pPr>
              <w:pStyle w:val="19"/>
            </w:pPr>
            <w:r>
              <w:t>1451.52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324.25</w:t>
            </w:r>
          </w:p>
        </w:tc>
        <w:tc>
          <w:tcPr>
            <w:tcW w:w="2551" w:type="dxa"/>
            <w:tcBorders>
              <w:left w:val="single" w:sz="6" w:space="0" w:color="auto"/>
            </w:tcBorders>
            <w:vAlign w:val="center"/>
          </w:tcPr>
          <w:p>
            <w:pPr>
              <w:pStyle w:val="19"/>
            </w:pPr>
            <w:r>
              <w:t>324.25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381.18</w:t>
            </w:r>
          </w:p>
        </w:tc>
        <w:tc>
          <w:tcPr>
            <w:tcW w:w="2551" w:type="dxa"/>
            <w:tcBorders>
              <w:left w:val="single" w:sz="6" w:space="0" w:color="auto"/>
            </w:tcBorders>
            <w:vAlign w:val="center"/>
          </w:tcPr>
          <w:p>
            <w:pPr>
              <w:pStyle w:val="19"/>
            </w:pPr>
            <w:r>
              <w:t>381.18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205.61</w:t>
            </w:r>
          </w:p>
        </w:tc>
        <w:tc>
          <w:tcPr>
            <w:tcW w:w="2551" w:type="dxa"/>
            <w:tcBorders>
              <w:left w:val="single" w:sz="6" w:space="0" w:color="auto"/>
            </w:tcBorders>
            <w:vAlign w:val="center"/>
          </w:tcPr>
          <w:p>
            <w:pPr>
              <w:pStyle w:val="19"/>
            </w:pPr>
            <w:r>
              <w:t>205.61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31.98</w:t>
            </w:r>
          </w:p>
        </w:tc>
        <w:tc>
          <w:tcPr>
            <w:tcW w:w="2551" w:type="dxa"/>
            <w:tcBorders>
              <w:left w:val="single" w:sz="6" w:space="0" w:color="auto"/>
            </w:tcBorders>
            <w:vAlign w:val="center"/>
          </w:tcPr>
          <w:p>
            <w:pPr>
              <w:pStyle w:val="19"/>
            </w:pPr>
            <w:r>
              <w:t>31.98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103.25</w:t>
            </w:r>
          </w:p>
        </w:tc>
        <w:tc>
          <w:tcPr>
            <w:tcW w:w="2551" w:type="dxa"/>
            <w:tcBorders>
              <w:left w:val="single" w:sz="6" w:space="0" w:color="auto"/>
            </w:tcBorders>
            <w:vAlign w:val="center"/>
          </w:tcPr>
          <w:p>
            <w:pPr>
              <w:pStyle w:val="19"/>
            </w:pPr>
            <w:r>
              <w:t>103.25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161.62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161.62</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31.60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31.60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39.17</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39.17</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9.19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9.19</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8.11</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8.11</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30231</w:t>
            </w:r>
          </w:p>
        </w:tc>
        <w:tc>
          <w:tcPr>
            <w:tcW w:w="4535" w:type="dxa"/>
            <w:tcBorders>
              <w:left w:val="single" w:sz="6" w:space="0" w:color="auto"/>
            </w:tcBorders>
            <w:vAlign w:val="center"/>
          </w:tcPr>
          <w:p>
            <w:pPr>
              <w:pStyle w:val="20"/>
            </w:pPr>
            <w:r>
              <w:t>公务用车运行维护费</w:t>
            </w:r>
          </w:p>
        </w:tc>
        <w:tc>
          <w:tcPr>
            <w:tcW w:w="2551" w:type="dxa"/>
            <w:tcBorders>
              <w:left w:val="single" w:sz="6" w:space="0" w:color="auto"/>
            </w:tcBorders>
            <w:vAlign w:val="center"/>
          </w:tcPr>
          <w:p>
            <w:pPr>
              <w:pStyle w:val="19"/>
            </w:pPr>
            <w:r>
              <w:t>24.20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24.20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45.00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45.00</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4.35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4.35</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165.02</w:t>
            </w:r>
          </w:p>
        </w:tc>
        <w:tc>
          <w:tcPr>
            <w:tcW w:w="2551" w:type="dxa"/>
            <w:tcBorders>
              <w:left w:val="single" w:sz="6" w:space="0" w:color="auto"/>
            </w:tcBorders>
            <w:vAlign w:val="center"/>
          </w:tcPr>
          <w:p>
            <w:pPr>
              <w:pStyle w:val="19"/>
            </w:pPr>
            <w:r>
              <w:t>165.02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auto"/>
            </w:tcBorders>
            <w:vAlign w:val="center"/>
          </w:tcPr>
          <w:p>
            <w:pPr>
              <w:pStyle w:val="20"/>
            </w:pPr>
            <w:r>
              <w:t>30305</w:t>
            </w:r>
          </w:p>
        </w:tc>
        <w:tc>
          <w:tcPr>
            <w:tcW w:w="4535" w:type="dxa"/>
            <w:tcBorders>
              <w:left w:val="single" w:sz="6" w:space="0" w:color="auto"/>
            </w:tcBorders>
            <w:vAlign w:val="center"/>
          </w:tcPr>
          <w:p>
            <w:pPr>
              <w:pStyle w:val="20"/>
            </w:pPr>
            <w:r>
              <w:t>生活补助</w:t>
            </w:r>
          </w:p>
        </w:tc>
        <w:tc>
          <w:tcPr>
            <w:tcW w:w="2551" w:type="dxa"/>
            <w:tcBorders>
              <w:left w:val="single" w:sz="6" w:space="0" w:color="auto"/>
            </w:tcBorders>
            <w:vAlign w:val="center"/>
          </w:tcPr>
          <w:p>
            <w:pPr>
              <w:pStyle w:val="19"/>
            </w:pPr>
            <w:r>
              <w:t>3.40</w:t>
            </w:r>
          </w:p>
        </w:tc>
        <w:tc>
          <w:tcPr>
            <w:tcW w:w="2551" w:type="dxa"/>
            <w:tcBorders>
              <w:left w:val="single" w:sz="6" w:space="0" w:color="auto"/>
            </w:tcBorders>
            <w:vAlign w:val="center"/>
          </w:tcPr>
          <w:p>
            <w:pPr>
              <w:pStyle w:val="19"/>
            </w:pPr>
            <w:r>
              <w:t>3.40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1191" w:type="dxa"/>
            <w:tcBorders>
              <w:left w:val="single" w:sz="6" w:space="0" w:color="auto"/>
            </w:tcBorders>
            <w:vAlign w:val="center"/>
          </w:tcPr>
          <w:p>
            <w:pPr>
              <w:pStyle w:val="20"/>
            </w:pPr>
            <w:r>
              <w:t>30309</w:t>
            </w:r>
          </w:p>
        </w:tc>
        <w:tc>
          <w:tcPr>
            <w:tcW w:w="4535" w:type="dxa"/>
            <w:tcBorders>
              <w:left w:val="single" w:sz="6" w:space="0" w:color="auto"/>
            </w:tcBorders>
            <w:vAlign w:val="center"/>
          </w:tcPr>
          <w:p>
            <w:pPr>
              <w:pStyle w:val="20"/>
            </w:pPr>
            <w:r>
              <w:t>奖励金</w:t>
            </w:r>
          </w:p>
        </w:tc>
        <w:tc>
          <w:tcPr>
            <w:tcW w:w="2551" w:type="dxa"/>
            <w:tcBorders>
              <w:left w:val="single" w:sz="6" w:space="0" w:color="auto"/>
            </w:tcBorders>
            <w:vAlign w:val="center"/>
          </w:tcPr>
          <w:p>
            <w:pPr>
              <w:pStyle w:val="19"/>
            </w:pPr>
            <w:r>
              <w:t>0.04</w:t>
            </w:r>
          </w:p>
        </w:tc>
        <w:tc>
          <w:tcPr>
            <w:tcW w:w="2551" w:type="dxa"/>
            <w:tcBorders>
              <w:left w:val="single" w:sz="6" w:space="0" w:color="auto"/>
            </w:tcBorders>
            <w:vAlign w:val="center"/>
          </w:tcPr>
          <w:p>
            <w:pPr>
              <w:pStyle w:val="19"/>
            </w:pPr>
            <w:r>
              <w:t>0.04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2523"/>
        <w:gridCol w:w="2835"/>
        <w:gridCol w:w="2693"/>
        <w:gridCol w:w="2410"/>
        <w:gridCol w:w="2862"/>
      </w:tblGrid>
      <w:tr>
        <w:trPr>
          <w:trHeight w:val="369"/>
          <w:tblHeader/>
        </w:trPr>
        <w:tc>
          <w:tcPr>
            <w:tcW w:w="6208" w:type="dxa"/>
            <w:gridSpan w:val="3"/>
            <w:tcBorders>
              <w:top w:val="single" w:sz="6" w:space="0" w:color="FFFFFF"/>
              <w:left w:val="single" w:sz="6" w:space="0" w:color="FFFFFF"/>
              <w:right w:val="single" w:sz="6" w:space="0" w:color="FFFFFF"/>
            </w:tcBorders>
            <w:vAlign w:val="center"/>
          </w:tcPr>
          <w:p>
            <w:pPr>
              <w:pStyle w:val="17"/>
              <w:rPr>
                <w:rFonts w:ascii="Calibri" w:eastAsia="方正书宋_GBK" w:cs="方正书宋_GBK" w:hAnsi="Calibri"/>
                <w:color w:val="000000"/>
                <w:sz w:val="21"/>
              </w:rPr>
            </w:pPr>
            <w:r>
              <w:t>222中国共产党石家庄市藁城区纪律检查委员会</w:t>
            </w:r>
          </w:p>
        </w:tc>
        <w:tc>
          <w:tcPr>
            <w:tcW w:w="2693" w:type="dxa"/>
            <w:tcBorders>
              <w:top w:val="single" w:sz="6" w:space="0" w:color="FFFFFF"/>
              <w:left w:val="single" w:sz="6" w:space="0" w:color="FFFFFF"/>
              <w:right w:val="single" w:sz="6" w:space="0" w:color="FFFFFF"/>
            </w:tcBorders>
            <w:vAlign w:val="center"/>
          </w:tcPr>
          <w:p>
            <w:pPr>
              <w:pStyle w:val="17"/>
            </w:pPr>
            <w:r>
              <w:t>预算年度：2025</w:t>
            </w:r>
          </w:p>
        </w:tc>
        <w:tc>
          <w:tcPr>
            <w:tcW w:w="5272" w:type="dxa"/>
            <w:gridSpan w:val="2"/>
            <w:tcBorders>
              <w:top w:val="single" w:sz="6" w:space="0" w:color="FFFFFF"/>
              <w:left w:val="single" w:sz="6" w:space="0" w:color="FFFFFF"/>
              <w:right w:val="single" w:sz="6" w:space="0" w:color="FFFFFF"/>
            </w:tcBorders>
            <w:vAlign w:val="center"/>
          </w:tcPr>
          <w:p>
            <w:pPr>
              <w:pStyle w:val="17"/>
              <w:ind w:firstLineChars="1300" w:firstLine="3120"/>
            </w:pPr>
            <w:r>
              <w:t>单位：万元</w:t>
            </w:r>
          </w:p>
        </w:tc>
      </w:tr>
      <w:tr>
        <w:trPr>
          <w:trHeight w:val="369"/>
          <w:tblHeader/>
        </w:trPr>
        <w:tc>
          <w:tcPr>
            <w:tcW w:w="850" w:type="dxa"/>
            <w:vMerge w:val="restart"/>
            <w:vAlign w:val="center"/>
          </w:tcPr>
          <w:p>
            <w:pPr>
              <w:pStyle w:val="18"/>
              <w:rPr>
                <w:rFonts w:ascii="Calibri" w:hAnsi="Calibri"/>
                <w:color w:val="000000"/>
              </w:rPr>
            </w:pPr>
            <w:r>
              <w:t>序号</w:t>
            </w:r>
          </w:p>
        </w:tc>
        <w:tc>
          <w:tcPr>
            <w:tcW w:w="2523" w:type="dxa"/>
            <w:vMerge w:val="restart"/>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项目</w:t>
            </w:r>
          </w:p>
        </w:tc>
        <w:tc>
          <w:tcPr>
            <w:tcW w:w="10800" w:type="dxa"/>
            <w:gridSpan w:val="4"/>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资 金 性 质</w:t>
            </w:r>
          </w:p>
        </w:tc>
      </w:tr>
      <w:tr>
        <w:trPr>
          <w:trHeight w:val="567"/>
          <w:tblHeader/>
        </w:trPr>
        <w:tc>
          <w:tcPr>
            <w:tcW w:w="850" w:type="dxa"/>
            <w:vMerge/>
          </w:tcPr>
          <w:p/>
        </w:tc>
        <w:tc>
          <w:tcPr>
            <w:tcW w:w="2523" w:type="dxa"/>
            <w:vMerge/>
            <w:tcBorders>
              <w:left w:val="single" w:sz="6" w:space="0" w:color="000000"/>
            </w:tcBorders>
          </w:tcP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合计</w:t>
            </w:r>
          </w:p>
        </w:tc>
        <w:tc>
          <w:tcPr>
            <w:tcW w:w="2693"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一般公共预算 财政拨款</w:t>
            </w:r>
          </w:p>
        </w:tc>
        <w:tc>
          <w:tcPr>
            <w:tcW w:w="2410"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政府性基金预算拨款</w:t>
            </w:r>
          </w:p>
        </w:tc>
        <w:tc>
          <w:tcPr>
            <w:tcW w:w="2862"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国有资本经营预算财政拨款</w:t>
            </w:r>
          </w:p>
        </w:tc>
      </w:tr>
      <w:tr>
        <w:trPr>
          <w:trHeight w:val="567"/>
          <w:tblHeader/>
        </w:trPr>
        <w:tc>
          <w:tcPr>
            <w:tcW w:w="850" w:type="dxa"/>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栏次</w:t>
            </w:r>
          </w:p>
        </w:tc>
        <w:tc>
          <w:tcPr>
            <w:tcW w:w="252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1</w:t>
            </w: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2</w:t>
            </w:r>
          </w:p>
        </w:tc>
        <w:tc>
          <w:tcPr>
            <w:tcW w:w="269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3</w:t>
            </w:r>
          </w:p>
        </w:tc>
        <w:tc>
          <w:tcPr>
            <w:tcW w:w="2410"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4</w:t>
            </w:r>
          </w:p>
        </w:tc>
        <w:tc>
          <w:tcPr>
            <w:tcW w:w="2862"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5</w:t>
            </w: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1</w:t>
            </w:r>
          </w:p>
        </w:tc>
        <w:tc>
          <w:tcPr>
            <w:tcW w:w="252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合计</w:t>
            </w: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b/>
                <w:color w:val="000000"/>
                <w:sz w:val="21"/>
              </w:rPr>
            </w:pPr>
            <w:r>
              <w:rPr>
                <w:rFonts w:ascii="Calibri" w:eastAsia="方正书宋_GBK" w:cs="方正书宋_GBK" w:hAnsi="Calibri"/>
                <w:b/>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b/>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b/>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“三公”经费小计</w:t>
            </w:r>
          </w:p>
        </w:tc>
        <w:tc>
          <w:tcPr>
            <w:tcW w:w="2835"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3</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一、因公出国（境）费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4</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其中：教学科研人员因公出国（境）费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5</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其他因公出国（境）费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6</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二、公务用车购置及运维费</w:t>
            </w:r>
          </w:p>
        </w:tc>
        <w:tc>
          <w:tcPr>
            <w:tcW w:w="2835"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color w:val="000000"/>
                <w:sz w:val="21"/>
                <w:lang w:val="uk-UA"/>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7</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其中：公务用车购置费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8</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公务用车运行维护费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9</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三、公务接待费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中国共产党石家庄市藁城区纪律检查委员会2025年部门预算信息公开情况说明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中国共产党石家庄市藁城区纪律检查委员会2025年部门预算信息公开情况说明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按照《中华人民共和国预算法》、《地方预决算公开操作规程》和《关于进一步推进预算公开工作的实施意见》规定，现将中国共产党石家庄市藁城区纪律检查委员会2025年部门预算公开如下：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pPr>
        <w:pStyle w:val="25"/>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5"/>
      </w:pPr>
      <w:r>
        <w:t>（三）支持配合巡视巡察工作。承担巡视巡察整改日常监督责任，做好巡视巡察整改督查督办工作，依规依纪依法处置中央、省、市巡视巡察移交的反映干部问题线索。</w:t>
      </w:r>
    </w:p>
    <w:p>
      <w:pPr>
        <w:pStyle w:val="25"/>
      </w:pPr>
      <w:r>
        <w:t>（四）负责全区监察工作。贯彻落实上级机关关于监察工作的决策部署，维护宪法法律，依法对区委管理的行使公权力的公职人员进行监察，调查职务违法和职务犯罪，开展廉政建设和反腐败工作。</w:t>
      </w:r>
    </w:p>
    <w:p>
      <w:pPr>
        <w:pStyle w:val="25"/>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（六）负责组织协调全面从严治党、党风廉政建设和反腐败宣传教育工作。</w:t>
      </w:r>
    </w:p>
    <w:p>
      <w:pPr>
        <w:pStyle w:val="25"/>
      </w:pPr>
      <w:r>
        <w:t>（七）负责综合分析全面从严治党、党风廉政建设和反腐败工作情况，对纪检监察工作重要理论及实践问题进行调查研究；制定或者修改全区纪检监察法规制度，参与起草有关法律法规和规范性文件。</w:t>
      </w:r>
    </w:p>
    <w:p>
      <w:pPr>
        <w:pStyle w:val="25"/>
      </w:pPr>
      <w:r>
        <w:t>（八）负责组织协调全区反腐败追逃追赃和防逃工作，督促有关单位做好相关工作。</w:t>
      </w:r>
    </w:p>
    <w:p>
      <w:pPr>
        <w:pStyle w:val="25"/>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pPr>
        <w:pStyle w:val="25"/>
      </w:pPr>
      <w:r>
        <w:t>（十）完成上级纪委、监委和区委交办的其他任务。</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中国共产党石家庄市藁城区纪律检查委员会本级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按照预算管理有关规定，目前部门预算的编制实行综合预算管理，即全部收入和支出都反映在预算中。中国共产党石家庄市藁城区纪律检查委员会机关及所属事业单位的收支包含在部门预算中。</w:t>
      </w:r>
    </w:p>
    <w:p>
      <w:pPr>
        <w:pStyle w:val="26"/>
      </w:pPr>
      <w:r>
        <w:t>1、收入说明</w:t>
      </w:r>
    </w:p>
    <w:p>
      <w:pPr>
        <w:pStyle w:val="26"/>
      </w:pPr>
      <w:r>
        <w:t>反映本部门当年全部收入。2025年预算收入2063.44万元，其中：一般公共预算收入2063.44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石家庄市藁城区纪律检查委员会年度部门预算中支出预算的总体情况。2025年支出预算2063.44万元，其中基本支出1778.16万元，包括人员经费1616.54万元和日常公用经费161.62万元；项目支出285.28万元，主要为办案专项支出、大要案专项工作经费支出、机关服务物业管理费支出、纪委监委信息系统建设支出等。</w:t>
      </w:r>
    </w:p>
    <w:p>
      <w:pPr>
        <w:pStyle w:val="26"/>
      </w:pPr>
      <w:r>
        <w:t>3、比上年增减情况</w:t>
      </w:r>
    </w:p>
    <w:p>
      <w:pPr>
        <w:pStyle w:val="26"/>
      </w:pPr>
      <w:r>
        <w:t>2025年预算收支安排2063.44万元，较2024年预算增加98.88万元，其中：基本支出增加124.72万元，主要为人员增加，相应增加人员经费和日常公用经费。项目支出减少25.84万元，主要为劳务派遣人员减少。</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部门机关运行经费共计安排161.62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24.2万元，其中：因公出国（境）费0万元，与上年持平，无增减变化；公务用车购置及运维费24.2万元（其中：公务用车购置费0万元，与上年持平，无增减变化；公务用车运行维护费24.2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95%以上，并确保2025年结案率达90%，且结案时长均不超过法定时间。加强信息化建设，分阶段完成安可替代计划，定期对网络系统进行检查。</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w:t>
        <w:tab/>
        <w:t>加强案件审查调查工作</w:t>
        <w:tab/>
      </w:r>
    </w:p>
    <w:p>
      <w:pPr>
        <w:pStyle w:val="30"/>
      </w:pPr>
      <w:r>
        <w:t>绩效目标：接受关于党内法规政策、国家法律法规、党风廉政建设执行情况的举报，开展有关党风政风监督专项检查，查处各类违法违纪问题，加大问责力度，维护党纪国法尊严，坚决惩处腐败分子，有效遏制腐败现象。</w:t>
      </w:r>
    </w:p>
    <w:p>
      <w:pPr>
        <w:pStyle w:val="30"/>
      </w:pPr>
      <w:r>
        <w:t>绩效指标：受理信访、举报，集中管理问题线索、组织协调案件查办，调查、审查违纪违法案件，对案件审理提出处理意见达到95%以上。紧紧围绕监督基本职责， 着力构建全覆盖、 无盲区的大监督格局，切实加强对全区各区直部门、乡镇等党组织管党治党情况的监督检查，用好问责利器，推动主体责任落地落实落细。全起底排查问题线索，着力解决核查不深入，定性量纪不精准问题， 保持惩治腐败高压态。加强对中央八项规定及实施细则精神执行情况的监督检查， 扎实开展纠正“ 四风” 和作风纪律专项整治， 坚决整治群众身边腐败问题， 提高人民群众的获得感幸福感安全感。</w:t>
      </w:r>
    </w:p>
    <w:p>
      <w:pPr>
        <w:pStyle w:val="30"/>
      </w:pPr>
      <w:r>
        <w:t>（二）加强党风廉政建设</w:t>
        <w:tab/>
      </w:r>
    </w:p>
    <w:p>
      <w:pPr>
        <w:pStyle w:val="30"/>
      </w:pPr>
      <w:r>
        <w:t>绩效目标：积极发挥职能作用，加强党风廉政建设，营造风清气正、干事创业的工作氛围。</w:t>
      </w:r>
    </w:p>
    <w:p>
      <w:pPr>
        <w:pStyle w:val="30"/>
      </w:pPr>
      <w: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85%以上，实现教育挽救的作用。</w:t>
      </w:r>
    </w:p>
    <w:p>
      <w:pPr>
        <w:pStyle w:val="30"/>
      </w:pPr>
      <w:r>
        <w:t>（三）加强监督检查的力度</w:t>
      </w:r>
    </w:p>
    <w:p>
      <w:pPr>
        <w:pStyle w:val="30"/>
      </w:pPr>
      <w:r>
        <w:t>绩效目标：加大问责力度，促进“两个责任”有效落实；坚决纠正“四风”问题；监督常态化、全覆盖。</w:t>
      </w:r>
    </w:p>
    <w:p>
      <w:pPr>
        <w:pStyle w:val="30"/>
      </w:pPr>
      <w:r>
        <w:t>绩效指标：监督检查党内法规政策、国家法律法规、党风廉政建设“两个责任”等落实执行情况达到90%以上，履行区政府纠正行业不正之风办公室职能。</w:t>
        <w:tab/>
      </w:r>
    </w:p>
    <w:p>
      <w:pPr>
        <w:pStyle w:val="30"/>
      </w:pPr>
      <w:r>
        <w:t>（四）开展专项治理活动</w:t>
      </w:r>
    </w:p>
    <w:p>
      <w:pPr>
        <w:pStyle w:val="30"/>
      </w:pPr>
      <w:r>
        <w:t>绩效目标：积极依法介入群体性事件，化解矛盾，维护稳定，努力为我区经济发展创造良好法治环境，为促进和谐社会构建发挥积极作用。</w:t>
      </w:r>
    </w:p>
    <w:p>
      <w:pPr>
        <w:pStyle w:val="30"/>
      </w:pPr>
      <w:r>
        <w:t>绩效指标：重点开展“预防职务犯罪，促进安全监管，减少伤亡事故”专项治理活动，深入各单位，向各单位工作人员普及相关法治内容，每月各单位至少开展一次教育会，会议参与率达到90%以上。</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（一）健全各项制度，促进纪委工作规范化、程序化。</w:t>
      </w:r>
    </w:p>
    <w:p>
      <w:pPr>
        <w:pStyle w:val="31"/>
      </w:pPr>
      <w:r>
        <w:t>我单位围绕预算绩效管理制度、资金管理办法、工作保障制度，着重抓好两方面的工作：一是健全各项规章制度，主要规范执行好我单位的监督检查制度， 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pPr>
        <w:pStyle w:val="31"/>
      </w:pPr>
      <w:r>
        <w:t>(二)推动开展廉政教育</w:t>
      </w:r>
    </w:p>
    <w:p>
      <w:pPr>
        <w:pStyle w:val="31"/>
      </w:pPr>
      <w:r>
        <w:t>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31"/>
      </w:pPr>
      <w:r>
        <w:t>(三)加强宣传培训调研</w:t>
      </w:r>
    </w:p>
    <w:p>
      <w:pPr>
        <w:pStyle w:val="31"/>
      </w:pPr>
      <w:r>
        <w:t>加强人员培训，提高我单位干部职工业务素质；加大宣传力度，强化预算绩效管理意识，促进预算绩效管理水平进一步提升；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w:t>
      </w:r>
    </w:p>
    <w:p>
      <w:pPr>
        <w:pStyle w:val="31"/>
      </w:pPr>
      <w:r>
        <w:t>(四) 驰而不息正风肃纪</w:t>
      </w:r>
    </w:p>
    <w:p>
      <w:pPr>
        <w:pStyle w:val="31"/>
      </w:pPr>
      <w:r>
        <w:t>坚决落实中央八项规定及其实施细则精神， 着力解决人民群众反映强烈的突出问题。 坚决整治形式主义和官僚主义， 防止“四风”问题反弹回潮。 认真贯彻执行《中国共产党纪律处分条例》 《中华人民共和国监察法》，巩固发展执纪必严、违纪必究的常态化效果， 让制度“长牙”、纪律“带电”。 认真落实容错纠错办法， 旗帜鲜明为勇于改革创新者担当撑腰。</w:t>
      </w:r>
    </w:p>
    <w:p>
      <w:pPr>
        <w:pStyle w:val="31"/>
      </w:pPr>
      <w:r>
        <w:t xml:space="preserve">（五）深化纪检监察体制改革 </w:t>
      </w:r>
    </w:p>
    <w:p>
      <w:pPr>
        <w:pStyle w:val="31"/>
      </w:pPr>
      <w:r>
        <w:t>强化石家庄市纪委对藁城区纪委监委的领导，推进纪检监察工作双重领导体制具体化、程序化、制度化。 积极推进监察职能向基层延伸，打通监察监督“最后一公里”探索完善纪法贯通机制、法法衔接机制、内部监督管理机制，做到监督执纪和监察执法一体推进努力实现良好政治效果、 法纪效果和社会效果。</w:t>
      </w:r>
    </w:p>
    <w:p>
      <w:pPr>
        <w:pStyle w:val="31"/>
      </w:pPr>
      <w:r>
        <w:t>（六）强化预算执行</w:t>
      </w:r>
    </w:p>
    <w:p>
      <w:pPr>
        <w:pStyle w:val="31"/>
      </w:pPr>
      <w:r>
        <w:t>强化财政预算执行的刚性约束，对纪检监察业务费开支范围严格把控，及时启动项目和支付资金，加快履行政府采购程序，优化部门预算支出结构，创新财政资金支出思路，合理改进支出方式，确保按照时间节点完成支出任务。</w:t>
      </w:r>
    </w:p>
    <w:p>
      <w:pPr>
        <w:pStyle w:val="31"/>
      </w:pPr>
      <w:r>
        <w:t>（七）健全评价机制</w:t>
      </w:r>
    </w:p>
    <w:p>
      <w:pPr>
        <w:pStyle w:val="31"/>
        <w:sectPr>
          <w:pgSz w:w="16840" w:h="11900" w:orient="landscape"/>
          <w:pgMar w:top="1361" w:right="1020" w:bottom="1361" w:left="1020" w:header="720" w:footer="720" w:gutter="0"/>
          <w:docGrid w:linePitch="326" w:charSpace="0"/>
        </w:sectPr>
      </w:pPr>
      <w:r>
        <w:t>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pStyle w:val="31"/>
        <w:sectPr>
          <w:pgSz w:w="16840" w:h="11900" w:orient="landscape"/>
          <w:pgMar w:top="1361" w:right="1020" w:bottom="1134" w:left="1020" w:header="720" w:footer="720" w:gutter="0"/>
          <w:docGrid w:linePitch="326" w:charSpace="0"/>
        </w:sectPr>
      </w:pPr>
      <w:r>
        <w:rPr>
          <w:rFonts w:hAnsi="黑体"/>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1、办案专项经费绩效目标表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13010925P00000810086N</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办案专项经费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27.14</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27.14</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保障办案工作的正常进行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1.保障办案工作的正常进行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经费保障类型</w:t>
            </w:r>
          </w:p>
        </w:tc>
        <w:tc>
          <w:tcPr>
            <w:tcW w:w="5386" w:type="dxa"/>
            <w:tcBorders>
              <w:left w:val="single" w:sz="6" w:space="0" w:color="auto"/>
            </w:tcBorders>
            <w:vAlign w:val="center"/>
          </w:tcPr>
          <w:p>
            <w:pPr>
              <w:pStyle w:val="20"/>
            </w:pPr>
            <w:r>
              <w:t>办案专项经费保障种类</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案件的结案率</w:t>
            </w:r>
          </w:p>
        </w:tc>
        <w:tc>
          <w:tcPr>
            <w:tcW w:w="5386" w:type="dxa"/>
            <w:tcBorders>
              <w:left w:val="single" w:sz="6" w:space="0" w:color="auto"/>
            </w:tcBorders>
            <w:vAlign w:val="center"/>
          </w:tcPr>
          <w:p>
            <w:pPr>
              <w:pStyle w:val="20"/>
            </w:pPr>
            <w:r>
              <w:t>本年度结案数与全年立案数的比率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案件完成的及时性</w:t>
            </w:r>
          </w:p>
        </w:tc>
        <w:tc>
          <w:tcPr>
            <w:tcW w:w="5386" w:type="dxa"/>
            <w:tcBorders>
              <w:left w:val="single" w:sz="6" w:space="0" w:color="auto"/>
            </w:tcBorders>
            <w:vAlign w:val="center"/>
          </w:tcPr>
          <w:p>
            <w:pPr>
              <w:pStyle w:val="20"/>
            </w:pPr>
            <w:r>
              <w:t>在规定的时限内完成的案件</w:t>
            </w:r>
          </w:p>
        </w:tc>
        <w:tc>
          <w:tcPr>
            <w:tcW w:w="2268" w:type="dxa"/>
            <w:tcBorders>
              <w:left w:val="single" w:sz="6" w:space="0" w:color="auto"/>
            </w:tcBorders>
            <w:vAlign w:val="center"/>
          </w:tcPr>
          <w:p>
            <w:pPr>
              <w:pStyle w:val="20"/>
            </w:pPr>
            <w:r>
              <w:t>在规定的时限内完成的案件</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 xml:space="preserve">单位资金成本 </w:t>
            </w:r>
          </w:p>
        </w:tc>
        <w:tc>
          <w:tcPr>
            <w:tcW w:w="5386" w:type="dxa"/>
            <w:tcBorders>
              <w:left w:val="single" w:sz="6" w:space="0" w:color="auto"/>
            </w:tcBorders>
            <w:vAlign w:val="center"/>
          </w:tcPr>
          <w:p>
            <w:pPr>
              <w:pStyle w:val="20"/>
            </w:pPr>
            <w:r>
              <w:t>单位资金成本</w:t>
            </w:r>
          </w:p>
        </w:tc>
        <w:tc>
          <w:tcPr>
            <w:tcW w:w="2268" w:type="dxa"/>
            <w:tcBorders>
              <w:left w:val="single" w:sz="6" w:space="0" w:color="auto"/>
            </w:tcBorders>
            <w:vAlign w:val="center"/>
          </w:tcPr>
          <w:p>
            <w:pPr>
              <w:pStyle w:val="20"/>
            </w:pPr>
            <w:r>
              <w:t>≤27.14万元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推进辖区内反腐倡廉工作</w:t>
            </w:r>
          </w:p>
        </w:tc>
        <w:tc>
          <w:tcPr>
            <w:tcW w:w="5386" w:type="dxa"/>
            <w:tcBorders>
              <w:left w:val="single" w:sz="6" w:space="0" w:color="auto"/>
            </w:tcBorders>
            <w:vAlign w:val="center"/>
          </w:tcPr>
          <w:p>
            <w:pPr>
              <w:pStyle w:val="20"/>
            </w:pPr>
            <w:r>
              <w:t>促进辖区内廉政作风建设</w:t>
            </w:r>
          </w:p>
        </w:tc>
        <w:tc>
          <w:tcPr>
            <w:tcW w:w="2268" w:type="dxa"/>
            <w:tcBorders>
              <w:left w:val="single" w:sz="6" w:space="0" w:color="auto"/>
            </w:tcBorders>
            <w:vAlign w:val="center"/>
          </w:tcPr>
          <w:p>
            <w:pPr>
              <w:pStyle w:val="20"/>
            </w:pPr>
            <w:r>
              <w:t>促进廉政作风建设</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社会公众满意度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2、大要案专项工作经费绩效目标表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13010925P00000810074K</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大要案专项工作经费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45.80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45.80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提高办案的质量和效率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1.提高办案的质量和效率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纪律审查率</w:t>
            </w:r>
          </w:p>
        </w:tc>
        <w:tc>
          <w:tcPr>
            <w:tcW w:w="5386" w:type="dxa"/>
            <w:tcBorders>
              <w:left w:val="single" w:sz="6" w:space="0" w:color="auto"/>
            </w:tcBorders>
            <w:vAlign w:val="center"/>
          </w:tcPr>
          <w:p>
            <w:pPr>
              <w:pStyle w:val="20"/>
            </w:pPr>
            <w:r>
              <w:t>年度内召开相关会议次数</w:t>
            </w:r>
          </w:p>
        </w:tc>
        <w:tc>
          <w:tcPr>
            <w:tcW w:w="2268" w:type="dxa"/>
            <w:tcBorders>
              <w:left w:val="single" w:sz="6" w:space="0" w:color="auto"/>
            </w:tcBorders>
            <w:vAlign w:val="center"/>
          </w:tcPr>
          <w:p>
            <w:pPr>
              <w:pStyle w:val="20"/>
            </w:pPr>
            <w:r>
              <w:t>≥10次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问题线索处置率</w:t>
            </w:r>
          </w:p>
        </w:tc>
        <w:tc>
          <w:tcPr>
            <w:tcW w:w="5386" w:type="dxa"/>
            <w:tcBorders>
              <w:left w:val="single" w:sz="6" w:space="0" w:color="auto"/>
            </w:tcBorders>
            <w:vAlign w:val="center"/>
          </w:tcPr>
          <w:p>
            <w:pPr>
              <w:pStyle w:val="20"/>
            </w:pPr>
            <w:r>
              <w:t>对举报问题线索处置数量占举报数量</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办案人员法定期限审查结案率</w:t>
            </w:r>
          </w:p>
        </w:tc>
        <w:tc>
          <w:tcPr>
            <w:tcW w:w="5386" w:type="dxa"/>
            <w:tcBorders>
              <w:left w:val="single" w:sz="6" w:space="0" w:color="auto"/>
            </w:tcBorders>
            <w:vAlign w:val="center"/>
          </w:tcPr>
          <w:p>
            <w:pPr>
              <w:pStyle w:val="20"/>
            </w:pPr>
            <w:r>
              <w:t>从受理案件到上报所用时间</w:t>
            </w:r>
          </w:p>
        </w:tc>
        <w:tc>
          <w:tcPr>
            <w:tcW w:w="2268" w:type="dxa"/>
            <w:tcBorders>
              <w:left w:val="single" w:sz="6" w:space="0" w:color="auto"/>
            </w:tcBorders>
            <w:vAlign w:val="center"/>
          </w:tcPr>
          <w:p>
            <w:pPr>
              <w:pStyle w:val="20"/>
            </w:pPr>
            <w:r>
              <w:t>规定时间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≤45.8万元</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办案时效率</w:t>
            </w:r>
          </w:p>
        </w:tc>
        <w:tc>
          <w:tcPr>
            <w:tcW w:w="5386" w:type="dxa"/>
            <w:tcBorders>
              <w:left w:val="single" w:sz="6" w:space="0" w:color="auto"/>
            </w:tcBorders>
            <w:vAlign w:val="center"/>
          </w:tcPr>
          <w:p>
            <w:pPr>
              <w:pStyle w:val="20"/>
            </w:pPr>
            <w:r>
              <w:t>问题线索按照要求及时查办</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增强群众的幸福感、安全感</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3、机关服务物业管理费绩效目标表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13010925P000008100782</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机关服务物业管理费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46.50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46.50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保障办公场所的安全和卫生</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1.保障办公场所的安全和卫生</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经费种类</w:t>
            </w:r>
          </w:p>
        </w:tc>
        <w:tc>
          <w:tcPr>
            <w:tcW w:w="5386" w:type="dxa"/>
            <w:tcBorders>
              <w:left w:val="single" w:sz="6" w:space="0" w:color="auto"/>
            </w:tcBorders>
            <w:vAlign w:val="center"/>
          </w:tcPr>
          <w:p>
            <w:pPr>
              <w:pStyle w:val="20"/>
            </w:pPr>
            <w:r>
              <w:t>主要包括安保、保洁、修缮等后勤服务</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各项工作完成情况</w:t>
            </w:r>
          </w:p>
        </w:tc>
        <w:tc>
          <w:tcPr>
            <w:tcW w:w="5386" w:type="dxa"/>
            <w:tcBorders>
              <w:left w:val="single" w:sz="6" w:space="0" w:color="auto"/>
            </w:tcBorders>
            <w:vAlign w:val="center"/>
          </w:tcPr>
          <w:p>
            <w:pPr>
              <w:pStyle w:val="20"/>
            </w:pPr>
            <w:r>
              <w:t>提升单位安全系数，提供舒适办公环境。</w:t>
            </w:r>
          </w:p>
        </w:tc>
        <w:tc>
          <w:tcPr>
            <w:tcW w:w="2268" w:type="dxa"/>
            <w:tcBorders>
              <w:left w:val="single" w:sz="6" w:space="0" w:color="auto"/>
            </w:tcBorders>
            <w:vAlign w:val="center"/>
          </w:tcPr>
          <w:p>
            <w:pPr>
              <w:pStyle w:val="20"/>
            </w:pPr>
            <w:r>
              <w:t>保障工作正常开展</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及时支付资金情况</w:t>
            </w:r>
          </w:p>
        </w:tc>
        <w:tc>
          <w:tcPr>
            <w:tcW w:w="5386" w:type="dxa"/>
            <w:tcBorders>
              <w:left w:val="single" w:sz="6" w:space="0" w:color="auto"/>
            </w:tcBorders>
            <w:vAlign w:val="center"/>
          </w:tcPr>
          <w:p>
            <w:pPr>
              <w:pStyle w:val="20"/>
            </w:pPr>
            <w:r>
              <w:t>及时支付服务公司费用，使其提供更好的服务</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项目预算控制数</w:t>
            </w:r>
          </w:p>
        </w:tc>
        <w:tc>
          <w:tcPr>
            <w:tcW w:w="5386" w:type="dxa"/>
            <w:tcBorders>
              <w:left w:val="single" w:sz="6" w:space="0" w:color="auto"/>
            </w:tcBorders>
            <w:vAlign w:val="center"/>
          </w:tcPr>
          <w:p>
            <w:pPr>
              <w:pStyle w:val="20"/>
            </w:pPr>
            <w:r>
              <w:t>项目预算控制数</w:t>
            </w:r>
          </w:p>
        </w:tc>
        <w:tc>
          <w:tcPr>
            <w:tcW w:w="2268" w:type="dxa"/>
            <w:tcBorders>
              <w:left w:val="single" w:sz="6" w:space="0" w:color="auto"/>
            </w:tcBorders>
            <w:vAlign w:val="center"/>
          </w:tcPr>
          <w:p>
            <w:pPr>
              <w:pStyle w:val="20"/>
            </w:pPr>
            <w:r>
              <w:t>≤46.5万元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保障办公场所的安全卫生</w:t>
            </w:r>
          </w:p>
        </w:tc>
        <w:tc>
          <w:tcPr>
            <w:tcW w:w="5386" w:type="dxa"/>
            <w:tcBorders>
              <w:left w:val="single" w:sz="6" w:space="0" w:color="auto"/>
            </w:tcBorders>
            <w:vAlign w:val="center"/>
          </w:tcPr>
          <w:p>
            <w:pPr>
              <w:pStyle w:val="20"/>
            </w:pPr>
            <w:r>
              <w:t>有效提升办公场所环境</w:t>
            </w:r>
          </w:p>
        </w:tc>
        <w:tc>
          <w:tcPr>
            <w:tcW w:w="2268" w:type="dxa"/>
            <w:tcBorders>
              <w:left w:val="single" w:sz="6" w:space="0" w:color="auto"/>
            </w:tcBorders>
            <w:vAlign w:val="center"/>
          </w:tcPr>
          <w:p>
            <w:pPr>
              <w:pStyle w:val="20"/>
            </w:pPr>
            <w:r>
              <w:t>有效提升办公场所环境</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收益群体满意度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4、纪委监委信息系统建设绩效目标表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13010925P00000810087A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纪委监委信息系统建设</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对纪委监委信息系统运行维护，确保工作正常运转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1.对纪委监委信息系统运行维护，确保工作正常运转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维护信息化设备种类</w:t>
            </w:r>
          </w:p>
        </w:tc>
        <w:tc>
          <w:tcPr>
            <w:tcW w:w="5386" w:type="dxa"/>
            <w:tcBorders>
              <w:left w:val="single" w:sz="6" w:space="0" w:color="auto"/>
            </w:tcBorders>
            <w:vAlign w:val="center"/>
          </w:tcPr>
          <w:p>
            <w:pPr>
              <w:pStyle w:val="20"/>
            </w:pPr>
            <w:r>
              <w:t>维护信息化设备种类</w:t>
            </w:r>
          </w:p>
        </w:tc>
        <w:tc>
          <w:tcPr>
            <w:tcW w:w="2268" w:type="dxa"/>
            <w:tcBorders>
              <w:left w:val="single" w:sz="6" w:space="0" w:color="auto"/>
            </w:tcBorders>
            <w:vAlign w:val="center"/>
          </w:tcPr>
          <w:p>
            <w:pPr>
              <w:pStyle w:val="20"/>
            </w:pPr>
            <w:r>
              <w:t>≥4种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设备正常运行率</w:t>
            </w:r>
          </w:p>
        </w:tc>
        <w:tc>
          <w:tcPr>
            <w:tcW w:w="5386" w:type="dxa"/>
            <w:tcBorders>
              <w:left w:val="single" w:sz="6" w:space="0" w:color="auto"/>
            </w:tcBorders>
            <w:vAlign w:val="center"/>
          </w:tcPr>
          <w:p>
            <w:pPr>
              <w:pStyle w:val="20"/>
            </w:pPr>
            <w:r>
              <w:t>正常运行设备/全部在用设备*100%</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信息系统及网络安全隐患排查完成时间</w:t>
            </w:r>
          </w:p>
        </w:tc>
        <w:tc>
          <w:tcPr>
            <w:tcW w:w="5386" w:type="dxa"/>
            <w:tcBorders>
              <w:left w:val="single" w:sz="6" w:space="0" w:color="auto"/>
            </w:tcBorders>
            <w:vAlign w:val="center"/>
          </w:tcPr>
          <w:p>
            <w:pPr>
              <w:pStyle w:val="20"/>
            </w:pPr>
            <w:r>
              <w:t>自发现网络安全隐患至排查完成时间</w:t>
            </w:r>
          </w:p>
        </w:tc>
        <w:tc>
          <w:tcPr>
            <w:tcW w:w="2268" w:type="dxa"/>
            <w:tcBorders>
              <w:left w:val="single" w:sz="6" w:space="0" w:color="auto"/>
            </w:tcBorders>
            <w:vAlign w:val="center"/>
          </w:tcPr>
          <w:p>
            <w:pPr>
              <w:pStyle w:val="20"/>
            </w:pPr>
            <w:r>
              <w:t>≤1天</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预算控制数</w:t>
            </w:r>
          </w:p>
        </w:tc>
        <w:tc>
          <w:tcPr>
            <w:tcW w:w="2268" w:type="dxa"/>
            <w:tcBorders>
              <w:left w:val="single" w:sz="6" w:space="0" w:color="auto"/>
            </w:tcBorders>
            <w:vAlign w:val="center"/>
          </w:tcPr>
          <w:p>
            <w:pPr>
              <w:pStyle w:val="20"/>
            </w:pPr>
            <w:r>
              <w:t>≤6万</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促进社会和谐稳定</w:t>
            </w:r>
          </w:p>
        </w:tc>
        <w:tc>
          <w:tcPr>
            <w:tcW w:w="2268" w:type="dxa"/>
            <w:tcBorders>
              <w:left w:val="single" w:sz="6" w:space="0" w:color="auto"/>
            </w:tcBorders>
            <w:vAlign w:val="center"/>
          </w:tcPr>
          <w:p>
            <w:pPr>
              <w:pStyle w:val="20"/>
            </w:pPr>
            <w:r>
              <w:t>较上年提升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公众满意度</w:t>
            </w:r>
          </w:p>
        </w:tc>
        <w:tc>
          <w:tcPr>
            <w:tcW w:w="5386" w:type="dxa"/>
            <w:tcBorders>
              <w:left w:val="single" w:sz="6" w:space="0" w:color="auto"/>
            </w:tcBorders>
            <w:vAlign w:val="center"/>
          </w:tcPr>
          <w:p>
            <w:pPr>
              <w:pStyle w:val="20"/>
            </w:pPr>
            <w:r>
              <w:t>社会公众满意度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5、监察委办公场所水电费绩效目标表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13010925P00000810081L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监察委办公场所水电费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保障办案、办公各项工作的正常运转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1.保障办案、办公各项工作的正常运转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经费种类</w:t>
            </w:r>
          </w:p>
        </w:tc>
        <w:tc>
          <w:tcPr>
            <w:tcW w:w="5386" w:type="dxa"/>
            <w:tcBorders>
              <w:left w:val="single" w:sz="6" w:space="0" w:color="auto"/>
            </w:tcBorders>
            <w:vAlign w:val="center"/>
          </w:tcPr>
          <w:p>
            <w:pPr>
              <w:pStyle w:val="20"/>
            </w:pPr>
            <w:r>
              <w:t>办公场所水电及通信费等</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保障单位工作正常运转</w:t>
            </w:r>
          </w:p>
        </w:tc>
        <w:tc>
          <w:tcPr>
            <w:tcW w:w="5386" w:type="dxa"/>
            <w:tcBorders>
              <w:left w:val="single" w:sz="6" w:space="0" w:color="auto"/>
            </w:tcBorders>
            <w:vAlign w:val="center"/>
          </w:tcPr>
          <w:p>
            <w:pPr>
              <w:pStyle w:val="20"/>
            </w:pPr>
            <w:r>
              <w:t>为单位提供必备的水电通信等服务</w:t>
            </w:r>
          </w:p>
        </w:tc>
        <w:tc>
          <w:tcPr>
            <w:tcW w:w="2268" w:type="dxa"/>
            <w:tcBorders>
              <w:left w:val="single" w:sz="6" w:space="0" w:color="auto"/>
            </w:tcBorders>
            <w:vAlign w:val="center"/>
          </w:tcPr>
          <w:p>
            <w:pPr>
              <w:pStyle w:val="20"/>
            </w:pPr>
            <w:r>
              <w:t>保障工作正常运转</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按时交费</w:t>
            </w:r>
          </w:p>
        </w:tc>
        <w:tc>
          <w:tcPr>
            <w:tcW w:w="5386" w:type="dxa"/>
            <w:tcBorders>
              <w:left w:val="single" w:sz="6" w:space="0" w:color="auto"/>
            </w:tcBorders>
            <w:vAlign w:val="center"/>
          </w:tcPr>
          <w:p>
            <w:pPr>
              <w:pStyle w:val="20"/>
            </w:pPr>
            <w:r>
              <w:t>按规定的时间节点交费</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≤40万元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维护机关运转</w:t>
            </w:r>
          </w:p>
        </w:tc>
        <w:tc>
          <w:tcPr>
            <w:tcW w:w="5386" w:type="dxa"/>
            <w:tcBorders>
              <w:left w:val="single" w:sz="6" w:space="0" w:color="auto"/>
            </w:tcBorders>
            <w:vAlign w:val="center"/>
          </w:tcPr>
          <w:p>
            <w:pPr>
              <w:pStyle w:val="20"/>
            </w:pPr>
            <w:r>
              <w:t>保障办案工作的顺利进行</w:t>
            </w:r>
          </w:p>
        </w:tc>
        <w:tc>
          <w:tcPr>
            <w:tcW w:w="2268" w:type="dxa"/>
            <w:tcBorders>
              <w:left w:val="single" w:sz="6" w:space="0" w:color="auto"/>
            </w:tcBorders>
            <w:vAlign w:val="center"/>
          </w:tcPr>
          <w:p>
            <w:pPr>
              <w:pStyle w:val="20"/>
            </w:pPr>
            <w:r>
              <w:t>保障工作正常运转</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6、监察委办公场所租赁费绩效目标表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13010925P00000810084F</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监察委办公场所租赁费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支付办公场所租赁费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 xml:space="preserve">100 </w:t>
            </w:r>
          </w:p>
        </w:tc>
        <w:tc>
          <w:tcPr>
            <w:tcW w:w="3544" w:type="dxa"/>
            <w:gridSpan w:val="2"/>
            <w:tcBorders>
              <w:left w:val="single" w:sz="6" w:space="0" w:color="auto"/>
            </w:tcBorders>
            <w:vAlign w:val="center"/>
          </w:tcPr>
          <w:p>
            <w:pPr>
              <w:pStyle w:val="21"/>
            </w:pPr>
            <w:r>
              <w:t xml:space="preserve">100 </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1.监察委办公场所租赁费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场地租赁数量</w:t>
            </w:r>
          </w:p>
        </w:tc>
        <w:tc>
          <w:tcPr>
            <w:tcW w:w="5386" w:type="dxa"/>
            <w:tcBorders>
              <w:left w:val="single" w:sz="6" w:space="0" w:color="auto"/>
            </w:tcBorders>
            <w:vAlign w:val="center"/>
          </w:tcPr>
          <w:p>
            <w:pPr>
              <w:pStyle w:val="20"/>
            </w:pPr>
            <w:r>
              <w:t>场地租赁数量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保障办公有序进行</w:t>
            </w:r>
          </w:p>
        </w:tc>
        <w:tc>
          <w:tcPr>
            <w:tcW w:w="5386" w:type="dxa"/>
            <w:tcBorders>
              <w:left w:val="single" w:sz="6" w:space="0" w:color="auto"/>
            </w:tcBorders>
            <w:vAlign w:val="center"/>
          </w:tcPr>
          <w:p>
            <w:pPr>
              <w:pStyle w:val="20"/>
            </w:pPr>
            <w:r>
              <w:t>为机关工作人员提供办公场所，保障日常工作开展</w:t>
            </w:r>
          </w:p>
        </w:tc>
        <w:tc>
          <w:tcPr>
            <w:tcW w:w="2268" w:type="dxa"/>
            <w:tcBorders>
              <w:left w:val="single" w:sz="6" w:space="0" w:color="auto"/>
            </w:tcBorders>
            <w:vAlign w:val="center"/>
          </w:tcPr>
          <w:p>
            <w:pPr>
              <w:pStyle w:val="20"/>
            </w:pPr>
            <w:r>
              <w:t>保障办公有序进行</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资金支付及时性</w:t>
            </w:r>
          </w:p>
        </w:tc>
        <w:tc>
          <w:tcPr>
            <w:tcW w:w="5386" w:type="dxa"/>
            <w:tcBorders>
              <w:left w:val="single" w:sz="6" w:space="0" w:color="auto"/>
            </w:tcBorders>
            <w:vAlign w:val="center"/>
          </w:tcPr>
          <w:p>
            <w:pPr>
              <w:pStyle w:val="20"/>
            </w:pPr>
            <w:r>
              <w:t>按计划支付</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≤95万元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保障正常办公</w:t>
            </w:r>
          </w:p>
        </w:tc>
        <w:tc>
          <w:tcPr>
            <w:tcW w:w="5386" w:type="dxa"/>
            <w:tcBorders>
              <w:left w:val="single" w:sz="6" w:space="0" w:color="auto"/>
            </w:tcBorders>
            <w:vAlign w:val="center"/>
          </w:tcPr>
          <w:p>
            <w:pPr>
              <w:pStyle w:val="20"/>
            </w:pPr>
            <w:r>
              <w:t>维护办公环境协同发展</w:t>
            </w:r>
          </w:p>
        </w:tc>
        <w:tc>
          <w:tcPr>
            <w:tcW w:w="2268" w:type="dxa"/>
            <w:tcBorders>
              <w:left w:val="single" w:sz="6" w:space="0" w:color="auto"/>
            </w:tcBorders>
            <w:vAlign w:val="center"/>
          </w:tcPr>
          <w:p>
            <w:pPr>
              <w:pStyle w:val="20"/>
            </w:pPr>
            <w:r>
              <w:t>维护办公环境协同发展</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7、营商环境举报中心劳务派遣人员工资绩效目标表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13010925P000008100853</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营商环境举报中心劳务派遣人员工资</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24.84</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24.84</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按时发放劳务派遣人员工资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bookmarkStart w:id="16" w:name="_GoBack"/>
            <w:r>
              <w:t>25</w:t>
            </w:r>
          </w:p>
        </w:tc>
        <w:tc>
          <w:tcPr>
            <w:tcW w:w="2835" w:type="dxa"/>
            <w:tcBorders>
              <w:left w:val="single" w:sz="6" w:space="0" w:color="auto"/>
            </w:tcBorders>
            <w:vAlign w:val="center"/>
          </w:tcPr>
          <w:p>
            <w:pPr>
              <w:pStyle w:val="21"/>
            </w:pPr>
            <w:bookmarkEnd w:id="16"/>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1.按时发放劳务派遣人员工资</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劳务派遣人员数量</w:t>
            </w:r>
          </w:p>
        </w:tc>
        <w:tc>
          <w:tcPr>
            <w:tcW w:w="5386" w:type="dxa"/>
            <w:tcBorders>
              <w:left w:val="single" w:sz="6" w:space="0" w:color="auto"/>
            </w:tcBorders>
            <w:vAlign w:val="center"/>
          </w:tcPr>
          <w:p>
            <w:pPr>
              <w:pStyle w:val="20"/>
            </w:pPr>
            <w:r>
              <w:t>实际在岗劳务派遣人员5人</w:t>
            </w:r>
          </w:p>
        </w:tc>
        <w:tc>
          <w:tcPr>
            <w:tcW w:w="2268" w:type="dxa"/>
            <w:tcBorders>
              <w:left w:val="single" w:sz="6" w:space="0" w:color="auto"/>
            </w:tcBorders>
            <w:vAlign w:val="center"/>
          </w:tcPr>
          <w:p>
            <w:pPr>
              <w:pStyle w:val="20"/>
            </w:pPr>
            <w:r>
              <w:t>5人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保障纪检监察干部日常办公。</w:t>
            </w:r>
          </w:p>
        </w:tc>
        <w:tc>
          <w:tcPr>
            <w:tcW w:w="5386" w:type="dxa"/>
            <w:tcBorders>
              <w:left w:val="single" w:sz="6" w:space="0" w:color="auto"/>
            </w:tcBorders>
            <w:vAlign w:val="center"/>
          </w:tcPr>
          <w:p>
            <w:pPr>
              <w:pStyle w:val="20"/>
            </w:pPr>
            <w:r>
              <w:t>保障纪检监察干部日常办公。</w:t>
            </w:r>
          </w:p>
        </w:tc>
        <w:tc>
          <w:tcPr>
            <w:tcW w:w="2268" w:type="dxa"/>
            <w:tcBorders>
              <w:left w:val="single" w:sz="6" w:space="0" w:color="auto"/>
            </w:tcBorders>
            <w:vAlign w:val="center"/>
          </w:tcPr>
          <w:p>
            <w:pPr>
              <w:pStyle w:val="20"/>
            </w:pPr>
            <w:r>
              <w:t>保障纪检监察干部日常办公。</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及时支付资金情况</w:t>
            </w:r>
          </w:p>
        </w:tc>
        <w:tc>
          <w:tcPr>
            <w:tcW w:w="5386" w:type="dxa"/>
            <w:tcBorders>
              <w:left w:val="single" w:sz="6" w:space="0" w:color="auto"/>
            </w:tcBorders>
            <w:vAlign w:val="center"/>
          </w:tcPr>
          <w:p>
            <w:pPr>
              <w:pStyle w:val="20"/>
            </w:pPr>
            <w:r>
              <w:t>及时支付劳务派遣人员工资</w:t>
            </w:r>
          </w:p>
        </w:tc>
        <w:tc>
          <w:tcPr>
            <w:tcW w:w="2268" w:type="dxa"/>
            <w:tcBorders>
              <w:left w:val="single" w:sz="6" w:space="0" w:color="auto"/>
            </w:tcBorders>
            <w:vAlign w:val="center"/>
          </w:tcPr>
          <w:p>
            <w:pPr>
              <w:pStyle w:val="20"/>
            </w:pPr>
            <w:r>
              <w:t>按月及时发放工资</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项目预算控制数</w:t>
            </w:r>
          </w:p>
        </w:tc>
        <w:tc>
          <w:tcPr>
            <w:tcW w:w="5386" w:type="dxa"/>
            <w:tcBorders>
              <w:left w:val="single" w:sz="6" w:space="0" w:color="auto"/>
            </w:tcBorders>
            <w:vAlign w:val="center"/>
          </w:tcPr>
          <w:p>
            <w:pPr>
              <w:pStyle w:val="20"/>
            </w:pPr>
            <w:r>
              <w:t>项目预算控制数</w:t>
            </w:r>
          </w:p>
        </w:tc>
        <w:tc>
          <w:tcPr>
            <w:tcW w:w="2268" w:type="dxa"/>
            <w:tcBorders>
              <w:left w:val="single" w:sz="6" w:space="0" w:color="auto"/>
            </w:tcBorders>
            <w:vAlign w:val="center"/>
          </w:tcPr>
          <w:p>
            <w:pPr>
              <w:pStyle w:val="20"/>
            </w:pPr>
            <w:r>
              <w:t>≤24.84万元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营造良好纪检监察环境</w:t>
            </w:r>
          </w:p>
        </w:tc>
        <w:tc>
          <w:tcPr>
            <w:tcW w:w="5386" w:type="dxa"/>
            <w:tcBorders>
              <w:left w:val="single" w:sz="6" w:space="0" w:color="auto"/>
            </w:tcBorders>
            <w:vAlign w:val="center"/>
          </w:tcPr>
          <w:p>
            <w:pPr>
              <w:pStyle w:val="20"/>
            </w:pPr>
            <w:r>
              <w:t>纪检监察办公水平</w:t>
            </w:r>
          </w:p>
        </w:tc>
        <w:tc>
          <w:tcPr>
            <w:tcW w:w="2268" w:type="dxa"/>
            <w:tcBorders>
              <w:left w:val="single" w:sz="6" w:space="0" w:color="auto"/>
            </w:tcBorders>
            <w:vAlign w:val="center"/>
          </w:tcPr>
          <w:p>
            <w:pPr>
              <w:pStyle w:val="20"/>
            </w:pPr>
            <w:r>
              <w:t>提升纪检监察办公水平</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社会群众满意度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中国共产党石家庄市藁城区纪律检查委员会（含所属单位）上年末固定资产金额为309.67万元（详见下表）。本年度拟购置固定资产总额为0.00万元，已按要求列入政府采购预算，详见政府采购预算表。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222中国共产党石家庄市藁城区纪律检查委员会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309.67</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r>
              <w:t>11</w:t>
            </w:r>
          </w:p>
        </w:tc>
        <w:tc>
          <w:tcPr>
            <w:tcW w:w="2835" w:type="dxa"/>
            <w:tcBorders>
              <w:left w:val="single" w:sz="6" w:space="0" w:color="auto"/>
            </w:tcBorders>
            <w:vAlign w:val="center"/>
          </w:tcPr>
          <w:p>
            <w:pPr>
              <w:pStyle w:val="19"/>
            </w:pPr>
            <w:r>
              <w:t>41.84</w:t>
            </w: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1446</w:t>
            </w:r>
          </w:p>
        </w:tc>
        <w:tc>
          <w:tcPr>
            <w:tcW w:w="2835" w:type="dxa"/>
            <w:tcBorders>
              <w:left w:val="single" w:sz="6" w:space="0" w:color="auto"/>
            </w:tcBorders>
            <w:vAlign w:val="center"/>
          </w:tcPr>
          <w:p>
            <w:pPr>
              <w:pStyle w:val="19"/>
            </w:pPr>
            <w:r>
              <w:t>267.83</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yozoId="4094"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yozoId="4094"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yozoId="4094"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yozoId="4094"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yozoId="4094"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yozoId="4094"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yozoId="4094"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yozoId="4094"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3">
    <w:name w:val="TOC 2"/>
    <w:qFormat/>
    <w:basedOn w:val="0"/>
    <w:pPr>
      <w:ind w:left="240"/>
    </w:pPr>
  </w:style>
  <w:style w:type="paragraph" w:customStyle="1" w:yozoId="4094" w:styleId="34">
    <w:name w:val="TOC 3"/>
    <w:qFormat/>
    <w:basedOn w:val="0"/>
    <w:pPr>
      <w:ind w:left="480"/>
    </w:pPr>
  </w:style>
  <w:style w:type="paragraph" w:customStyle="1" w:yozoId="4094"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B4907BF-9DDB-41CA-AE59-5278E42DA7E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25</TotalTime>
  <Application>Yozo_Office9.0.5727.102ZH.HE36</Application>
  <Pages>34</Pages>
  <Words>0</Words>
  <Characters>12910</Characters>
  <Lines>0</Lines>
  <Paragraphs>178</Paragraphs>
  <CharactersWithSpaces>17214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JW212</cp:lastModifiedBy>
  <cp:revision>3</cp:revision>
  <dcterms:created xsi:type="dcterms:W3CDTF">2025-02-11T13:41:19Z</dcterms:created>
  <dcterms:modified xsi:type="dcterms:W3CDTF">2025-02-12T02:42:20Z</dcterms:modified>
</cp:coreProperties>
</file>