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2024年部门预算信息公开目录</w:t>
      </w:r>
    </w:p>
    <w:p>
      <w:pPr>
        <w:jc w:val="center"/>
      </w:pPr>
    </w:p>
    <w:p>
      <w:r>
        <w:rPr>
          <w:rFonts w:ascii="方正楷体_GBK" w:hAnsi="方正楷体_GBK" w:eastAsia="方正楷体_GBK" w:cs="方正楷体_GBK"/>
          <w:b/>
          <w:color w:val="000000"/>
          <w:sz w:val="28"/>
        </w:rPr>
        <w:t>部门预算公开表</w:t>
      </w:r>
    </w:p>
    <w:p>
      <w:pPr>
        <w:pStyle w:val="27"/>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27"/>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27"/>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27"/>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27"/>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27"/>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27"/>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27"/>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27"/>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27"/>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27"/>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27"/>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27"/>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27"/>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27"/>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27"/>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1964.56</w:t>
            </w:r>
          </w:p>
        </w:tc>
        <w:tc>
          <w:tcPr>
            <w:tcW w:w="4535" w:type="dxa"/>
            <w:vAlign w:val="center"/>
          </w:tcPr>
          <w:p>
            <w:pPr>
              <w:pStyle w:val="12"/>
            </w:pPr>
            <w:r>
              <w:t>一、一般公共服务支出</w:t>
            </w:r>
          </w:p>
        </w:tc>
        <w:tc>
          <w:tcPr>
            <w:tcW w:w="2126" w:type="dxa"/>
            <w:vAlign w:val="center"/>
          </w:tcPr>
          <w:p>
            <w:pPr>
              <w:pStyle w:val="11"/>
            </w:pPr>
            <w:r>
              <w:t>1964.56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4"/>
            </w:pPr>
            <w:r>
              <w:t>本年收入合计</w:t>
            </w:r>
          </w:p>
        </w:tc>
        <w:tc>
          <w:tcPr>
            <w:tcW w:w="2126" w:type="dxa"/>
            <w:vAlign w:val="center"/>
          </w:tcPr>
          <w:p>
            <w:pPr>
              <w:pStyle w:val="15"/>
            </w:pPr>
            <w:r>
              <w:t>1964.56</w:t>
            </w:r>
          </w:p>
        </w:tc>
        <w:tc>
          <w:tcPr>
            <w:tcW w:w="4535" w:type="dxa"/>
            <w:vAlign w:val="center"/>
          </w:tcPr>
          <w:p>
            <w:pPr>
              <w:pStyle w:val="14"/>
            </w:pPr>
            <w:r>
              <w:t>本年支出合计</w:t>
            </w:r>
          </w:p>
        </w:tc>
        <w:tc>
          <w:tcPr>
            <w:tcW w:w="2126" w:type="dxa"/>
            <w:vAlign w:val="center"/>
          </w:tcPr>
          <w:p>
            <w:pPr>
              <w:pStyle w:val="15"/>
            </w:pPr>
            <w:r>
              <w:t>1964.56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6" w:type="dxa"/>
            <w:vAlign w:val="center"/>
          </w:tcPr>
          <w:p>
            <w:pPr>
              <w:pStyle w:val="14"/>
            </w:pPr>
            <w:r>
              <w:t>收入总计</w:t>
            </w:r>
          </w:p>
        </w:tc>
        <w:tc>
          <w:tcPr>
            <w:tcW w:w="2126" w:type="dxa"/>
            <w:vAlign w:val="center"/>
          </w:tcPr>
          <w:p>
            <w:pPr>
              <w:pStyle w:val="15"/>
            </w:pPr>
            <w:r>
              <w:t>1964.56</w:t>
            </w:r>
          </w:p>
        </w:tc>
        <w:tc>
          <w:tcPr>
            <w:tcW w:w="4535" w:type="dxa"/>
            <w:vAlign w:val="center"/>
          </w:tcPr>
          <w:p>
            <w:pPr>
              <w:pStyle w:val="14"/>
            </w:pPr>
            <w:r>
              <w:t>支出总计</w:t>
            </w:r>
          </w:p>
        </w:tc>
        <w:tc>
          <w:tcPr>
            <w:tcW w:w="2126" w:type="dxa"/>
            <w:vAlign w:val="center"/>
          </w:tcPr>
          <w:p>
            <w:pPr>
              <w:pStyle w:val="15"/>
            </w:pPr>
            <w:r>
              <w:t>1964.56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1964.56</w:t>
            </w:r>
          </w:p>
        </w:tc>
        <w:tc>
          <w:tcPr>
            <w:tcW w:w="1134" w:type="dxa"/>
            <w:vAlign w:val="center"/>
          </w:tcPr>
          <w:p>
            <w:pPr>
              <w:pStyle w:val="15"/>
            </w:pPr>
            <w:r>
              <w:t>1964.56</w:t>
            </w:r>
          </w:p>
        </w:tc>
        <w:tc>
          <w:tcPr>
            <w:tcW w:w="1134" w:type="dxa"/>
            <w:vAlign w:val="center"/>
          </w:tcPr>
          <w:p>
            <w:pPr>
              <w:pStyle w:val="15"/>
            </w:pPr>
            <w:r>
              <w:t>1964.56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1964.56</w:t>
            </w:r>
          </w:p>
        </w:tc>
        <w:tc>
          <w:tcPr>
            <w:tcW w:w="1134" w:type="dxa"/>
            <w:vAlign w:val="center"/>
          </w:tcPr>
          <w:p>
            <w:pPr>
              <w:pStyle w:val="11"/>
            </w:pPr>
            <w:r>
              <w:t>1964.56</w:t>
            </w:r>
          </w:p>
        </w:tc>
        <w:tc>
          <w:tcPr>
            <w:tcW w:w="1134" w:type="dxa"/>
            <w:vAlign w:val="center"/>
          </w:tcPr>
          <w:p>
            <w:pPr>
              <w:pStyle w:val="11"/>
            </w:pPr>
            <w:r>
              <w:t>1964.56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20101</w:t>
            </w:r>
          </w:p>
        </w:tc>
        <w:tc>
          <w:tcPr>
            <w:tcW w:w="1559" w:type="dxa"/>
            <w:vAlign w:val="center"/>
          </w:tcPr>
          <w:p>
            <w:pPr>
              <w:pStyle w:val="12"/>
            </w:pPr>
            <w:r>
              <w:t>人大事务</w:t>
            </w:r>
          </w:p>
        </w:tc>
        <w:tc>
          <w:tcPr>
            <w:tcW w:w="1134" w:type="dxa"/>
            <w:vAlign w:val="center"/>
          </w:tcPr>
          <w:p>
            <w:pPr>
              <w:pStyle w:val="11"/>
            </w:pPr>
            <w:r>
              <w:t>156.30</w:t>
            </w:r>
          </w:p>
        </w:tc>
        <w:tc>
          <w:tcPr>
            <w:tcW w:w="1134" w:type="dxa"/>
            <w:vAlign w:val="center"/>
          </w:tcPr>
          <w:p>
            <w:pPr>
              <w:pStyle w:val="11"/>
            </w:pPr>
            <w:r>
              <w:t>156.30</w:t>
            </w:r>
          </w:p>
        </w:tc>
        <w:tc>
          <w:tcPr>
            <w:tcW w:w="1134" w:type="dxa"/>
            <w:vAlign w:val="center"/>
          </w:tcPr>
          <w:p>
            <w:pPr>
              <w:pStyle w:val="11"/>
            </w:pPr>
            <w:r>
              <w:t>156.30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2010101</w:t>
            </w:r>
          </w:p>
        </w:tc>
        <w:tc>
          <w:tcPr>
            <w:tcW w:w="1559" w:type="dxa"/>
            <w:vAlign w:val="center"/>
          </w:tcPr>
          <w:p>
            <w:pPr>
              <w:pStyle w:val="12"/>
            </w:pPr>
            <w:r>
              <w:t>行政运行</w:t>
            </w:r>
          </w:p>
        </w:tc>
        <w:tc>
          <w:tcPr>
            <w:tcW w:w="1134" w:type="dxa"/>
            <w:vAlign w:val="center"/>
          </w:tcPr>
          <w:p>
            <w:pPr>
              <w:pStyle w:val="11"/>
            </w:pPr>
            <w:r>
              <w:t>156.30</w:t>
            </w:r>
          </w:p>
        </w:tc>
        <w:tc>
          <w:tcPr>
            <w:tcW w:w="1134" w:type="dxa"/>
            <w:vAlign w:val="center"/>
          </w:tcPr>
          <w:p>
            <w:pPr>
              <w:pStyle w:val="11"/>
            </w:pPr>
            <w:r>
              <w:t>156.30</w:t>
            </w:r>
          </w:p>
        </w:tc>
        <w:tc>
          <w:tcPr>
            <w:tcW w:w="1134" w:type="dxa"/>
            <w:vAlign w:val="center"/>
          </w:tcPr>
          <w:p>
            <w:pPr>
              <w:pStyle w:val="11"/>
            </w:pPr>
            <w:r>
              <w:t>156.30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20111</w:t>
            </w:r>
          </w:p>
        </w:tc>
        <w:tc>
          <w:tcPr>
            <w:tcW w:w="1559" w:type="dxa"/>
            <w:vAlign w:val="center"/>
          </w:tcPr>
          <w:p>
            <w:pPr>
              <w:pStyle w:val="12"/>
            </w:pPr>
            <w:r>
              <w:t>纪检监察事务</w:t>
            </w:r>
          </w:p>
        </w:tc>
        <w:tc>
          <w:tcPr>
            <w:tcW w:w="1134" w:type="dxa"/>
            <w:vAlign w:val="center"/>
          </w:tcPr>
          <w:p>
            <w:pPr>
              <w:pStyle w:val="11"/>
            </w:pPr>
            <w:r>
              <w:t>1808.26</w:t>
            </w:r>
          </w:p>
        </w:tc>
        <w:tc>
          <w:tcPr>
            <w:tcW w:w="1134" w:type="dxa"/>
            <w:vAlign w:val="center"/>
          </w:tcPr>
          <w:p>
            <w:pPr>
              <w:pStyle w:val="11"/>
            </w:pPr>
            <w:r>
              <w:t>1808.26</w:t>
            </w:r>
          </w:p>
        </w:tc>
        <w:tc>
          <w:tcPr>
            <w:tcW w:w="1134" w:type="dxa"/>
            <w:vAlign w:val="center"/>
          </w:tcPr>
          <w:p>
            <w:pPr>
              <w:pStyle w:val="11"/>
            </w:pPr>
            <w:r>
              <w:t>1808.26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2011101</w:t>
            </w:r>
          </w:p>
        </w:tc>
        <w:tc>
          <w:tcPr>
            <w:tcW w:w="1559" w:type="dxa"/>
            <w:vAlign w:val="center"/>
          </w:tcPr>
          <w:p>
            <w:pPr>
              <w:pStyle w:val="12"/>
            </w:pPr>
            <w:r>
              <w:t>行政运行</w:t>
            </w:r>
          </w:p>
        </w:tc>
        <w:tc>
          <w:tcPr>
            <w:tcW w:w="1134" w:type="dxa"/>
            <w:vAlign w:val="center"/>
          </w:tcPr>
          <w:p>
            <w:pPr>
              <w:pStyle w:val="11"/>
            </w:pPr>
            <w:r>
              <w:t>1497.14</w:t>
            </w:r>
          </w:p>
        </w:tc>
        <w:tc>
          <w:tcPr>
            <w:tcW w:w="1134" w:type="dxa"/>
            <w:vAlign w:val="center"/>
          </w:tcPr>
          <w:p>
            <w:pPr>
              <w:pStyle w:val="11"/>
            </w:pPr>
            <w:r>
              <w:t>1497.14</w:t>
            </w:r>
          </w:p>
        </w:tc>
        <w:tc>
          <w:tcPr>
            <w:tcW w:w="1134" w:type="dxa"/>
            <w:vAlign w:val="center"/>
          </w:tcPr>
          <w:p>
            <w:pPr>
              <w:pStyle w:val="11"/>
            </w:pPr>
            <w:r>
              <w:t>1497.14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2011102</w:t>
            </w:r>
          </w:p>
        </w:tc>
        <w:tc>
          <w:tcPr>
            <w:tcW w:w="1559" w:type="dxa"/>
            <w:vAlign w:val="center"/>
          </w:tcPr>
          <w:p>
            <w:pPr>
              <w:pStyle w:val="12"/>
            </w:pPr>
            <w:r>
              <w:t>一般行政管理事务</w:t>
            </w:r>
          </w:p>
        </w:tc>
        <w:tc>
          <w:tcPr>
            <w:tcW w:w="1134" w:type="dxa"/>
            <w:vAlign w:val="center"/>
          </w:tcPr>
          <w:p>
            <w:pPr>
              <w:pStyle w:val="11"/>
            </w:pPr>
            <w:r>
              <w:t>228.17</w:t>
            </w:r>
          </w:p>
        </w:tc>
        <w:tc>
          <w:tcPr>
            <w:tcW w:w="1134" w:type="dxa"/>
            <w:vAlign w:val="center"/>
          </w:tcPr>
          <w:p>
            <w:pPr>
              <w:pStyle w:val="11"/>
            </w:pPr>
            <w:r>
              <w:t>228.17</w:t>
            </w:r>
          </w:p>
        </w:tc>
        <w:tc>
          <w:tcPr>
            <w:tcW w:w="1134" w:type="dxa"/>
            <w:vAlign w:val="center"/>
          </w:tcPr>
          <w:p>
            <w:pPr>
              <w:pStyle w:val="11"/>
            </w:pPr>
            <w:r>
              <w:t>228.17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2011104</w:t>
            </w:r>
          </w:p>
        </w:tc>
        <w:tc>
          <w:tcPr>
            <w:tcW w:w="1559" w:type="dxa"/>
            <w:vAlign w:val="center"/>
          </w:tcPr>
          <w:p>
            <w:pPr>
              <w:pStyle w:val="12"/>
            </w:pPr>
            <w:r>
              <w:t>大案要案查处</w:t>
            </w:r>
          </w:p>
        </w:tc>
        <w:tc>
          <w:tcPr>
            <w:tcW w:w="1134" w:type="dxa"/>
            <w:vAlign w:val="center"/>
          </w:tcPr>
          <w:p>
            <w:pPr>
              <w:pStyle w:val="11"/>
            </w:pPr>
            <w:r>
              <w:t>72.94</w:t>
            </w:r>
          </w:p>
        </w:tc>
        <w:tc>
          <w:tcPr>
            <w:tcW w:w="1134" w:type="dxa"/>
            <w:vAlign w:val="center"/>
          </w:tcPr>
          <w:p>
            <w:pPr>
              <w:pStyle w:val="11"/>
            </w:pPr>
            <w:r>
              <w:t>72.94</w:t>
            </w:r>
          </w:p>
        </w:tc>
        <w:tc>
          <w:tcPr>
            <w:tcW w:w="1134" w:type="dxa"/>
            <w:vAlign w:val="center"/>
          </w:tcPr>
          <w:p>
            <w:pPr>
              <w:pStyle w:val="11"/>
            </w:pPr>
            <w:r>
              <w:t>72.94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2011199</w:t>
            </w:r>
          </w:p>
        </w:tc>
        <w:tc>
          <w:tcPr>
            <w:tcW w:w="1559" w:type="dxa"/>
            <w:vAlign w:val="center"/>
          </w:tcPr>
          <w:p>
            <w:pPr>
              <w:pStyle w:val="12"/>
            </w:pPr>
            <w:r>
              <w:t>其他纪检监察事务支出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1964.56</w:t>
            </w:r>
          </w:p>
        </w:tc>
        <w:tc>
          <w:tcPr>
            <w:tcW w:w="1361" w:type="dxa"/>
            <w:vAlign w:val="center"/>
          </w:tcPr>
          <w:p>
            <w:pPr>
              <w:pStyle w:val="15"/>
            </w:pPr>
            <w:r>
              <w:t>1653.44</w:t>
            </w:r>
          </w:p>
        </w:tc>
        <w:tc>
          <w:tcPr>
            <w:tcW w:w="1361" w:type="dxa"/>
            <w:vAlign w:val="center"/>
          </w:tcPr>
          <w:p>
            <w:pPr>
              <w:pStyle w:val="15"/>
            </w:pPr>
            <w:r>
              <w:t>311.11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1964.56</w:t>
            </w:r>
          </w:p>
        </w:tc>
        <w:tc>
          <w:tcPr>
            <w:tcW w:w="1361" w:type="dxa"/>
            <w:vAlign w:val="center"/>
          </w:tcPr>
          <w:p>
            <w:pPr>
              <w:pStyle w:val="11"/>
            </w:pPr>
            <w:r>
              <w:t>1653.44</w:t>
            </w:r>
          </w:p>
        </w:tc>
        <w:tc>
          <w:tcPr>
            <w:tcW w:w="1361" w:type="dxa"/>
            <w:vAlign w:val="center"/>
          </w:tcPr>
          <w:p>
            <w:pPr>
              <w:pStyle w:val="11"/>
            </w:pPr>
            <w:r>
              <w:t>311.11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20101</w:t>
            </w:r>
          </w:p>
        </w:tc>
        <w:tc>
          <w:tcPr>
            <w:tcW w:w="4536" w:type="dxa"/>
            <w:vAlign w:val="center"/>
          </w:tcPr>
          <w:p>
            <w:pPr>
              <w:pStyle w:val="12"/>
            </w:pPr>
            <w:r>
              <w:t>人大事务</w:t>
            </w:r>
          </w:p>
        </w:tc>
        <w:tc>
          <w:tcPr>
            <w:tcW w:w="1361" w:type="dxa"/>
            <w:vAlign w:val="center"/>
          </w:tcPr>
          <w:p>
            <w:pPr>
              <w:pStyle w:val="11"/>
            </w:pPr>
            <w:r>
              <w:t>156.30</w:t>
            </w:r>
          </w:p>
        </w:tc>
        <w:tc>
          <w:tcPr>
            <w:tcW w:w="1361" w:type="dxa"/>
            <w:vAlign w:val="center"/>
          </w:tcPr>
          <w:p>
            <w:pPr>
              <w:pStyle w:val="11"/>
            </w:pPr>
            <w:r>
              <w:t>156.30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2010101</w:t>
            </w:r>
          </w:p>
        </w:tc>
        <w:tc>
          <w:tcPr>
            <w:tcW w:w="4536" w:type="dxa"/>
            <w:vAlign w:val="center"/>
          </w:tcPr>
          <w:p>
            <w:pPr>
              <w:pStyle w:val="12"/>
            </w:pPr>
            <w:r>
              <w:t>行政运行</w:t>
            </w:r>
          </w:p>
        </w:tc>
        <w:tc>
          <w:tcPr>
            <w:tcW w:w="1361" w:type="dxa"/>
            <w:vAlign w:val="center"/>
          </w:tcPr>
          <w:p>
            <w:pPr>
              <w:pStyle w:val="11"/>
            </w:pPr>
            <w:r>
              <w:t>156.30</w:t>
            </w:r>
          </w:p>
        </w:tc>
        <w:tc>
          <w:tcPr>
            <w:tcW w:w="1361" w:type="dxa"/>
            <w:vAlign w:val="center"/>
          </w:tcPr>
          <w:p>
            <w:pPr>
              <w:pStyle w:val="11"/>
            </w:pPr>
            <w:r>
              <w:t>156.30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20111</w:t>
            </w:r>
          </w:p>
        </w:tc>
        <w:tc>
          <w:tcPr>
            <w:tcW w:w="4536" w:type="dxa"/>
            <w:vAlign w:val="center"/>
          </w:tcPr>
          <w:p>
            <w:pPr>
              <w:pStyle w:val="12"/>
            </w:pPr>
            <w:r>
              <w:t>纪检监察事务</w:t>
            </w:r>
          </w:p>
        </w:tc>
        <w:tc>
          <w:tcPr>
            <w:tcW w:w="1361" w:type="dxa"/>
            <w:vAlign w:val="center"/>
          </w:tcPr>
          <w:p>
            <w:pPr>
              <w:pStyle w:val="11"/>
            </w:pPr>
            <w:r>
              <w:t>1808.26</w:t>
            </w:r>
          </w:p>
        </w:tc>
        <w:tc>
          <w:tcPr>
            <w:tcW w:w="1361" w:type="dxa"/>
            <w:vAlign w:val="center"/>
          </w:tcPr>
          <w:p>
            <w:pPr>
              <w:pStyle w:val="11"/>
            </w:pPr>
            <w:r>
              <w:t>1497.14</w:t>
            </w:r>
          </w:p>
        </w:tc>
        <w:tc>
          <w:tcPr>
            <w:tcW w:w="1361" w:type="dxa"/>
            <w:vAlign w:val="center"/>
          </w:tcPr>
          <w:p>
            <w:pPr>
              <w:pStyle w:val="11"/>
            </w:pPr>
            <w:r>
              <w:t>311.11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2011101</w:t>
            </w:r>
          </w:p>
        </w:tc>
        <w:tc>
          <w:tcPr>
            <w:tcW w:w="4536" w:type="dxa"/>
            <w:vAlign w:val="center"/>
          </w:tcPr>
          <w:p>
            <w:pPr>
              <w:pStyle w:val="12"/>
            </w:pPr>
            <w:r>
              <w:t>行政运行</w:t>
            </w:r>
          </w:p>
        </w:tc>
        <w:tc>
          <w:tcPr>
            <w:tcW w:w="1361" w:type="dxa"/>
            <w:vAlign w:val="center"/>
          </w:tcPr>
          <w:p>
            <w:pPr>
              <w:pStyle w:val="11"/>
            </w:pPr>
            <w:r>
              <w:t>1497.14</w:t>
            </w:r>
          </w:p>
        </w:tc>
        <w:tc>
          <w:tcPr>
            <w:tcW w:w="1361" w:type="dxa"/>
            <w:vAlign w:val="center"/>
          </w:tcPr>
          <w:p>
            <w:pPr>
              <w:pStyle w:val="11"/>
            </w:pPr>
            <w:r>
              <w:t>1497.14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2011102</w:t>
            </w:r>
          </w:p>
        </w:tc>
        <w:tc>
          <w:tcPr>
            <w:tcW w:w="4536" w:type="dxa"/>
            <w:vAlign w:val="center"/>
          </w:tcPr>
          <w:p>
            <w:pPr>
              <w:pStyle w:val="12"/>
            </w:pPr>
            <w:r>
              <w:t>一般行政管理事务</w:t>
            </w:r>
          </w:p>
        </w:tc>
        <w:tc>
          <w:tcPr>
            <w:tcW w:w="1361" w:type="dxa"/>
            <w:vAlign w:val="center"/>
          </w:tcPr>
          <w:p>
            <w:pPr>
              <w:pStyle w:val="11"/>
            </w:pPr>
            <w:r>
              <w:t>228.17</w:t>
            </w:r>
          </w:p>
        </w:tc>
        <w:tc>
          <w:tcPr>
            <w:tcW w:w="1361" w:type="dxa"/>
            <w:vAlign w:val="center"/>
          </w:tcPr>
          <w:p>
            <w:pPr>
              <w:pStyle w:val="11"/>
            </w:pPr>
          </w:p>
        </w:tc>
        <w:tc>
          <w:tcPr>
            <w:tcW w:w="1361" w:type="dxa"/>
            <w:vAlign w:val="center"/>
          </w:tcPr>
          <w:p>
            <w:pPr>
              <w:pStyle w:val="11"/>
            </w:pPr>
            <w:r>
              <w:t>228.17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2011104</w:t>
            </w:r>
          </w:p>
        </w:tc>
        <w:tc>
          <w:tcPr>
            <w:tcW w:w="4536" w:type="dxa"/>
            <w:vAlign w:val="center"/>
          </w:tcPr>
          <w:p>
            <w:pPr>
              <w:pStyle w:val="12"/>
            </w:pPr>
            <w:r>
              <w:t>大案要案查处</w:t>
            </w:r>
          </w:p>
        </w:tc>
        <w:tc>
          <w:tcPr>
            <w:tcW w:w="1361" w:type="dxa"/>
            <w:vAlign w:val="center"/>
          </w:tcPr>
          <w:p>
            <w:pPr>
              <w:pStyle w:val="11"/>
            </w:pPr>
            <w:r>
              <w:t>72.94</w:t>
            </w:r>
          </w:p>
        </w:tc>
        <w:tc>
          <w:tcPr>
            <w:tcW w:w="1361" w:type="dxa"/>
            <w:vAlign w:val="center"/>
          </w:tcPr>
          <w:p>
            <w:pPr>
              <w:pStyle w:val="11"/>
            </w:pPr>
          </w:p>
        </w:tc>
        <w:tc>
          <w:tcPr>
            <w:tcW w:w="1361" w:type="dxa"/>
            <w:vAlign w:val="center"/>
          </w:tcPr>
          <w:p>
            <w:pPr>
              <w:pStyle w:val="11"/>
            </w:pPr>
            <w:r>
              <w:t>72.94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2011199</w:t>
            </w:r>
          </w:p>
        </w:tc>
        <w:tc>
          <w:tcPr>
            <w:tcW w:w="4536" w:type="dxa"/>
            <w:vAlign w:val="center"/>
          </w:tcPr>
          <w:p>
            <w:pPr>
              <w:pStyle w:val="12"/>
            </w:pPr>
            <w:r>
              <w:t>其他纪检监察事务支出</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1964.56</w:t>
            </w:r>
          </w:p>
        </w:tc>
        <w:tc>
          <w:tcPr>
            <w:tcW w:w="3402" w:type="dxa"/>
            <w:vAlign w:val="center"/>
          </w:tcPr>
          <w:p>
            <w:pPr>
              <w:pStyle w:val="12"/>
            </w:pPr>
            <w:r>
              <w:t>一、一般公共服务支出</w:t>
            </w:r>
          </w:p>
        </w:tc>
        <w:tc>
          <w:tcPr>
            <w:tcW w:w="1474" w:type="dxa"/>
            <w:vAlign w:val="center"/>
          </w:tcPr>
          <w:p>
            <w:pPr>
              <w:pStyle w:val="11"/>
            </w:pPr>
            <w:r>
              <w:t>1964.56</w:t>
            </w:r>
          </w:p>
        </w:tc>
        <w:tc>
          <w:tcPr>
            <w:tcW w:w="1474" w:type="dxa"/>
            <w:vAlign w:val="center"/>
          </w:tcPr>
          <w:p>
            <w:pPr>
              <w:pStyle w:val="11"/>
            </w:pPr>
            <w:r>
              <w:t>1964.56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1964.56</w:t>
            </w:r>
          </w:p>
        </w:tc>
        <w:tc>
          <w:tcPr>
            <w:tcW w:w="3402" w:type="dxa"/>
            <w:vAlign w:val="center"/>
          </w:tcPr>
          <w:p>
            <w:pPr>
              <w:pStyle w:val="14"/>
            </w:pPr>
            <w:r>
              <w:t>本年支出合计</w:t>
            </w:r>
          </w:p>
        </w:tc>
        <w:tc>
          <w:tcPr>
            <w:tcW w:w="1474" w:type="dxa"/>
            <w:vAlign w:val="center"/>
          </w:tcPr>
          <w:p>
            <w:pPr>
              <w:pStyle w:val="15"/>
            </w:pPr>
            <w:r>
              <w:t>1964.56</w:t>
            </w:r>
          </w:p>
        </w:tc>
        <w:tc>
          <w:tcPr>
            <w:tcW w:w="1474" w:type="dxa"/>
            <w:vAlign w:val="center"/>
          </w:tcPr>
          <w:p>
            <w:pPr>
              <w:pStyle w:val="15"/>
            </w:pPr>
            <w:r>
              <w:t>1964.56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1964.56</w:t>
            </w:r>
          </w:p>
        </w:tc>
        <w:tc>
          <w:tcPr>
            <w:tcW w:w="3402" w:type="dxa"/>
            <w:vAlign w:val="center"/>
          </w:tcPr>
          <w:p>
            <w:pPr>
              <w:pStyle w:val="14"/>
            </w:pPr>
            <w:r>
              <w:t>支出总计</w:t>
            </w:r>
          </w:p>
        </w:tc>
        <w:tc>
          <w:tcPr>
            <w:tcW w:w="1474" w:type="dxa"/>
            <w:vAlign w:val="center"/>
          </w:tcPr>
          <w:p>
            <w:pPr>
              <w:pStyle w:val="15"/>
            </w:pPr>
            <w:r>
              <w:t>1964.56</w:t>
            </w:r>
          </w:p>
        </w:tc>
        <w:tc>
          <w:tcPr>
            <w:tcW w:w="1474" w:type="dxa"/>
            <w:vAlign w:val="center"/>
          </w:tcPr>
          <w:p>
            <w:pPr>
              <w:pStyle w:val="15"/>
            </w:pPr>
            <w:r>
              <w:t>1964.56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1964.56</w:t>
            </w:r>
          </w:p>
        </w:tc>
        <w:tc>
          <w:tcPr>
            <w:tcW w:w="2551" w:type="dxa"/>
            <w:vAlign w:val="center"/>
          </w:tcPr>
          <w:p>
            <w:pPr>
              <w:pStyle w:val="15"/>
            </w:pPr>
            <w:r>
              <w:t>1653.44</w:t>
            </w:r>
          </w:p>
        </w:tc>
        <w:tc>
          <w:tcPr>
            <w:tcW w:w="2551" w:type="dxa"/>
            <w:vAlign w:val="center"/>
          </w:tcPr>
          <w:p>
            <w:pPr>
              <w:pStyle w:val="15"/>
            </w:pPr>
            <w:r>
              <w:t>311.11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1964.56</w:t>
            </w:r>
          </w:p>
        </w:tc>
        <w:tc>
          <w:tcPr>
            <w:tcW w:w="2551" w:type="dxa"/>
            <w:vAlign w:val="center"/>
          </w:tcPr>
          <w:p>
            <w:pPr>
              <w:pStyle w:val="11"/>
            </w:pPr>
            <w:r>
              <w:t>1653.44</w:t>
            </w:r>
          </w:p>
        </w:tc>
        <w:tc>
          <w:tcPr>
            <w:tcW w:w="2551" w:type="dxa"/>
            <w:vAlign w:val="center"/>
          </w:tcPr>
          <w:p>
            <w:pPr>
              <w:pStyle w:val="11"/>
            </w:pPr>
            <w:r>
              <w:t>311.11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20101</w:t>
            </w:r>
          </w:p>
        </w:tc>
        <w:tc>
          <w:tcPr>
            <w:tcW w:w="4535" w:type="dxa"/>
            <w:vAlign w:val="center"/>
          </w:tcPr>
          <w:p>
            <w:pPr>
              <w:pStyle w:val="12"/>
            </w:pPr>
            <w:r>
              <w:t>人大事务</w:t>
            </w:r>
          </w:p>
        </w:tc>
        <w:tc>
          <w:tcPr>
            <w:tcW w:w="2551" w:type="dxa"/>
            <w:vAlign w:val="center"/>
          </w:tcPr>
          <w:p>
            <w:pPr>
              <w:pStyle w:val="11"/>
            </w:pPr>
            <w:r>
              <w:t>156.30</w:t>
            </w:r>
          </w:p>
        </w:tc>
        <w:tc>
          <w:tcPr>
            <w:tcW w:w="2551" w:type="dxa"/>
            <w:vAlign w:val="center"/>
          </w:tcPr>
          <w:p>
            <w:pPr>
              <w:pStyle w:val="11"/>
            </w:pPr>
            <w:r>
              <w:t>156.30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2010101</w:t>
            </w:r>
          </w:p>
        </w:tc>
        <w:tc>
          <w:tcPr>
            <w:tcW w:w="4535" w:type="dxa"/>
            <w:vAlign w:val="center"/>
          </w:tcPr>
          <w:p>
            <w:pPr>
              <w:pStyle w:val="12"/>
            </w:pPr>
            <w:r>
              <w:t>行政运行</w:t>
            </w:r>
          </w:p>
        </w:tc>
        <w:tc>
          <w:tcPr>
            <w:tcW w:w="2551" w:type="dxa"/>
            <w:vAlign w:val="center"/>
          </w:tcPr>
          <w:p>
            <w:pPr>
              <w:pStyle w:val="11"/>
            </w:pPr>
            <w:r>
              <w:t>156.30</w:t>
            </w:r>
          </w:p>
        </w:tc>
        <w:tc>
          <w:tcPr>
            <w:tcW w:w="2551" w:type="dxa"/>
            <w:vAlign w:val="center"/>
          </w:tcPr>
          <w:p>
            <w:pPr>
              <w:pStyle w:val="11"/>
            </w:pPr>
            <w:r>
              <w:t>156.30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20111</w:t>
            </w:r>
          </w:p>
        </w:tc>
        <w:tc>
          <w:tcPr>
            <w:tcW w:w="4535" w:type="dxa"/>
            <w:vAlign w:val="center"/>
          </w:tcPr>
          <w:p>
            <w:pPr>
              <w:pStyle w:val="12"/>
            </w:pPr>
            <w:r>
              <w:t>纪检监察事务</w:t>
            </w:r>
          </w:p>
        </w:tc>
        <w:tc>
          <w:tcPr>
            <w:tcW w:w="2551" w:type="dxa"/>
            <w:vAlign w:val="center"/>
          </w:tcPr>
          <w:p>
            <w:pPr>
              <w:pStyle w:val="11"/>
            </w:pPr>
            <w:r>
              <w:t>1808.26</w:t>
            </w:r>
          </w:p>
        </w:tc>
        <w:tc>
          <w:tcPr>
            <w:tcW w:w="2551" w:type="dxa"/>
            <w:vAlign w:val="center"/>
          </w:tcPr>
          <w:p>
            <w:pPr>
              <w:pStyle w:val="11"/>
            </w:pPr>
            <w:r>
              <w:t>1497.14</w:t>
            </w:r>
          </w:p>
        </w:tc>
        <w:tc>
          <w:tcPr>
            <w:tcW w:w="2551" w:type="dxa"/>
            <w:vAlign w:val="center"/>
          </w:tcPr>
          <w:p>
            <w:pPr>
              <w:pStyle w:val="11"/>
            </w:pPr>
            <w:r>
              <w:t>311.11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2011101</w:t>
            </w:r>
          </w:p>
        </w:tc>
        <w:tc>
          <w:tcPr>
            <w:tcW w:w="4535" w:type="dxa"/>
            <w:vAlign w:val="center"/>
          </w:tcPr>
          <w:p>
            <w:pPr>
              <w:pStyle w:val="12"/>
            </w:pPr>
            <w:r>
              <w:t>行政运行</w:t>
            </w:r>
          </w:p>
        </w:tc>
        <w:tc>
          <w:tcPr>
            <w:tcW w:w="2551" w:type="dxa"/>
            <w:vAlign w:val="center"/>
          </w:tcPr>
          <w:p>
            <w:pPr>
              <w:pStyle w:val="11"/>
            </w:pPr>
            <w:r>
              <w:t>1497.14</w:t>
            </w:r>
          </w:p>
        </w:tc>
        <w:tc>
          <w:tcPr>
            <w:tcW w:w="2551" w:type="dxa"/>
            <w:vAlign w:val="center"/>
          </w:tcPr>
          <w:p>
            <w:pPr>
              <w:pStyle w:val="11"/>
            </w:pPr>
            <w:r>
              <w:t>1497.14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2011102</w:t>
            </w:r>
          </w:p>
        </w:tc>
        <w:tc>
          <w:tcPr>
            <w:tcW w:w="4535" w:type="dxa"/>
            <w:vAlign w:val="center"/>
          </w:tcPr>
          <w:p>
            <w:pPr>
              <w:pStyle w:val="12"/>
            </w:pPr>
            <w:r>
              <w:t>一般行政管理事务</w:t>
            </w:r>
          </w:p>
        </w:tc>
        <w:tc>
          <w:tcPr>
            <w:tcW w:w="2551" w:type="dxa"/>
            <w:vAlign w:val="center"/>
          </w:tcPr>
          <w:p>
            <w:pPr>
              <w:pStyle w:val="11"/>
            </w:pPr>
            <w:r>
              <w:t>228.17</w:t>
            </w:r>
          </w:p>
        </w:tc>
        <w:tc>
          <w:tcPr>
            <w:tcW w:w="2551" w:type="dxa"/>
            <w:vAlign w:val="center"/>
          </w:tcPr>
          <w:p>
            <w:pPr>
              <w:pStyle w:val="11"/>
            </w:pPr>
          </w:p>
        </w:tc>
        <w:tc>
          <w:tcPr>
            <w:tcW w:w="2551" w:type="dxa"/>
            <w:vAlign w:val="center"/>
          </w:tcPr>
          <w:p>
            <w:pPr>
              <w:pStyle w:val="11"/>
            </w:pPr>
            <w:r>
              <w:t>228.17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2011104</w:t>
            </w:r>
          </w:p>
        </w:tc>
        <w:tc>
          <w:tcPr>
            <w:tcW w:w="4535" w:type="dxa"/>
            <w:vAlign w:val="center"/>
          </w:tcPr>
          <w:p>
            <w:pPr>
              <w:pStyle w:val="12"/>
            </w:pPr>
            <w:r>
              <w:t>大案要案查处</w:t>
            </w:r>
          </w:p>
        </w:tc>
        <w:tc>
          <w:tcPr>
            <w:tcW w:w="2551" w:type="dxa"/>
            <w:vAlign w:val="center"/>
          </w:tcPr>
          <w:p>
            <w:pPr>
              <w:pStyle w:val="11"/>
            </w:pPr>
            <w:r>
              <w:t>72.94</w:t>
            </w:r>
          </w:p>
        </w:tc>
        <w:tc>
          <w:tcPr>
            <w:tcW w:w="2551" w:type="dxa"/>
            <w:vAlign w:val="center"/>
          </w:tcPr>
          <w:p>
            <w:pPr>
              <w:pStyle w:val="11"/>
            </w:pPr>
          </w:p>
        </w:tc>
        <w:tc>
          <w:tcPr>
            <w:tcW w:w="2551" w:type="dxa"/>
            <w:vAlign w:val="center"/>
          </w:tcPr>
          <w:p>
            <w:pPr>
              <w:pStyle w:val="11"/>
            </w:pPr>
            <w:r>
              <w:t>72.94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2011199</w:t>
            </w:r>
          </w:p>
        </w:tc>
        <w:tc>
          <w:tcPr>
            <w:tcW w:w="4535" w:type="dxa"/>
            <w:vAlign w:val="center"/>
          </w:tcPr>
          <w:p>
            <w:pPr>
              <w:pStyle w:val="12"/>
            </w:pPr>
            <w:r>
              <w:t>其他纪检监察事务支出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1653.44</w:t>
            </w:r>
          </w:p>
        </w:tc>
        <w:tc>
          <w:tcPr>
            <w:tcW w:w="2551" w:type="dxa"/>
            <w:vAlign w:val="center"/>
          </w:tcPr>
          <w:p>
            <w:pPr>
              <w:pStyle w:val="15"/>
            </w:pPr>
            <w:r>
              <w:t>1497.14</w:t>
            </w:r>
          </w:p>
        </w:tc>
        <w:tc>
          <w:tcPr>
            <w:tcW w:w="2552" w:type="dxa"/>
            <w:vAlign w:val="center"/>
          </w:tcPr>
          <w:p>
            <w:pPr>
              <w:pStyle w:val="15"/>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1338.04</w:t>
            </w:r>
          </w:p>
        </w:tc>
        <w:tc>
          <w:tcPr>
            <w:tcW w:w="2551" w:type="dxa"/>
            <w:vAlign w:val="center"/>
          </w:tcPr>
          <w:p>
            <w:pPr>
              <w:pStyle w:val="11"/>
            </w:pPr>
            <w:r>
              <w:t>1338.04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320.75</w:t>
            </w:r>
          </w:p>
        </w:tc>
        <w:tc>
          <w:tcPr>
            <w:tcW w:w="2551" w:type="dxa"/>
            <w:vAlign w:val="center"/>
          </w:tcPr>
          <w:p>
            <w:pPr>
              <w:pStyle w:val="11"/>
            </w:pPr>
            <w:r>
              <w:t>320.75</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374.04</w:t>
            </w:r>
          </w:p>
        </w:tc>
        <w:tc>
          <w:tcPr>
            <w:tcW w:w="2551" w:type="dxa"/>
            <w:vAlign w:val="center"/>
          </w:tcPr>
          <w:p>
            <w:pPr>
              <w:pStyle w:val="11"/>
            </w:pPr>
            <w:r>
              <w:t>374.04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196.64</w:t>
            </w:r>
          </w:p>
        </w:tc>
        <w:tc>
          <w:tcPr>
            <w:tcW w:w="2551" w:type="dxa"/>
            <w:vAlign w:val="center"/>
          </w:tcPr>
          <w:p>
            <w:pPr>
              <w:pStyle w:val="11"/>
            </w:pPr>
            <w:r>
              <w:t>196.64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37.32</w:t>
            </w:r>
          </w:p>
        </w:tc>
        <w:tc>
          <w:tcPr>
            <w:tcW w:w="2551" w:type="dxa"/>
            <w:vAlign w:val="center"/>
          </w:tcPr>
          <w:p>
            <w:pPr>
              <w:pStyle w:val="11"/>
            </w:pPr>
            <w:r>
              <w:t>37.32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148.89</w:t>
            </w:r>
          </w:p>
        </w:tc>
        <w:tc>
          <w:tcPr>
            <w:tcW w:w="2551" w:type="dxa"/>
            <w:vAlign w:val="center"/>
          </w:tcPr>
          <w:p>
            <w:pPr>
              <w:pStyle w:val="11"/>
            </w:pPr>
            <w:r>
              <w:t>148.89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51.97</w:t>
            </w:r>
          </w:p>
        </w:tc>
        <w:tc>
          <w:tcPr>
            <w:tcW w:w="2551" w:type="dxa"/>
            <w:vAlign w:val="center"/>
          </w:tcPr>
          <w:p>
            <w:pPr>
              <w:pStyle w:val="11"/>
            </w:pPr>
            <w:r>
              <w:t>51.97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40.22</w:t>
            </w:r>
          </w:p>
        </w:tc>
        <w:tc>
          <w:tcPr>
            <w:tcW w:w="2551" w:type="dxa"/>
            <w:vAlign w:val="center"/>
          </w:tcPr>
          <w:p>
            <w:pPr>
              <w:pStyle w:val="11"/>
            </w:pPr>
            <w:r>
              <w:t>40.22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54.48</w:t>
            </w:r>
          </w:p>
        </w:tc>
        <w:tc>
          <w:tcPr>
            <w:tcW w:w="2551" w:type="dxa"/>
            <w:vAlign w:val="center"/>
          </w:tcPr>
          <w:p>
            <w:pPr>
              <w:pStyle w:val="11"/>
            </w:pPr>
            <w:r>
              <w:t>54.48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113.73</w:t>
            </w:r>
          </w:p>
        </w:tc>
        <w:tc>
          <w:tcPr>
            <w:tcW w:w="2551" w:type="dxa"/>
            <w:vAlign w:val="center"/>
          </w:tcPr>
          <w:p>
            <w:pPr>
              <w:pStyle w:val="11"/>
            </w:pPr>
            <w:r>
              <w:t>113.73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156.30</w:t>
            </w:r>
          </w:p>
        </w:tc>
        <w:tc>
          <w:tcPr>
            <w:tcW w:w="2551" w:type="dxa"/>
            <w:vAlign w:val="center"/>
          </w:tcPr>
          <w:p>
            <w:pPr>
              <w:pStyle w:val="11"/>
            </w:pPr>
          </w:p>
        </w:tc>
        <w:tc>
          <w:tcPr>
            <w:tcW w:w="2552" w:type="dxa"/>
            <w:vAlign w:val="center"/>
          </w:tcPr>
          <w:p>
            <w:pPr>
              <w:pStyle w:val="11"/>
            </w:pPr>
            <w:r>
              <w:t>156.30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30.40</w:t>
            </w:r>
          </w:p>
        </w:tc>
        <w:tc>
          <w:tcPr>
            <w:tcW w:w="2551" w:type="dxa"/>
            <w:vAlign w:val="center"/>
          </w:tcPr>
          <w:p>
            <w:pPr>
              <w:pStyle w:val="11"/>
            </w:pPr>
          </w:p>
        </w:tc>
        <w:tc>
          <w:tcPr>
            <w:tcW w:w="2552" w:type="dxa"/>
            <w:vAlign w:val="center"/>
          </w:tcPr>
          <w:p>
            <w:pPr>
              <w:pStyle w:val="11"/>
            </w:pPr>
            <w:r>
              <w:t>30.40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37.68</w:t>
            </w:r>
          </w:p>
        </w:tc>
        <w:tc>
          <w:tcPr>
            <w:tcW w:w="2551" w:type="dxa"/>
            <w:vAlign w:val="center"/>
          </w:tcPr>
          <w:p>
            <w:pPr>
              <w:pStyle w:val="11"/>
            </w:pPr>
          </w:p>
        </w:tc>
        <w:tc>
          <w:tcPr>
            <w:tcW w:w="2552" w:type="dxa"/>
            <w:vAlign w:val="center"/>
          </w:tcPr>
          <w:p>
            <w:pPr>
              <w:pStyle w:val="11"/>
            </w:pPr>
            <w:r>
              <w:t>37.68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8.36</w:t>
            </w:r>
          </w:p>
        </w:tc>
        <w:tc>
          <w:tcPr>
            <w:tcW w:w="2551" w:type="dxa"/>
            <w:vAlign w:val="center"/>
          </w:tcPr>
          <w:p>
            <w:pPr>
              <w:pStyle w:val="11"/>
            </w:pPr>
          </w:p>
        </w:tc>
        <w:tc>
          <w:tcPr>
            <w:tcW w:w="2552" w:type="dxa"/>
            <w:vAlign w:val="center"/>
          </w:tcPr>
          <w:p>
            <w:pPr>
              <w:pStyle w:val="11"/>
            </w:pPr>
            <w:r>
              <w:t>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7.41</w:t>
            </w:r>
          </w:p>
        </w:tc>
        <w:tc>
          <w:tcPr>
            <w:tcW w:w="2551" w:type="dxa"/>
            <w:vAlign w:val="center"/>
          </w:tcPr>
          <w:p>
            <w:pPr>
              <w:pStyle w:val="11"/>
            </w:pPr>
          </w:p>
        </w:tc>
        <w:tc>
          <w:tcPr>
            <w:tcW w:w="2552" w:type="dxa"/>
            <w:vAlign w:val="center"/>
          </w:tcPr>
          <w:p>
            <w:pPr>
              <w:pStyle w:val="11"/>
            </w:pPr>
            <w:r>
              <w:t>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24.20</w:t>
            </w:r>
          </w:p>
        </w:tc>
        <w:tc>
          <w:tcPr>
            <w:tcW w:w="2551" w:type="dxa"/>
            <w:vAlign w:val="center"/>
          </w:tcPr>
          <w:p>
            <w:pPr>
              <w:pStyle w:val="11"/>
            </w:pPr>
          </w:p>
        </w:tc>
        <w:tc>
          <w:tcPr>
            <w:tcW w:w="2552" w:type="dxa"/>
            <w:vAlign w:val="center"/>
          </w:tcPr>
          <w:p>
            <w:pPr>
              <w:pStyle w:val="11"/>
            </w:pPr>
            <w:r>
              <w:t>24.20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44.51</w:t>
            </w:r>
          </w:p>
        </w:tc>
        <w:tc>
          <w:tcPr>
            <w:tcW w:w="2551" w:type="dxa"/>
            <w:vAlign w:val="center"/>
          </w:tcPr>
          <w:p>
            <w:pPr>
              <w:pStyle w:val="11"/>
            </w:pPr>
          </w:p>
        </w:tc>
        <w:tc>
          <w:tcPr>
            <w:tcW w:w="2552" w:type="dxa"/>
            <w:vAlign w:val="center"/>
          </w:tcPr>
          <w:p>
            <w:pPr>
              <w:pStyle w:val="11"/>
            </w:pPr>
            <w:r>
              <w:t>44.51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3.74</w:t>
            </w:r>
          </w:p>
        </w:tc>
        <w:tc>
          <w:tcPr>
            <w:tcW w:w="2551" w:type="dxa"/>
            <w:vAlign w:val="center"/>
          </w:tcPr>
          <w:p>
            <w:pPr>
              <w:pStyle w:val="11"/>
            </w:pPr>
          </w:p>
        </w:tc>
        <w:tc>
          <w:tcPr>
            <w:tcW w:w="2552" w:type="dxa"/>
            <w:vAlign w:val="center"/>
          </w:tcPr>
          <w:p>
            <w:pPr>
              <w:pStyle w:val="11"/>
            </w:pPr>
            <w:r>
              <w:t>3.74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159.11</w:t>
            </w:r>
          </w:p>
        </w:tc>
        <w:tc>
          <w:tcPr>
            <w:tcW w:w="2551" w:type="dxa"/>
            <w:vAlign w:val="center"/>
          </w:tcPr>
          <w:p>
            <w:pPr>
              <w:pStyle w:val="11"/>
            </w:pPr>
            <w:r>
              <w:t>159.11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155.91</w:t>
            </w:r>
          </w:p>
        </w:tc>
        <w:tc>
          <w:tcPr>
            <w:tcW w:w="2551" w:type="dxa"/>
            <w:vAlign w:val="center"/>
          </w:tcPr>
          <w:p>
            <w:pPr>
              <w:pStyle w:val="11"/>
            </w:pPr>
            <w:r>
              <w:t>155.91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3.16</w:t>
            </w:r>
          </w:p>
        </w:tc>
        <w:tc>
          <w:tcPr>
            <w:tcW w:w="2551" w:type="dxa"/>
            <w:vAlign w:val="center"/>
          </w:tcPr>
          <w:p>
            <w:pPr>
              <w:pStyle w:val="11"/>
            </w:pPr>
            <w:r>
              <w:t>3.16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0.04</w:t>
            </w:r>
          </w:p>
        </w:tc>
        <w:tc>
          <w:tcPr>
            <w:tcW w:w="2551" w:type="dxa"/>
            <w:vAlign w:val="center"/>
          </w:tcPr>
          <w:p>
            <w:pPr>
              <w:pStyle w:val="11"/>
            </w:pPr>
            <w:r>
              <w:t>0.04</w:t>
            </w:r>
          </w:p>
        </w:tc>
        <w:tc>
          <w:tcPr>
            <w:tcW w:w="2552"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rPr>
          <w:rFonts w:ascii="方正小标宋_GBK" w:hAnsi="方正小标宋_GBK" w:eastAsia="方正小标宋_GBK" w:cs="方正小标宋_GBK"/>
          <w:color w:val="000000"/>
          <w:sz w:val="36"/>
        </w:rPr>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p>
      <w:pPr>
        <w:ind w:firstLine="420"/>
        <w:rPr>
          <w:rFonts w:eastAsia="方正书宋_GBK" w:cs="方正书宋_GBK" w:asciiTheme="minorHAnsi" w:hAnsiTheme="minorHAnsi"/>
          <w:color w:val="000000"/>
          <w:sz w:val="21"/>
          <w:lang w:val="uk-UA"/>
        </w:rPr>
      </w:pPr>
    </w:p>
    <w:tbl>
      <w:tblPr>
        <w:tblStyle w:val="4"/>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2523"/>
        <w:gridCol w:w="2835"/>
        <w:gridCol w:w="2693"/>
        <w:gridCol w:w="2410"/>
        <w:gridCol w:w="286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208" w:type="dxa"/>
            <w:gridSpan w:val="3"/>
            <w:tcBorders>
              <w:top w:val="single" w:color="FFFFFF" w:sz="6" w:space="0"/>
              <w:left w:val="single" w:color="FFFFFF" w:sz="6" w:space="0"/>
              <w:right w:val="single" w:color="FFFFFF" w:sz="6" w:space="0"/>
            </w:tcBorders>
            <w:vAlign w:val="center"/>
          </w:tcPr>
          <w:p>
            <w:pPr>
              <w:pStyle w:val="9"/>
              <w:rPr>
                <w:rFonts w:eastAsia="方正书宋_GBK" w:cs="方正书宋_GBK" w:asciiTheme="minorHAnsi" w:hAnsiTheme="minorHAnsi"/>
                <w:color w:val="000000"/>
                <w:sz w:val="21"/>
              </w:rPr>
            </w:pPr>
            <w:r>
              <w:t>222中国共产党石家庄市藁城区纪律检查委员会</w:t>
            </w:r>
          </w:p>
        </w:tc>
        <w:tc>
          <w:tcPr>
            <w:tcW w:w="2693" w:type="dxa"/>
            <w:tcBorders>
              <w:top w:val="single" w:color="FFFFFF" w:sz="6" w:space="0"/>
              <w:left w:val="single" w:color="FFFFFF" w:sz="6" w:space="0"/>
              <w:right w:val="single" w:color="FFFFFF" w:sz="6" w:space="0"/>
            </w:tcBorders>
            <w:vAlign w:val="center"/>
          </w:tcPr>
          <w:p>
            <w:pPr>
              <w:pStyle w:val="9"/>
            </w:pPr>
            <w:r>
              <w:t>预算年度：2024</w:t>
            </w:r>
          </w:p>
        </w:tc>
        <w:tc>
          <w:tcPr>
            <w:tcW w:w="5272" w:type="dxa"/>
            <w:gridSpan w:val="2"/>
            <w:tcBorders>
              <w:top w:val="single" w:color="FFFFFF" w:sz="6" w:space="0"/>
              <w:left w:val="single" w:color="FFFFFF" w:sz="6" w:space="0"/>
              <w:right w:val="single" w:color="FFFFFF" w:sz="6" w:space="0"/>
            </w:tcBorders>
            <w:vAlign w:val="center"/>
          </w:tcPr>
          <w:p>
            <w:pPr>
              <w:pStyle w:val="9"/>
              <w:ind w:firstLine="3120" w:firstLineChars="130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rPr>
                <w:rFonts w:asciiTheme="minorHAnsi" w:hAnsiTheme="minorHAnsi"/>
                <w:color w:val="000000"/>
              </w:rPr>
            </w:pPr>
            <w:r>
              <w:t>序号</w:t>
            </w:r>
          </w:p>
        </w:tc>
        <w:tc>
          <w:tcPr>
            <w:tcW w:w="2523" w:type="dxa"/>
            <w:vMerge w:val="restart"/>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项目</w:t>
            </w:r>
          </w:p>
        </w:tc>
        <w:tc>
          <w:tcPr>
            <w:tcW w:w="10800" w:type="dxa"/>
            <w:gridSpan w:val="4"/>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ind w:firstLine="420"/>
              <w:rPr>
                <w:rFonts w:eastAsia="方正书宋_GBK" w:cs="方正书宋_GBK" w:asciiTheme="minorHAnsi" w:hAnsiTheme="minorHAnsi"/>
                <w:color w:val="000000"/>
                <w:sz w:val="21"/>
              </w:rPr>
            </w:pPr>
          </w:p>
        </w:tc>
        <w:tc>
          <w:tcPr>
            <w:tcW w:w="2523" w:type="dxa"/>
            <w:vMerge w:val="continue"/>
          </w:tcPr>
          <w:p>
            <w:pPr>
              <w:ind w:firstLine="420"/>
              <w:rPr>
                <w:rFonts w:eastAsia="方正书宋_GBK" w:cs="方正书宋_GBK" w:asciiTheme="minorHAnsi" w:hAnsiTheme="minorHAnsi"/>
                <w:color w:val="000000"/>
                <w:sz w:val="21"/>
              </w:rPr>
            </w:pPr>
          </w:p>
        </w:tc>
        <w:tc>
          <w:tcPr>
            <w:tcW w:w="2835"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合计</w:t>
            </w:r>
          </w:p>
        </w:tc>
        <w:tc>
          <w:tcPr>
            <w:tcW w:w="2693" w:type="dxa"/>
            <w:vAlign w:val="center"/>
          </w:tcPr>
          <w:p>
            <w:pPr>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一般公共预算 财政拨款</w:t>
            </w:r>
          </w:p>
        </w:tc>
        <w:tc>
          <w:tcPr>
            <w:tcW w:w="2410" w:type="dxa"/>
            <w:vAlign w:val="center"/>
          </w:tcPr>
          <w:p>
            <w:pPr>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政府性基金预算拨款</w:t>
            </w:r>
          </w:p>
        </w:tc>
        <w:tc>
          <w:tcPr>
            <w:tcW w:w="2862" w:type="dxa"/>
            <w:vAlign w:val="center"/>
          </w:tcPr>
          <w:p>
            <w:pPr>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栏次</w:t>
            </w:r>
          </w:p>
        </w:tc>
        <w:tc>
          <w:tcPr>
            <w:tcW w:w="2523"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1</w:t>
            </w:r>
          </w:p>
        </w:tc>
        <w:tc>
          <w:tcPr>
            <w:tcW w:w="2835"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2</w:t>
            </w:r>
          </w:p>
        </w:tc>
        <w:tc>
          <w:tcPr>
            <w:tcW w:w="2693"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3</w:t>
            </w:r>
          </w:p>
        </w:tc>
        <w:tc>
          <w:tcPr>
            <w:tcW w:w="2410"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4</w:t>
            </w:r>
          </w:p>
        </w:tc>
        <w:tc>
          <w:tcPr>
            <w:tcW w:w="2862"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1</w:t>
            </w:r>
          </w:p>
        </w:tc>
        <w:tc>
          <w:tcPr>
            <w:tcW w:w="2523"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合计</w:t>
            </w:r>
          </w:p>
        </w:tc>
        <w:tc>
          <w:tcPr>
            <w:tcW w:w="2835" w:type="dxa"/>
            <w:vAlign w:val="center"/>
          </w:tcPr>
          <w:p>
            <w:pPr>
              <w:ind w:firstLine="420"/>
              <w:rPr>
                <w:rFonts w:eastAsia="方正书宋_GBK" w:cs="方正书宋_GBK" w:asciiTheme="minorHAnsi" w:hAnsiTheme="minorHAnsi"/>
                <w:b/>
                <w:color w:val="000000"/>
                <w:sz w:val="21"/>
              </w:rPr>
            </w:pPr>
            <w:r>
              <w:rPr>
                <w:rFonts w:eastAsia="方正书宋_GBK" w:cs="方正书宋_GBK" w:asciiTheme="minorHAnsi" w:hAnsiTheme="minorHAnsi"/>
                <w:b/>
                <w:color w:val="000000"/>
                <w:sz w:val="21"/>
              </w:rPr>
              <w:t>24.2</w:t>
            </w:r>
          </w:p>
        </w:tc>
        <w:tc>
          <w:tcPr>
            <w:tcW w:w="2693" w:type="dxa"/>
            <w:vAlign w:val="center"/>
          </w:tcPr>
          <w:p>
            <w:pPr>
              <w:ind w:firstLine="420"/>
              <w:rPr>
                <w:rFonts w:hint="eastAsia" w:eastAsia="方正书宋_GBK" w:cs="方正书宋_GBK" w:asciiTheme="minorHAnsi" w:hAnsiTheme="minorHAnsi"/>
                <w:b/>
                <w:color w:val="000000"/>
                <w:sz w:val="21"/>
              </w:rPr>
            </w:pPr>
            <w:r>
              <w:rPr>
                <w:rFonts w:eastAsia="方正书宋_GBK" w:cs="方正书宋_GBK" w:asciiTheme="minorHAnsi" w:hAnsiTheme="minorHAnsi"/>
                <w:b/>
                <w:color w:val="000000"/>
                <w:sz w:val="21"/>
              </w:rPr>
              <w:t>24.2</w:t>
            </w:r>
          </w:p>
        </w:tc>
        <w:tc>
          <w:tcPr>
            <w:tcW w:w="2410" w:type="dxa"/>
            <w:vAlign w:val="center"/>
          </w:tcPr>
          <w:p>
            <w:pPr>
              <w:ind w:firstLine="420"/>
              <w:rPr>
                <w:rFonts w:eastAsia="方正书宋_GBK" w:cs="方正书宋_GBK" w:asciiTheme="minorHAnsi" w:hAnsiTheme="minorHAnsi"/>
                <w:b/>
                <w:color w:val="000000"/>
                <w:sz w:val="21"/>
              </w:rPr>
            </w:pPr>
          </w:p>
        </w:tc>
        <w:tc>
          <w:tcPr>
            <w:tcW w:w="2862" w:type="dxa"/>
            <w:vAlign w:val="center"/>
          </w:tcPr>
          <w:p>
            <w:pPr>
              <w:ind w:firstLine="420"/>
              <w:rPr>
                <w:rFonts w:eastAsia="方正书宋_GBK" w:cs="方正书宋_GBK" w:asciiTheme="minorHAnsi" w:hAnsiTheme="minorHAnsi"/>
                <w:b/>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2</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“三公”经费小计</w:t>
            </w:r>
          </w:p>
        </w:tc>
        <w:tc>
          <w:tcPr>
            <w:tcW w:w="2835" w:type="dxa"/>
            <w:vAlign w:val="center"/>
          </w:tcPr>
          <w:p>
            <w:pPr>
              <w:ind w:firstLine="420"/>
              <w:rPr>
                <w:rFonts w:hint="eastAsia" w:eastAsia="方正书宋_GBK" w:cs="方正书宋_GBK" w:asciiTheme="minorHAnsi" w:hAnsiTheme="minorHAnsi"/>
                <w:color w:val="000000"/>
                <w:sz w:val="21"/>
              </w:rPr>
            </w:pPr>
            <w:r>
              <w:rPr>
                <w:rFonts w:eastAsia="方正书宋_GBK" w:cs="方正书宋_GBK" w:asciiTheme="minorHAnsi" w:hAnsiTheme="minorHAnsi"/>
                <w:color w:val="000000"/>
                <w:sz w:val="21"/>
              </w:rPr>
              <w:t>24.2</w:t>
            </w:r>
          </w:p>
        </w:tc>
        <w:tc>
          <w:tcPr>
            <w:tcW w:w="2693" w:type="dxa"/>
            <w:vAlign w:val="center"/>
          </w:tcPr>
          <w:p>
            <w:pPr>
              <w:ind w:firstLine="420"/>
              <w:rPr>
                <w:rFonts w:hint="eastAsia" w:eastAsia="方正书宋_GBK" w:cs="方正书宋_GBK" w:asciiTheme="minorHAnsi" w:hAnsiTheme="minorHAnsi"/>
                <w:color w:val="000000"/>
                <w:sz w:val="21"/>
              </w:rPr>
            </w:pPr>
            <w:r>
              <w:rPr>
                <w:rFonts w:eastAsia="方正书宋_GBK" w:cs="方正书宋_GBK" w:asciiTheme="minorHAnsi" w:hAnsiTheme="minorHAnsi"/>
                <w:color w:val="000000"/>
                <w:sz w:val="21"/>
              </w:rPr>
              <w:t>24.2</w:t>
            </w: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3</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一、因公出国（境）费</w:t>
            </w:r>
          </w:p>
        </w:tc>
        <w:tc>
          <w:tcPr>
            <w:tcW w:w="2835" w:type="dxa"/>
            <w:vAlign w:val="center"/>
          </w:tcPr>
          <w:p>
            <w:pPr>
              <w:ind w:firstLine="420"/>
              <w:rPr>
                <w:rFonts w:eastAsia="方正书宋_GBK" w:cs="方正书宋_GBK" w:asciiTheme="minorHAnsi" w:hAnsiTheme="minorHAnsi"/>
                <w:color w:val="000000"/>
                <w:sz w:val="21"/>
              </w:rPr>
            </w:pPr>
          </w:p>
        </w:tc>
        <w:tc>
          <w:tcPr>
            <w:tcW w:w="2693" w:type="dxa"/>
            <w:vAlign w:val="center"/>
          </w:tcPr>
          <w:p>
            <w:pPr>
              <w:ind w:firstLine="420"/>
              <w:rPr>
                <w:rFonts w:eastAsia="方正书宋_GBK" w:cs="方正书宋_GBK" w:asciiTheme="minorHAnsi" w:hAnsiTheme="minorHAnsi"/>
                <w:color w:val="000000"/>
                <w:sz w:val="21"/>
              </w:rPr>
            </w:pP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4</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其中：教学科研人员因公出国（境）费</w:t>
            </w:r>
          </w:p>
        </w:tc>
        <w:tc>
          <w:tcPr>
            <w:tcW w:w="2835" w:type="dxa"/>
            <w:vAlign w:val="center"/>
          </w:tcPr>
          <w:p>
            <w:pPr>
              <w:ind w:firstLine="420"/>
              <w:rPr>
                <w:rFonts w:eastAsia="方正书宋_GBK" w:cs="方正书宋_GBK" w:asciiTheme="minorHAnsi" w:hAnsiTheme="minorHAnsi"/>
                <w:color w:val="000000"/>
                <w:sz w:val="21"/>
              </w:rPr>
            </w:pPr>
          </w:p>
        </w:tc>
        <w:tc>
          <w:tcPr>
            <w:tcW w:w="2693" w:type="dxa"/>
            <w:vAlign w:val="center"/>
          </w:tcPr>
          <w:p>
            <w:pPr>
              <w:ind w:firstLine="420"/>
              <w:rPr>
                <w:rFonts w:eastAsia="方正书宋_GBK" w:cs="方正书宋_GBK" w:asciiTheme="minorHAnsi" w:hAnsiTheme="minorHAnsi"/>
                <w:color w:val="000000"/>
                <w:sz w:val="21"/>
              </w:rPr>
            </w:pP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5</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其他因公出国（境）费</w:t>
            </w:r>
          </w:p>
        </w:tc>
        <w:tc>
          <w:tcPr>
            <w:tcW w:w="2835" w:type="dxa"/>
            <w:vAlign w:val="center"/>
          </w:tcPr>
          <w:p>
            <w:pPr>
              <w:ind w:firstLine="420"/>
              <w:rPr>
                <w:rFonts w:eastAsia="方正书宋_GBK" w:cs="方正书宋_GBK" w:asciiTheme="minorHAnsi" w:hAnsiTheme="minorHAnsi"/>
                <w:color w:val="000000"/>
                <w:sz w:val="21"/>
              </w:rPr>
            </w:pPr>
          </w:p>
        </w:tc>
        <w:tc>
          <w:tcPr>
            <w:tcW w:w="2693" w:type="dxa"/>
            <w:vAlign w:val="center"/>
          </w:tcPr>
          <w:p>
            <w:pPr>
              <w:ind w:firstLine="420"/>
              <w:rPr>
                <w:rFonts w:eastAsia="方正书宋_GBK" w:cs="方正书宋_GBK" w:asciiTheme="minorHAnsi" w:hAnsiTheme="minorHAnsi"/>
                <w:color w:val="000000"/>
                <w:sz w:val="21"/>
              </w:rPr>
            </w:pP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6</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二、公务用车购置及运维费</w:t>
            </w:r>
          </w:p>
        </w:tc>
        <w:tc>
          <w:tcPr>
            <w:tcW w:w="2835" w:type="dxa"/>
            <w:vAlign w:val="center"/>
          </w:tcPr>
          <w:p>
            <w:pPr>
              <w:ind w:firstLine="420"/>
              <w:rPr>
                <w:rFonts w:hint="eastAsia" w:eastAsia="方正书宋_GBK" w:cs="方正书宋_GBK" w:asciiTheme="minorHAnsi" w:hAnsiTheme="minorHAnsi"/>
                <w:color w:val="000000"/>
                <w:sz w:val="21"/>
              </w:rPr>
            </w:pPr>
            <w:r>
              <w:rPr>
                <w:rFonts w:eastAsia="方正书宋_GBK" w:cs="方正书宋_GBK" w:asciiTheme="minorHAnsi" w:hAnsiTheme="minorHAnsi"/>
                <w:color w:val="000000"/>
                <w:sz w:val="21"/>
              </w:rPr>
              <w:t>24.2</w:t>
            </w:r>
          </w:p>
        </w:tc>
        <w:tc>
          <w:tcPr>
            <w:tcW w:w="2693" w:type="dxa"/>
            <w:vAlign w:val="center"/>
          </w:tcPr>
          <w:p>
            <w:pPr>
              <w:ind w:firstLine="420"/>
              <w:rPr>
                <w:rFonts w:hint="eastAsia" w:eastAsia="方正书宋_GBK" w:cs="方正书宋_GBK" w:asciiTheme="minorHAnsi" w:hAnsiTheme="minorHAnsi"/>
                <w:color w:val="000000"/>
                <w:sz w:val="21"/>
                <w:lang w:val="uk-UA"/>
              </w:rPr>
            </w:pPr>
            <w:r>
              <w:rPr>
                <w:rFonts w:eastAsia="方正书宋_GBK" w:cs="方正书宋_GBK" w:asciiTheme="minorHAnsi" w:hAnsiTheme="minorHAnsi"/>
                <w:color w:val="000000"/>
                <w:sz w:val="21"/>
              </w:rPr>
              <w:t>24.2</w:t>
            </w: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7</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其中：公务用车购置费</w:t>
            </w:r>
          </w:p>
        </w:tc>
        <w:tc>
          <w:tcPr>
            <w:tcW w:w="2835" w:type="dxa"/>
            <w:vAlign w:val="center"/>
          </w:tcPr>
          <w:p>
            <w:pPr>
              <w:ind w:firstLine="420"/>
              <w:rPr>
                <w:rFonts w:eastAsia="方正书宋_GBK" w:cs="方正书宋_GBK" w:asciiTheme="minorHAnsi" w:hAnsiTheme="minorHAnsi"/>
                <w:color w:val="000000"/>
                <w:sz w:val="21"/>
              </w:rPr>
            </w:pPr>
          </w:p>
        </w:tc>
        <w:tc>
          <w:tcPr>
            <w:tcW w:w="2693" w:type="dxa"/>
            <w:vAlign w:val="center"/>
          </w:tcPr>
          <w:p>
            <w:pPr>
              <w:ind w:firstLine="420"/>
              <w:rPr>
                <w:rFonts w:eastAsia="方正书宋_GBK" w:cs="方正书宋_GBK" w:asciiTheme="minorHAnsi" w:hAnsiTheme="minorHAnsi"/>
                <w:color w:val="000000"/>
                <w:sz w:val="21"/>
              </w:rPr>
            </w:pP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8</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公务用车运行维护费</w:t>
            </w:r>
          </w:p>
        </w:tc>
        <w:tc>
          <w:tcPr>
            <w:tcW w:w="2835"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24.20</w:t>
            </w:r>
          </w:p>
        </w:tc>
        <w:tc>
          <w:tcPr>
            <w:tcW w:w="269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24.20</w:t>
            </w: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9</w:t>
            </w:r>
          </w:p>
        </w:tc>
        <w:tc>
          <w:tcPr>
            <w:tcW w:w="2523" w:type="dxa"/>
            <w:vAlign w:val="center"/>
          </w:tcPr>
          <w:p>
            <w:pPr>
              <w:ind w:firstLine="420"/>
              <w:rPr>
                <w:rFonts w:eastAsia="方正书宋_GBK" w:cs="方正书宋_GBK" w:asciiTheme="minorHAnsi" w:hAnsiTheme="minorHAnsi"/>
                <w:color w:val="000000"/>
                <w:sz w:val="21"/>
              </w:rPr>
            </w:pPr>
            <w:r>
              <w:rPr>
                <w:rFonts w:eastAsia="方正书宋_GBK" w:cs="方正书宋_GBK" w:asciiTheme="minorHAnsi" w:hAnsiTheme="minorHAnsi"/>
                <w:color w:val="000000"/>
                <w:sz w:val="21"/>
              </w:rPr>
              <w:t>三、公务接待费</w:t>
            </w:r>
          </w:p>
        </w:tc>
        <w:tc>
          <w:tcPr>
            <w:tcW w:w="2835" w:type="dxa"/>
            <w:vAlign w:val="center"/>
          </w:tcPr>
          <w:p>
            <w:pPr>
              <w:ind w:firstLine="420"/>
              <w:rPr>
                <w:rFonts w:eastAsia="方正书宋_GBK" w:cs="方正书宋_GBK" w:asciiTheme="minorHAnsi" w:hAnsiTheme="minorHAnsi"/>
                <w:color w:val="000000"/>
                <w:sz w:val="21"/>
              </w:rPr>
            </w:pPr>
          </w:p>
        </w:tc>
        <w:tc>
          <w:tcPr>
            <w:tcW w:w="2693" w:type="dxa"/>
            <w:vAlign w:val="center"/>
          </w:tcPr>
          <w:p>
            <w:pPr>
              <w:ind w:firstLine="420"/>
              <w:rPr>
                <w:rFonts w:eastAsia="方正书宋_GBK" w:cs="方正书宋_GBK" w:asciiTheme="minorHAnsi" w:hAnsiTheme="minorHAnsi"/>
                <w:color w:val="000000"/>
                <w:sz w:val="21"/>
              </w:rPr>
            </w:pPr>
          </w:p>
        </w:tc>
        <w:tc>
          <w:tcPr>
            <w:tcW w:w="2410" w:type="dxa"/>
            <w:vAlign w:val="center"/>
          </w:tcPr>
          <w:p>
            <w:pPr>
              <w:ind w:firstLine="420"/>
              <w:rPr>
                <w:rFonts w:eastAsia="方正书宋_GBK" w:cs="方正书宋_GBK" w:asciiTheme="minorHAnsi" w:hAnsiTheme="minorHAnsi"/>
                <w:color w:val="000000"/>
                <w:sz w:val="21"/>
              </w:rPr>
            </w:pPr>
          </w:p>
        </w:tc>
        <w:tc>
          <w:tcPr>
            <w:tcW w:w="2862" w:type="dxa"/>
            <w:vAlign w:val="center"/>
          </w:tcPr>
          <w:p>
            <w:pPr>
              <w:ind w:firstLine="420"/>
              <w:rPr>
                <w:rFonts w:eastAsia="方正书宋_GBK" w:cs="方正书宋_GBK" w:asciiTheme="minorHAnsi" w:hAnsiTheme="minorHAnsi"/>
                <w:color w:val="000000"/>
                <w:sz w:val="21"/>
              </w:rPr>
            </w:pPr>
          </w:p>
        </w:tc>
      </w:tr>
    </w:tbl>
    <w:p>
      <w:pPr>
        <w:ind w:firstLine="420"/>
        <w:rPr>
          <w:rFonts w:asciiTheme="minorHAnsi" w:hAnsiTheme="minorHAnsi"/>
          <w:lang w:val="uk-UA"/>
        </w:rPr>
      </w:pP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中国共产党石家庄市藁城区纪律检查委员会2024年部门预算信息公开情况说明</w:t>
      </w:r>
    </w:p>
    <w:p>
      <w:pPr>
        <w:jc w:val="center"/>
      </w:pPr>
      <w:r>
        <w:rPr>
          <w:rFonts w:ascii="方正小标宋_GBK" w:hAnsi="方正小标宋_GBK" w:eastAsia="方正小标宋_GBK" w:cs="方正小标宋_GBK"/>
          <w:color w:val="000000"/>
          <w:sz w:val="44"/>
        </w:rPr>
        <w:t>中国共产党石家庄市藁城区纪律检查委员会2024年部门预算信息公开情况说明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按照《中华人民共和国预算法》、《地方预决算公开操作规程》和《关于进一步推进预算公开工作的实施意见》规定，现将中国共产党石家庄市藁城区纪律检查委员会2024年部门预算公开如下：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spacing w:line="500" w:lineRule="exact"/>
        <w:ind w:firstLine="560"/>
        <w:rPr>
          <w:rFonts w:eastAsia="方正仿宋_GBK"/>
          <w:sz w:val="28"/>
        </w:rPr>
      </w:pPr>
      <w:r>
        <w:rPr>
          <w:rFonts w:eastAsia="方正仿宋_GBK"/>
          <w:sz w:val="28"/>
        </w:rPr>
        <w:t>（一）负责全区党的纪律检查工作。贯彻落实党中央和省、市、区委关于纪律检查工作的决策部署，维护党的章程和其他党内法规，检查党的路线方针政策和决议的执行情况，协助区委推进全面从严治党、加强党风建设和组织协调反腐败工作。</w:t>
      </w:r>
    </w:p>
    <w:p>
      <w:pPr>
        <w:spacing w:line="500" w:lineRule="exact"/>
        <w:ind w:firstLine="560"/>
        <w:rPr>
          <w:rFonts w:eastAsia="方正仿宋_GBK"/>
          <w:sz w:val="28"/>
        </w:rPr>
      </w:pPr>
      <w:r>
        <w:rPr>
          <w:rFonts w:eastAsia="方正仿宋_GBK"/>
          <w:sz w:val="28"/>
        </w:rPr>
        <w:t>（二）依照党的章程和其他党内法规履行监督、执纪、问责职责。负责经常对党员进行遵守纪律的教育，作出关于维护党纪的决定；对区委工作机关、区委批准设立的党组（党委），各乡镇党委、纪委等党的组织和区委管理的党员领导干部履行职责、行使权力进行监督，受理处置党员群众检举举报，开展谈话提醒、约谈函询；检查和处理上述党的组织和党员违反党的章程和其他党内法规的比较重要或者复杂的案件，决定或者取消对这些案件中的党员的处分；进行问责或者提出责任追究的建议；受理党员的控告和申诉；保障党员的权利。</w:t>
      </w:r>
    </w:p>
    <w:p>
      <w:pPr>
        <w:spacing w:line="500" w:lineRule="exact"/>
        <w:ind w:firstLine="560"/>
        <w:rPr>
          <w:rFonts w:eastAsia="方正仿宋_GBK"/>
          <w:sz w:val="28"/>
        </w:rPr>
      </w:pPr>
      <w:r>
        <w:rPr>
          <w:rFonts w:eastAsia="方正仿宋_GBK"/>
          <w:sz w:val="28"/>
        </w:rPr>
        <w:t>（三）支持配合巡视巡察工作。承担巡视巡察整改日常监督责任，做好巡视巡察整改督查督办工作，依规依纪依法处置中央、省、市巡视巡察移交的反映干部问题线索。</w:t>
      </w:r>
    </w:p>
    <w:p>
      <w:pPr>
        <w:spacing w:line="500" w:lineRule="exact"/>
        <w:ind w:firstLine="560"/>
        <w:rPr>
          <w:rFonts w:eastAsia="方正仿宋_GBK"/>
          <w:sz w:val="28"/>
        </w:rPr>
      </w:pPr>
      <w:r>
        <w:rPr>
          <w:rFonts w:eastAsia="方正仿宋_GBK"/>
          <w:sz w:val="28"/>
        </w:rPr>
        <w:t>（四）负责全区监察工作。贯彻落实上级机关关于监察工作的决策部署，维护宪法法律，依法对区委管理的行使公权力的公职人员进行监察，调查职务违法和职务犯罪，开展廉政建设和反腐败工作。</w:t>
      </w:r>
    </w:p>
    <w:p>
      <w:pPr>
        <w:spacing w:line="500" w:lineRule="exact"/>
        <w:ind w:firstLine="560"/>
        <w:rPr>
          <w:rFonts w:eastAsia="方正仿宋_GBK"/>
          <w:sz w:val="28"/>
        </w:rPr>
      </w:pPr>
      <w:r>
        <w:rPr>
          <w:rFonts w:eastAsia="方正仿宋_GBK"/>
          <w:sz w:val="28"/>
        </w:rPr>
        <w:t>（五）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spacing w:line="500" w:lineRule="exact"/>
        <w:ind w:firstLine="560"/>
        <w:rPr>
          <w:rFonts w:eastAsia="方正仿宋_GBK"/>
          <w:sz w:val="28"/>
        </w:rPr>
      </w:pPr>
      <w:r>
        <w:rPr>
          <w:rFonts w:eastAsia="方正仿宋_GBK"/>
          <w:sz w:val="28"/>
        </w:rPr>
        <w:t>（六）负责组织协调全面从严治党、党风廉政建设和反腐败宣传教育工作。</w:t>
      </w:r>
    </w:p>
    <w:p>
      <w:pPr>
        <w:spacing w:line="500" w:lineRule="exact"/>
        <w:ind w:firstLine="560"/>
        <w:rPr>
          <w:rFonts w:eastAsia="方正仿宋_GBK"/>
          <w:sz w:val="28"/>
        </w:rPr>
      </w:pPr>
      <w:r>
        <w:rPr>
          <w:rFonts w:eastAsia="方正仿宋_GBK"/>
          <w:sz w:val="28"/>
        </w:rPr>
        <w:t>（七）负责综合分析全面从严治党、党风廉政建设和反腐败工作情况，对纪检监察工作重要理论及实践问题进行调查研究；制定或者修改全区纪检监察法规制度，参与起草有关法律法规和规范性文件。</w:t>
      </w:r>
    </w:p>
    <w:p>
      <w:pPr>
        <w:spacing w:line="500" w:lineRule="exact"/>
        <w:ind w:firstLine="560"/>
        <w:rPr>
          <w:rFonts w:eastAsia="方正仿宋_GBK"/>
          <w:sz w:val="28"/>
        </w:rPr>
      </w:pPr>
      <w:r>
        <w:rPr>
          <w:rFonts w:eastAsia="方正仿宋_GBK"/>
          <w:sz w:val="28"/>
        </w:rPr>
        <w:t>（八）负责组织协调全区反腐败追逃追赃和防逃工作，督促有关单位做好相关工作。</w:t>
      </w:r>
    </w:p>
    <w:p>
      <w:pPr>
        <w:spacing w:line="500" w:lineRule="exact"/>
        <w:ind w:firstLine="560"/>
        <w:rPr>
          <w:rFonts w:eastAsia="方正仿宋_GBK"/>
          <w:sz w:val="28"/>
        </w:rPr>
      </w:pPr>
      <w:r>
        <w:rPr>
          <w:rFonts w:eastAsia="方正仿宋_GBK"/>
          <w:sz w:val="28"/>
        </w:rPr>
        <w:t>（九）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组织和指导全区纪检监察干部教育培训工作等。</w:t>
      </w:r>
    </w:p>
    <w:p>
      <w:pPr>
        <w:spacing w:line="500" w:lineRule="exact"/>
        <w:ind w:firstLine="560"/>
        <w:rPr>
          <w:rFonts w:eastAsia="方正仿宋_GBK"/>
          <w:sz w:val="28"/>
        </w:rPr>
      </w:pPr>
      <w:r>
        <w:rPr>
          <w:rFonts w:eastAsia="方正仿宋_GBK"/>
          <w:sz w:val="28"/>
        </w:rPr>
        <w:t>（十）完成上级纪委、监委和区委交办的其他任务。</w:t>
      </w: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rPr>
          <w:rFonts w:eastAsia="方正楷体_GBK" w:cs="方正楷体_GBK" w:asciiTheme="minorHAnsi" w:hAnsiTheme="minorHAnsi"/>
          <w:b/>
          <w:color w:val="000000"/>
          <w:sz w:val="32"/>
          <w:lang w:val="uk-UA"/>
        </w:rPr>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中国共产党石家庄市藁城区纪律检查委员会本级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8"/>
      </w:pPr>
      <w:r>
        <w:t>1、收入说明</w:t>
      </w:r>
    </w:p>
    <w:p>
      <w:pPr>
        <w:pStyle w:val="18"/>
      </w:pPr>
      <w:r>
        <w:t>2024年预算收入1964.56万元，其中：一般公共预算收入1964.56万元，基金预算收入0万元，财政专户核拨收入0万元，其他来源收入0万元。</w:t>
      </w:r>
    </w:p>
    <w:p>
      <w:pPr>
        <w:pStyle w:val="18"/>
      </w:pPr>
      <w:r>
        <w:t>2、支出说明</w:t>
      </w:r>
    </w:p>
    <w:p>
      <w:pPr>
        <w:pStyle w:val="18"/>
      </w:pPr>
      <w:r>
        <w:t>2024年本部门支出预算为1964.56万元，其中基本支出1653.44万元，包括人员经费1497.14万元和日常公用经费156.3万元；项目支出311.11万元，主要为办案专项支出、大要案专项工作经费支出、机关服务物业管理费支出、纪委监委信息系统建设支出等。</w:t>
      </w:r>
    </w:p>
    <w:p>
      <w:pPr>
        <w:pStyle w:val="18"/>
      </w:pPr>
      <w:r>
        <w:t>3、比上年增减情况</w:t>
      </w:r>
    </w:p>
    <w:p>
      <w:pPr>
        <w:pStyle w:val="18"/>
      </w:pPr>
      <w:r>
        <w:t>2024年本部门预算收支安排1964.56万元，较2023年减少215.07万元，其中：基本支出增加26.24万元，主要是人员增加，相应增加人员经费和日常公用经费；项目支出减少241.32万元，主要是缩减业务开支。</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19"/>
      </w:pPr>
      <w:r>
        <w:t>2024年，我部门机关运行经费共计安排156.3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0"/>
      </w:pPr>
      <w:r>
        <w:t>2024年，我部门财政拨款“三公”经费预算安排24.2万元，其中：因公出国（境）费0万元，与上年持平，无增减变化；公务用车购置及运维费24.2万元（其中：公务用车购置费0万元，较上年减少18万元。原因是本年度无需进行公车购置；公务用车运行维护费24.2万元，</w:t>
      </w:r>
      <w:r>
        <w:rPr>
          <w:rFonts w:hint="eastAsia"/>
          <w:lang w:eastAsia="zh-CN"/>
        </w:rPr>
        <w:t>与上年持平，</w:t>
      </w:r>
      <w:r>
        <w:t>无增减变化)；公务接待费0万元，较上年减少0万元，</w:t>
      </w:r>
      <w:r>
        <w:rPr>
          <w:rFonts w:hint="eastAsia"/>
          <w:lang w:eastAsia="zh-CN"/>
        </w:rPr>
        <w:t>与上年持平，</w:t>
      </w:r>
      <w:r>
        <w:t>无增减变化。“三公”经费与上年相比减少18万元，原因是无需购置执法执勤用车一辆。</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1"/>
      </w:pPr>
      <w:r>
        <w:t>以习近平新时代中国特色社会主义思想为指导，坚持稳中求进的工作总基调，以党的政治建设为统领，协助党委全面从严治党，推进国家建设清正廉洁的政治团队。组织协调全区党风廉政建设和反腐败宣传教育工作，加强党内政治生活监督检查，建设高素质专业化的纪检监察干部队伍，做忠诚干净担当、敢于善于斗争的战士。对受理信访、举报，集中管理问题线索、组织协调案件查办，调查、审查违纪违法案件，对案件审理提出处理意见达到95%以上，并确保2024年结案率达90%，且结案时长均不超过法定时间。加强信息化建设</w:t>
      </w:r>
      <w:bookmarkStart w:id="20" w:name="_GoBack"/>
      <w:bookmarkEnd w:id="20"/>
      <w:r>
        <w:t>，定期对网络系统进行检查。</w:t>
      </w:r>
    </w:p>
    <w:p>
      <w:pPr>
        <w:spacing w:line="500" w:lineRule="exact"/>
        <w:ind w:firstLine="560"/>
      </w:pPr>
      <w:r>
        <w:rPr>
          <w:rFonts w:eastAsia="方正仿宋_GBK"/>
          <w:color w:val="000000"/>
          <w:sz w:val="28"/>
        </w:rPr>
        <w:t>（二）分项绩效目标</w:t>
      </w:r>
    </w:p>
    <w:p>
      <w:pPr>
        <w:pStyle w:val="22"/>
      </w:pPr>
      <w:r>
        <w:t>(一)</w:t>
      </w:r>
      <w:r>
        <w:tab/>
      </w:r>
      <w:r>
        <w:t>加强案件审查调查工作</w:t>
      </w:r>
      <w:r>
        <w:tab/>
      </w:r>
    </w:p>
    <w:p>
      <w:pPr>
        <w:pStyle w:val="22"/>
      </w:pPr>
      <w:r>
        <w:t>绩效目标：接受关于党内法规政策、国家法律法规、党风廉政建设执行情况的举报，开展有关党风政风监督专项检查，查处各类违法违纪问题，加大问责力度，维护党纪国法尊严，坚决惩处腐败分子，有效遏制腐败现象。</w:t>
      </w:r>
    </w:p>
    <w:p>
      <w:pPr>
        <w:pStyle w:val="22"/>
      </w:pPr>
      <w:r>
        <w:t>绩效指标：受理信访、举报，集中管理问题线索、组织协调案件查办，调查、审查违纪违法案件，对案件审理提出处理意见达到95%以上。紧紧围绕监督基本职责， 着力构建全覆盖、 无盲区的大监督格局，切实加强对全区58个区直部门、14个乡镇等党组织管党治党情况的监督检查，用好问责利器，推动主体责任落地落实落细。全起底排查问题线索，着力解决核查不深入，定性量纪不精准问题， 保持惩治腐败高压态。加强对中央八项规定及实施细则精神执行情况的监督检查， 扎实开展纠正“ 四风” 和作风纪律专项整治， 坚决整治群众身边腐败问题， 提高人民群众的获得感幸福感安全感。</w:t>
      </w:r>
    </w:p>
    <w:p>
      <w:pPr>
        <w:pStyle w:val="22"/>
      </w:pPr>
      <w:r>
        <w:t>（二）加强党风廉政建设</w:t>
      </w:r>
      <w:r>
        <w:tab/>
      </w:r>
    </w:p>
    <w:p>
      <w:pPr>
        <w:pStyle w:val="22"/>
      </w:pPr>
      <w:r>
        <w:t>绩效目标：积极发挥职能作用，加强党风廉政建设，营造风清气正、干事创业的工作氛围。</w:t>
      </w:r>
    </w:p>
    <w:p>
      <w:pPr>
        <w:pStyle w:val="22"/>
      </w:pPr>
      <w:r>
        <w:t>绩效指标：组织协调全区党风廉政建设和反腐败宣传、教育、课题研究及规定、制度的起草修订；承担区委惩治和预防腐败体系领导小组办公室的日常工作，针对全区党风廉政建设，每月开展至少一次宣传教育活动，活动参与率达到85%以上，实现教育挽救的作用。</w:t>
      </w:r>
    </w:p>
    <w:p>
      <w:pPr>
        <w:pStyle w:val="22"/>
      </w:pPr>
      <w:r>
        <w:t>（三）加强监督检查的力度</w:t>
      </w:r>
    </w:p>
    <w:p>
      <w:pPr>
        <w:pStyle w:val="22"/>
      </w:pPr>
      <w:r>
        <w:t>绩效目标：加大问责力度，促进“两个责任”有效落实；坚决纠正“四风”问题；监督常态化、全覆盖。</w:t>
      </w:r>
    </w:p>
    <w:p>
      <w:pPr>
        <w:pStyle w:val="22"/>
      </w:pPr>
      <w:r>
        <w:t>绩效指标：监督检查党内法规政策、国家法律法规、党风廉政建设“两个责任”等落实执行情况达到90%以上，履行区政府纠正行业不正之风办公室职能。</w:t>
      </w:r>
      <w:r>
        <w:tab/>
      </w:r>
    </w:p>
    <w:p>
      <w:pPr>
        <w:pStyle w:val="22"/>
      </w:pPr>
      <w:r>
        <w:t>（四）开展专项治理活动</w:t>
      </w:r>
    </w:p>
    <w:p>
      <w:pPr>
        <w:pStyle w:val="22"/>
      </w:pPr>
      <w:r>
        <w:t>绩效目标：积极依法介入群体性事件，化解矛盾，维护稳定，努力为我区经济发展创造良好法治环境，为促进和谐社会构建发挥积极作用。</w:t>
      </w:r>
    </w:p>
    <w:p>
      <w:pPr>
        <w:pStyle w:val="22"/>
      </w:pPr>
      <w:r>
        <w:t>绩效指标：重点开展“预防职务犯罪，促进安全监管，减少伤亡事故”专项治理活动，深入各单位，向各单位工作人员普及相关法治内容，每月各单位至少开展一次教育会，会议参与率达到90%以上。</w:t>
      </w:r>
    </w:p>
    <w:p>
      <w:pPr>
        <w:spacing w:line="500" w:lineRule="exact"/>
        <w:ind w:firstLine="560"/>
      </w:pPr>
      <w:r>
        <w:rPr>
          <w:rFonts w:eastAsia="方正仿宋_GBK"/>
          <w:color w:val="000000"/>
          <w:sz w:val="28"/>
        </w:rPr>
        <w:t>（三）工作保障措施</w:t>
      </w:r>
    </w:p>
    <w:p>
      <w:pPr>
        <w:pStyle w:val="23"/>
      </w:pPr>
      <w:r>
        <w:t>（一）健全各项制度，促进纪委工作规范化、程序化。</w:t>
      </w:r>
    </w:p>
    <w:p>
      <w:pPr>
        <w:pStyle w:val="23"/>
      </w:pPr>
      <w:r>
        <w:t>我单位围绕预算绩效管理制度、资金管理办法、工作保障制度，着重抓好两方面的工作：一是健全各项规章制度，主要规范执行好我单位的监督检查制度， 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pPr>
        <w:pStyle w:val="23"/>
      </w:pPr>
      <w:r>
        <w:t>(二)推动开展廉政教育</w:t>
      </w:r>
    </w:p>
    <w:p>
      <w:pPr>
        <w:pStyle w:val="23"/>
      </w:pPr>
      <w:r>
        <w:t>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pPr>
        <w:pStyle w:val="23"/>
      </w:pPr>
      <w:r>
        <w:t>(三)加强宣传培训调研</w:t>
      </w:r>
    </w:p>
    <w:p>
      <w:pPr>
        <w:pStyle w:val="23"/>
      </w:pPr>
      <w:r>
        <w:t>加强人员培训，提高我单位职工业务素质；加大宣传力度，强化预算绩效管理意识，促进预算绩效管理水平进一步提升；根据干部管理权限，负责区直各单位机关纪检组织建设的综合规划、政策研究、制度建设和业务指导；会同区委组织部负责乡镇纪委干部的提名、考察，涉及科级干部的报区委任免；会同有关方面做好区纪委监委派出机构、乡镇纪委、区属学校、医院纪检监察机构领导班子建设有关工作。</w:t>
      </w:r>
    </w:p>
    <w:p>
      <w:pPr>
        <w:pStyle w:val="23"/>
      </w:pPr>
      <w:r>
        <w:t>(四) 驰而不息正风肃纪</w:t>
      </w:r>
    </w:p>
    <w:p>
      <w:pPr>
        <w:pStyle w:val="23"/>
      </w:pPr>
      <w:r>
        <w:t>坚决落实中央八项规定及其实施细则精神， 着力解决人民群众反映强烈的突出问题。 坚决整治形式主义和官僚主义， 防止“四风”问题反弹回潮。 认真贯彻执行《中国共产党纪律处分条例》 《中华人民共和国监察法》，巩固发展执纪必严、违纪必究的常态化效果， 让制度“长牙”、纪律“带电”。 认真落实容错纠错办法， 旗帜鲜明为勇于改革创新者担当撑腰。</w:t>
      </w:r>
    </w:p>
    <w:p>
      <w:pPr>
        <w:pStyle w:val="23"/>
      </w:pPr>
      <w:r>
        <w:t xml:space="preserve">（五）深化纪检监察体制改革。 </w:t>
      </w:r>
    </w:p>
    <w:p>
      <w:pPr>
        <w:pStyle w:val="23"/>
      </w:pPr>
      <w:r>
        <w:t>强化石家庄市纪委对藁城区纪委监委的领导，推进纪检监察工作双重领导体制具体化、程序化、制度化。 积极推进监察职能向基层延伸，打通监察监督“最后一公里”探索完善纪法贯通机制、法法衔接机制、内部监督管理机制，做到监督执纪和监察执法一体推进努力实现良好政治效果、 法纪效果和社会效果。</w:t>
      </w:r>
    </w:p>
    <w:p>
      <w:pPr>
        <w:pStyle w:val="23"/>
      </w:pPr>
      <w:r>
        <w:t>（六）强化预算执行</w:t>
      </w:r>
    </w:p>
    <w:p>
      <w:pPr>
        <w:pStyle w:val="23"/>
      </w:pPr>
      <w:r>
        <w:t>强化财政预算执行的刚性约束，对纪检监察业务费开支范围严格把控，及时启动项目和支付资金，加快履行政府采购程序，优化部门预算支出结构，创新财政资金支出思路，合理改进支出方式，确保按照时间节点完成支出任务。</w:t>
      </w:r>
    </w:p>
    <w:p>
      <w:pPr>
        <w:pStyle w:val="23"/>
      </w:pPr>
      <w:r>
        <w:t>（七）健全评价机制</w:t>
      </w:r>
    </w:p>
    <w:p>
      <w:pPr>
        <w:pStyle w:val="23"/>
        <w:sectPr>
          <w:pgSz w:w="16840" w:h="11900" w:orient="landscape"/>
          <w:pgMar w:top="1361" w:right="1020" w:bottom="1361" w:left="1020" w:header="720" w:footer="720" w:gutter="0"/>
          <w:cols w:space="720" w:num="1"/>
        </w:sectPr>
      </w:pPr>
      <w:r>
        <w:t>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spacing w:before="10" w:after="10" w:line="360" w:lineRule="auto"/>
        <w:ind w:firstLine="640"/>
        <w:outlineLvl w:val="2"/>
        <w:rPr>
          <w:rFonts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line="460" w:lineRule="exact"/>
        <w:ind w:firstLine="560" w:firstLineChars="200"/>
        <w:rPr>
          <w:rFonts w:eastAsia="方正仿宋_GBK"/>
          <w:sz w:val="28"/>
        </w:rPr>
      </w:pPr>
      <w:r>
        <w:rPr>
          <w:rFonts w:hint="eastAsia" w:eastAsia="方正仿宋_GBK"/>
          <w:sz w:val="28"/>
        </w:rPr>
        <w:t>我部门2024年无专项资金</w:t>
      </w:r>
    </w:p>
    <w:p>
      <w:pPr>
        <w:spacing w:before="10" w:after="10" w:line="360" w:lineRule="auto"/>
        <w:ind w:firstLine="640"/>
        <w:outlineLvl w:val="2"/>
        <w:rPr>
          <w:lang w:eastAsia="zh-CN"/>
        </w:rPr>
        <w:sectPr>
          <w:pgSz w:w="16840" w:h="11900" w:orient="landscape"/>
          <w:pgMar w:top="1361" w:right="1020" w:bottom="1134" w:left="1020" w:header="720" w:footer="720" w:gutter="0"/>
          <w:cols w:space="720" w:num="1"/>
        </w:sectPr>
      </w:pPr>
    </w:p>
    <w:p>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ind w:firstLine="560"/>
      </w:pPr>
      <w:r>
        <w:rPr>
          <w:rFonts w:ascii="方正仿宋_GBK" w:hAnsi="方正仿宋_GBK" w:eastAsia="方正仿宋_GBK" w:cs="方正仿宋_GBK"/>
          <w:color w:val="000000"/>
          <w:sz w:val="28"/>
        </w:rPr>
        <w:t>1、办案专项经费绩效目标表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13010924P00000211687L</w:t>
            </w:r>
          </w:p>
        </w:tc>
        <w:tc>
          <w:tcPr>
            <w:tcW w:w="2835" w:type="dxa"/>
            <w:vAlign w:val="center"/>
          </w:tcPr>
          <w:p>
            <w:pPr>
              <w:pStyle w:val="10"/>
            </w:pPr>
            <w:r>
              <w:t>项目名称</w:t>
            </w:r>
          </w:p>
        </w:tc>
        <w:tc>
          <w:tcPr>
            <w:tcW w:w="6095" w:type="dxa"/>
            <w:gridSpan w:val="3"/>
            <w:vAlign w:val="center"/>
          </w:tcPr>
          <w:p>
            <w:pPr>
              <w:pStyle w:val="12"/>
            </w:pPr>
            <w:r>
              <w:t>办案专项经费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27.14</w:t>
            </w:r>
          </w:p>
        </w:tc>
        <w:tc>
          <w:tcPr>
            <w:tcW w:w="2835" w:type="dxa"/>
            <w:vAlign w:val="center"/>
          </w:tcPr>
          <w:p>
            <w:pPr>
              <w:pStyle w:val="10"/>
            </w:pPr>
            <w:r>
              <w:t>其中：财政    资金</w:t>
            </w:r>
          </w:p>
        </w:tc>
        <w:tc>
          <w:tcPr>
            <w:tcW w:w="2551" w:type="dxa"/>
            <w:vAlign w:val="center"/>
          </w:tcPr>
          <w:p>
            <w:pPr>
              <w:pStyle w:val="12"/>
            </w:pPr>
            <w:r>
              <w:t>27.14</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1.保障办案工作正常进行，提高办案的质量和效率。</w:t>
            </w:r>
            <w:r>
              <w:tab/>
            </w:r>
            <w:r>
              <w:tab/>
            </w:r>
            <w:r>
              <w:tab/>
            </w:r>
            <w:r>
              <w:tab/>
            </w:r>
            <w:r>
              <w:tab/>
            </w:r>
            <w:r>
              <w:tab/>
            </w:r>
          </w:p>
          <w:p>
            <w:pPr>
              <w:pStyle w:val="12"/>
            </w:pP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立案和侦查活动监督完成率</w:t>
            </w:r>
          </w:p>
        </w:tc>
        <w:tc>
          <w:tcPr>
            <w:tcW w:w="5386" w:type="dxa"/>
            <w:vAlign w:val="center"/>
          </w:tcPr>
          <w:p>
            <w:pPr>
              <w:pStyle w:val="12"/>
            </w:pPr>
            <w:r>
              <w:t>立案和侦查活动监督完成率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案件的结案率</w:t>
            </w:r>
          </w:p>
        </w:tc>
        <w:tc>
          <w:tcPr>
            <w:tcW w:w="5386" w:type="dxa"/>
            <w:vAlign w:val="center"/>
          </w:tcPr>
          <w:p>
            <w:pPr>
              <w:pStyle w:val="12"/>
            </w:pPr>
            <w:r>
              <w:t>本年度结案数与立案数</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案件完成的及时数</w:t>
            </w:r>
          </w:p>
        </w:tc>
        <w:tc>
          <w:tcPr>
            <w:tcW w:w="5386" w:type="dxa"/>
            <w:vAlign w:val="center"/>
          </w:tcPr>
          <w:p>
            <w:pPr>
              <w:pStyle w:val="12"/>
            </w:pPr>
            <w:r>
              <w:t>在规定的时限内办理案件占全年案数的比例</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≤63.8万元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推进辖区内廉政作风建设</w:t>
            </w:r>
          </w:p>
        </w:tc>
        <w:tc>
          <w:tcPr>
            <w:tcW w:w="5386" w:type="dxa"/>
            <w:vAlign w:val="center"/>
          </w:tcPr>
          <w:p>
            <w:pPr>
              <w:pStyle w:val="12"/>
            </w:pPr>
            <w:r>
              <w:t>促进辖区内廉政作风建设</w:t>
            </w:r>
          </w:p>
        </w:tc>
        <w:tc>
          <w:tcPr>
            <w:tcW w:w="2268" w:type="dxa"/>
            <w:vAlign w:val="center"/>
          </w:tcPr>
          <w:p>
            <w:pPr>
              <w:pStyle w:val="12"/>
            </w:pPr>
            <w:r>
              <w:t>促进廉政作风建设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公众的满意度</w:t>
            </w:r>
          </w:p>
        </w:tc>
        <w:tc>
          <w:tcPr>
            <w:tcW w:w="5386" w:type="dxa"/>
            <w:vAlign w:val="center"/>
          </w:tcPr>
          <w:p>
            <w:pPr>
              <w:pStyle w:val="12"/>
            </w:pPr>
            <w:r>
              <w:t>社会群众满意度</w:t>
            </w:r>
          </w:p>
        </w:tc>
        <w:tc>
          <w:tcPr>
            <w:tcW w:w="2268" w:type="dxa"/>
            <w:vAlign w:val="center"/>
          </w:tcPr>
          <w:p>
            <w:pPr>
              <w:pStyle w:val="12"/>
            </w:pPr>
            <w:r>
              <w:t>≥95%</w:t>
            </w:r>
          </w:p>
        </w:tc>
        <w:tc>
          <w:tcPr>
            <w:tcW w:w="1276" w:type="dxa"/>
            <w:vAlign w:val="center"/>
          </w:tcPr>
          <w:p>
            <w:pPr>
              <w:pStyle w:val="12"/>
            </w:pPr>
            <w:r>
              <w:t>年度工作计划</w:t>
            </w:r>
          </w:p>
        </w:tc>
      </w:tr>
    </w:tbl>
    <w:p>
      <w:pPr>
        <w:sectPr>
          <w:type w:val="continuous"/>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2、大要案专项工作经费绩效目标表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13010924P000002116888</w:t>
            </w:r>
          </w:p>
        </w:tc>
        <w:tc>
          <w:tcPr>
            <w:tcW w:w="2835" w:type="dxa"/>
            <w:vAlign w:val="center"/>
          </w:tcPr>
          <w:p>
            <w:pPr>
              <w:pStyle w:val="10"/>
            </w:pPr>
            <w:r>
              <w:t>项目名称</w:t>
            </w:r>
          </w:p>
        </w:tc>
        <w:tc>
          <w:tcPr>
            <w:tcW w:w="6095" w:type="dxa"/>
            <w:gridSpan w:val="3"/>
            <w:vAlign w:val="center"/>
          </w:tcPr>
          <w:p>
            <w:pPr>
              <w:pStyle w:val="12"/>
            </w:pPr>
            <w:r>
              <w:t>大要案专项工作经费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45.80</w:t>
            </w:r>
          </w:p>
        </w:tc>
        <w:tc>
          <w:tcPr>
            <w:tcW w:w="2835" w:type="dxa"/>
            <w:vAlign w:val="center"/>
          </w:tcPr>
          <w:p>
            <w:pPr>
              <w:pStyle w:val="10"/>
            </w:pPr>
            <w:r>
              <w:t>其中：财政    资金</w:t>
            </w:r>
          </w:p>
        </w:tc>
        <w:tc>
          <w:tcPr>
            <w:tcW w:w="2551" w:type="dxa"/>
            <w:vAlign w:val="center"/>
          </w:tcPr>
          <w:p>
            <w:pPr>
              <w:pStyle w:val="12"/>
            </w:pPr>
            <w:r>
              <w:t>45.80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办案经费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1.大要案专项工作经费</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确立为大要案的数量</w:t>
            </w:r>
          </w:p>
        </w:tc>
        <w:tc>
          <w:tcPr>
            <w:tcW w:w="5386" w:type="dxa"/>
            <w:vAlign w:val="center"/>
          </w:tcPr>
          <w:p>
            <w:pPr>
              <w:pStyle w:val="12"/>
            </w:pPr>
            <w:r>
              <w:t>根据近三年大要案数据统计，预计2023年需要完成大要案5件。</w:t>
            </w:r>
          </w:p>
        </w:tc>
        <w:tc>
          <w:tcPr>
            <w:tcW w:w="2268" w:type="dxa"/>
            <w:vAlign w:val="center"/>
          </w:tcPr>
          <w:p>
            <w:pPr>
              <w:pStyle w:val="12"/>
            </w:pPr>
            <w:r>
              <w:t>≥5件</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大要案的结案率</w:t>
            </w:r>
          </w:p>
        </w:tc>
        <w:tc>
          <w:tcPr>
            <w:tcW w:w="5386" w:type="dxa"/>
            <w:vAlign w:val="center"/>
          </w:tcPr>
          <w:p>
            <w:pPr>
              <w:pStyle w:val="12"/>
            </w:pPr>
            <w:r>
              <w:t>实际结案数占全年大要案总数的比率</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案件完成的及时率</w:t>
            </w:r>
          </w:p>
        </w:tc>
        <w:tc>
          <w:tcPr>
            <w:tcW w:w="5386" w:type="dxa"/>
            <w:vAlign w:val="center"/>
          </w:tcPr>
          <w:p>
            <w:pPr>
              <w:pStyle w:val="12"/>
            </w:pPr>
            <w:r>
              <w:t>在规定的实现内完成案件的办理</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≤45.8万元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推进辖区内反腐倡廉工作</w:t>
            </w:r>
          </w:p>
        </w:tc>
        <w:tc>
          <w:tcPr>
            <w:tcW w:w="5386" w:type="dxa"/>
            <w:vAlign w:val="center"/>
          </w:tcPr>
          <w:p>
            <w:pPr>
              <w:pStyle w:val="12"/>
            </w:pPr>
            <w:r>
              <w:t>促进辖区内廉政作风建设</w:t>
            </w:r>
          </w:p>
        </w:tc>
        <w:tc>
          <w:tcPr>
            <w:tcW w:w="2268" w:type="dxa"/>
            <w:vAlign w:val="center"/>
          </w:tcPr>
          <w:p>
            <w:pPr>
              <w:pStyle w:val="12"/>
            </w:pPr>
            <w:r>
              <w:t>促进廉政作风建设</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公众的满意度</w:t>
            </w:r>
          </w:p>
        </w:tc>
        <w:tc>
          <w:tcPr>
            <w:tcW w:w="5386" w:type="dxa"/>
            <w:vAlign w:val="center"/>
          </w:tcPr>
          <w:p>
            <w:pPr>
              <w:pStyle w:val="12"/>
            </w:pPr>
            <w:r>
              <w:t>增强群众的幸福感、安全感</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3、机关服务物业管理费绩效目标表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13010924P00000211689U</w:t>
            </w:r>
          </w:p>
        </w:tc>
        <w:tc>
          <w:tcPr>
            <w:tcW w:w="2835" w:type="dxa"/>
            <w:vAlign w:val="center"/>
          </w:tcPr>
          <w:p>
            <w:pPr>
              <w:pStyle w:val="10"/>
            </w:pPr>
            <w:r>
              <w:t>项目名称</w:t>
            </w:r>
          </w:p>
        </w:tc>
        <w:tc>
          <w:tcPr>
            <w:tcW w:w="6095" w:type="dxa"/>
            <w:gridSpan w:val="3"/>
            <w:vAlign w:val="center"/>
          </w:tcPr>
          <w:p>
            <w:pPr>
              <w:pStyle w:val="12"/>
            </w:pPr>
            <w:r>
              <w:t>机关服务物业管理费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46.50</w:t>
            </w:r>
          </w:p>
        </w:tc>
        <w:tc>
          <w:tcPr>
            <w:tcW w:w="2835" w:type="dxa"/>
            <w:vAlign w:val="center"/>
          </w:tcPr>
          <w:p>
            <w:pPr>
              <w:pStyle w:val="10"/>
            </w:pPr>
            <w:r>
              <w:t>其中：财政    资金</w:t>
            </w:r>
          </w:p>
        </w:tc>
        <w:tc>
          <w:tcPr>
            <w:tcW w:w="2551" w:type="dxa"/>
            <w:vAlign w:val="center"/>
          </w:tcPr>
          <w:p>
            <w:pPr>
              <w:pStyle w:val="12"/>
            </w:pPr>
            <w:r>
              <w:t>46.50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机关物业管理费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1.机关服务物业管理费</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机关各项运转</w:t>
            </w:r>
          </w:p>
        </w:tc>
        <w:tc>
          <w:tcPr>
            <w:tcW w:w="5386" w:type="dxa"/>
            <w:vAlign w:val="center"/>
          </w:tcPr>
          <w:p>
            <w:pPr>
              <w:pStyle w:val="12"/>
            </w:pPr>
            <w:r>
              <w:t>保障机关正常运转维修维护等</w:t>
            </w:r>
          </w:p>
        </w:tc>
        <w:tc>
          <w:tcPr>
            <w:tcW w:w="2268" w:type="dxa"/>
            <w:vAlign w:val="center"/>
          </w:tcPr>
          <w:p>
            <w:pPr>
              <w:pStyle w:val="12"/>
            </w:pPr>
            <w:r>
              <w:t>≥100机关各项工作</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各项工作完成情况</w:t>
            </w:r>
          </w:p>
        </w:tc>
        <w:tc>
          <w:tcPr>
            <w:tcW w:w="5386" w:type="dxa"/>
            <w:vAlign w:val="center"/>
          </w:tcPr>
          <w:p>
            <w:pPr>
              <w:pStyle w:val="12"/>
            </w:pPr>
            <w:r>
              <w:t>提升单位安全系数，保障各项工作正常开展。</w:t>
            </w:r>
          </w:p>
        </w:tc>
        <w:tc>
          <w:tcPr>
            <w:tcW w:w="2268" w:type="dxa"/>
            <w:vAlign w:val="center"/>
          </w:tcPr>
          <w:p>
            <w:pPr>
              <w:pStyle w:val="12"/>
            </w:pPr>
            <w:r>
              <w:t>保障各项工作运转</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及时支付资金情况</w:t>
            </w:r>
          </w:p>
        </w:tc>
        <w:tc>
          <w:tcPr>
            <w:tcW w:w="5386" w:type="dxa"/>
            <w:vAlign w:val="center"/>
          </w:tcPr>
          <w:p>
            <w:pPr>
              <w:pStyle w:val="12"/>
            </w:pPr>
            <w:r>
              <w:t>及时支付费用。</w:t>
            </w:r>
          </w:p>
        </w:tc>
        <w:tc>
          <w:tcPr>
            <w:tcW w:w="2268" w:type="dxa"/>
            <w:vAlign w:val="center"/>
          </w:tcPr>
          <w:p>
            <w:pPr>
              <w:pStyle w:val="12"/>
            </w:pPr>
            <w:r>
              <w:t>按计划支付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≤46.5万元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保障办公场所的安全卫生</w:t>
            </w:r>
          </w:p>
        </w:tc>
        <w:tc>
          <w:tcPr>
            <w:tcW w:w="5386" w:type="dxa"/>
            <w:vAlign w:val="center"/>
          </w:tcPr>
          <w:p>
            <w:pPr>
              <w:pStyle w:val="12"/>
            </w:pPr>
            <w:r>
              <w:t>有效提升办公场所环境</w:t>
            </w:r>
          </w:p>
        </w:tc>
        <w:tc>
          <w:tcPr>
            <w:tcW w:w="2268" w:type="dxa"/>
            <w:vAlign w:val="center"/>
          </w:tcPr>
          <w:p>
            <w:pPr>
              <w:pStyle w:val="12"/>
            </w:pPr>
            <w:r>
              <w:t>有效提升办公场所环境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收益群体满意度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4、纪委监委信息系统建设绩效目标表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13010924P000002116907</w:t>
            </w:r>
          </w:p>
        </w:tc>
        <w:tc>
          <w:tcPr>
            <w:tcW w:w="2835" w:type="dxa"/>
            <w:vAlign w:val="center"/>
          </w:tcPr>
          <w:p>
            <w:pPr>
              <w:pStyle w:val="10"/>
            </w:pPr>
            <w:r>
              <w:t>项目名称</w:t>
            </w:r>
          </w:p>
        </w:tc>
        <w:tc>
          <w:tcPr>
            <w:tcW w:w="6095" w:type="dxa"/>
            <w:gridSpan w:val="3"/>
            <w:vAlign w:val="center"/>
          </w:tcPr>
          <w:p>
            <w:pPr>
              <w:pStyle w:val="12"/>
            </w:pPr>
            <w:r>
              <w:t>纪委监委信息系统建设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纪委监委信息系统建设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1.采购更新替换办案设备，以提高办案效率，增加办案的保密性</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电脑及配套打印机数量</w:t>
            </w:r>
          </w:p>
        </w:tc>
        <w:tc>
          <w:tcPr>
            <w:tcW w:w="5386" w:type="dxa"/>
            <w:vAlign w:val="center"/>
          </w:tcPr>
          <w:p>
            <w:pPr>
              <w:pStyle w:val="12"/>
            </w:pPr>
            <w:r>
              <w:t>第一阶段配备数量</w:t>
            </w:r>
          </w:p>
        </w:tc>
        <w:tc>
          <w:tcPr>
            <w:tcW w:w="2268" w:type="dxa"/>
            <w:vAlign w:val="center"/>
          </w:tcPr>
          <w:p>
            <w:pPr>
              <w:pStyle w:val="12"/>
            </w:pPr>
            <w:r>
              <w:t>≥6套</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设备验收合格率</w:t>
            </w:r>
          </w:p>
        </w:tc>
        <w:tc>
          <w:tcPr>
            <w:tcW w:w="5386" w:type="dxa"/>
            <w:vAlign w:val="center"/>
          </w:tcPr>
          <w:p>
            <w:pPr>
              <w:pStyle w:val="12"/>
            </w:pPr>
            <w:r>
              <w:t>采购设备验收合格率</w:t>
            </w:r>
          </w:p>
        </w:tc>
        <w:tc>
          <w:tcPr>
            <w:tcW w:w="2268" w:type="dxa"/>
            <w:vAlign w:val="center"/>
          </w:tcPr>
          <w:p>
            <w:pPr>
              <w:pStyle w:val="12"/>
            </w:pPr>
            <w:r>
              <w:t>≥100</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购买及时性</w:t>
            </w:r>
          </w:p>
        </w:tc>
        <w:tc>
          <w:tcPr>
            <w:tcW w:w="5386" w:type="dxa"/>
            <w:vAlign w:val="center"/>
          </w:tcPr>
          <w:p>
            <w:pPr>
              <w:pStyle w:val="12"/>
            </w:pPr>
            <w:r>
              <w:t>资金到位后及时购买</w:t>
            </w:r>
          </w:p>
        </w:tc>
        <w:tc>
          <w:tcPr>
            <w:tcW w:w="2268" w:type="dxa"/>
            <w:vAlign w:val="center"/>
          </w:tcPr>
          <w:p>
            <w:pPr>
              <w:pStyle w:val="12"/>
            </w:pPr>
            <w:r>
              <w:t>按计划及时购买</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≤6万元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促进社会和谐稳定</w:t>
            </w:r>
          </w:p>
        </w:tc>
        <w:tc>
          <w:tcPr>
            <w:tcW w:w="2268" w:type="dxa"/>
            <w:vAlign w:val="center"/>
          </w:tcPr>
          <w:p>
            <w:pPr>
              <w:pStyle w:val="12"/>
            </w:pPr>
            <w:r>
              <w:t>较上年提升</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社会公众满意度</w:t>
            </w:r>
          </w:p>
        </w:tc>
        <w:tc>
          <w:tcPr>
            <w:tcW w:w="2268" w:type="dxa"/>
            <w:vAlign w:val="center"/>
          </w:tcPr>
          <w:p>
            <w:pPr>
              <w:pStyle w:val="12"/>
            </w:pPr>
            <w:r>
              <w:t>≥100%</w:t>
            </w:r>
          </w:p>
        </w:tc>
        <w:tc>
          <w:tcPr>
            <w:tcW w:w="1276" w:type="dxa"/>
            <w:vAlign w:val="center"/>
          </w:tcPr>
          <w:p>
            <w:pPr>
              <w:pStyle w:val="12"/>
            </w:pPr>
            <w:r>
              <w:t>走访</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5、监察委办公场所水电费绩效目标表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13010924P00000211691T</w:t>
            </w:r>
          </w:p>
        </w:tc>
        <w:tc>
          <w:tcPr>
            <w:tcW w:w="2835" w:type="dxa"/>
            <w:vAlign w:val="center"/>
          </w:tcPr>
          <w:p>
            <w:pPr>
              <w:pStyle w:val="10"/>
            </w:pPr>
            <w:r>
              <w:t>项目名称</w:t>
            </w:r>
          </w:p>
        </w:tc>
        <w:tc>
          <w:tcPr>
            <w:tcW w:w="6095" w:type="dxa"/>
            <w:gridSpan w:val="3"/>
            <w:vAlign w:val="center"/>
          </w:tcPr>
          <w:p>
            <w:pPr>
              <w:pStyle w:val="12"/>
            </w:pPr>
            <w:r>
              <w:t>监察委办公场所水电费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监察委办公场所水电费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1.保障办案、办公各项工作的正常运转</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经费种类</w:t>
            </w:r>
          </w:p>
        </w:tc>
        <w:tc>
          <w:tcPr>
            <w:tcW w:w="5386" w:type="dxa"/>
            <w:vAlign w:val="center"/>
          </w:tcPr>
          <w:p>
            <w:pPr>
              <w:pStyle w:val="12"/>
            </w:pPr>
            <w:r>
              <w:t>办公场所水电及通信费等</w:t>
            </w:r>
          </w:p>
        </w:tc>
        <w:tc>
          <w:tcPr>
            <w:tcW w:w="2268" w:type="dxa"/>
            <w:vAlign w:val="center"/>
          </w:tcPr>
          <w:p>
            <w:pPr>
              <w:pStyle w:val="12"/>
            </w:pPr>
            <w:r>
              <w:t>≥3种</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保障单位工作正常运转</w:t>
            </w:r>
          </w:p>
        </w:tc>
        <w:tc>
          <w:tcPr>
            <w:tcW w:w="5386" w:type="dxa"/>
            <w:vAlign w:val="center"/>
          </w:tcPr>
          <w:p>
            <w:pPr>
              <w:pStyle w:val="12"/>
            </w:pPr>
            <w:r>
              <w:t>为单位提供必备的水电通信等服务</w:t>
            </w:r>
          </w:p>
        </w:tc>
        <w:tc>
          <w:tcPr>
            <w:tcW w:w="2268" w:type="dxa"/>
            <w:vAlign w:val="center"/>
          </w:tcPr>
          <w:p>
            <w:pPr>
              <w:pStyle w:val="12"/>
            </w:pPr>
            <w:r>
              <w:t>保障工作正常运转</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按时交费</w:t>
            </w:r>
          </w:p>
        </w:tc>
        <w:tc>
          <w:tcPr>
            <w:tcW w:w="5386" w:type="dxa"/>
            <w:vAlign w:val="center"/>
          </w:tcPr>
          <w:p>
            <w:pPr>
              <w:pStyle w:val="12"/>
            </w:pPr>
            <w:r>
              <w:t>按规定的时间节点交费</w:t>
            </w:r>
          </w:p>
        </w:tc>
        <w:tc>
          <w:tcPr>
            <w:tcW w:w="2268" w:type="dxa"/>
            <w:vAlign w:val="center"/>
          </w:tcPr>
          <w:p>
            <w:pPr>
              <w:pStyle w:val="12"/>
            </w:pPr>
            <w:r>
              <w:t>按计划支付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≤40万元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维护机关运转</w:t>
            </w:r>
          </w:p>
        </w:tc>
        <w:tc>
          <w:tcPr>
            <w:tcW w:w="5386" w:type="dxa"/>
            <w:vAlign w:val="center"/>
          </w:tcPr>
          <w:p>
            <w:pPr>
              <w:pStyle w:val="12"/>
            </w:pPr>
            <w:r>
              <w:t>保障办案工作的顺利进行</w:t>
            </w:r>
          </w:p>
        </w:tc>
        <w:tc>
          <w:tcPr>
            <w:tcW w:w="2268" w:type="dxa"/>
            <w:vAlign w:val="center"/>
          </w:tcPr>
          <w:p>
            <w:pPr>
              <w:pStyle w:val="12"/>
            </w:pPr>
            <w:r>
              <w:t>保障工作正常运转</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6、监察委办公场所租赁费绩效目标表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13010924P00000211692E</w:t>
            </w:r>
          </w:p>
        </w:tc>
        <w:tc>
          <w:tcPr>
            <w:tcW w:w="2835" w:type="dxa"/>
            <w:vAlign w:val="center"/>
          </w:tcPr>
          <w:p>
            <w:pPr>
              <w:pStyle w:val="10"/>
            </w:pPr>
            <w:r>
              <w:t>项目名称</w:t>
            </w:r>
          </w:p>
        </w:tc>
        <w:tc>
          <w:tcPr>
            <w:tcW w:w="6095" w:type="dxa"/>
            <w:gridSpan w:val="3"/>
            <w:vAlign w:val="center"/>
          </w:tcPr>
          <w:p>
            <w:pPr>
              <w:pStyle w:val="12"/>
            </w:pPr>
            <w:r>
              <w:t>监察委办公场所租赁费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95.00</w:t>
            </w:r>
          </w:p>
        </w:tc>
        <w:tc>
          <w:tcPr>
            <w:tcW w:w="2835" w:type="dxa"/>
            <w:vAlign w:val="center"/>
          </w:tcPr>
          <w:p>
            <w:pPr>
              <w:pStyle w:val="10"/>
            </w:pPr>
            <w:r>
              <w:t>其中：财政    资金</w:t>
            </w:r>
          </w:p>
        </w:tc>
        <w:tc>
          <w:tcPr>
            <w:tcW w:w="2551" w:type="dxa"/>
            <w:vAlign w:val="center"/>
          </w:tcPr>
          <w:p>
            <w:pPr>
              <w:pStyle w:val="12"/>
            </w:pPr>
            <w:r>
              <w:t>95.00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监察委办公场所租赁费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1.监察委办公场所租赁费</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办公场所面积</w:t>
            </w:r>
          </w:p>
        </w:tc>
        <w:tc>
          <w:tcPr>
            <w:tcW w:w="5386" w:type="dxa"/>
            <w:vAlign w:val="center"/>
          </w:tcPr>
          <w:p>
            <w:pPr>
              <w:pStyle w:val="12"/>
            </w:pPr>
            <w:r>
              <w:t>3600平方米</w:t>
            </w:r>
          </w:p>
        </w:tc>
        <w:tc>
          <w:tcPr>
            <w:tcW w:w="2268" w:type="dxa"/>
            <w:vAlign w:val="center"/>
          </w:tcPr>
          <w:p>
            <w:pPr>
              <w:pStyle w:val="12"/>
            </w:pPr>
            <w:r>
              <w:t>3136平方米</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保障办公有序进行</w:t>
            </w:r>
          </w:p>
        </w:tc>
        <w:tc>
          <w:tcPr>
            <w:tcW w:w="5386" w:type="dxa"/>
            <w:vAlign w:val="center"/>
          </w:tcPr>
          <w:p>
            <w:pPr>
              <w:pStyle w:val="12"/>
            </w:pPr>
            <w:r>
              <w:t>为机关工作人员提供办公场所，保障日常工作开展</w:t>
            </w:r>
          </w:p>
        </w:tc>
        <w:tc>
          <w:tcPr>
            <w:tcW w:w="2268" w:type="dxa"/>
            <w:vAlign w:val="center"/>
          </w:tcPr>
          <w:p>
            <w:pPr>
              <w:pStyle w:val="12"/>
            </w:pPr>
            <w:r>
              <w:t>保障办公有序进行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资金支付及时性</w:t>
            </w:r>
          </w:p>
        </w:tc>
        <w:tc>
          <w:tcPr>
            <w:tcW w:w="5386" w:type="dxa"/>
            <w:vAlign w:val="center"/>
          </w:tcPr>
          <w:p>
            <w:pPr>
              <w:pStyle w:val="12"/>
            </w:pPr>
            <w:r>
              <w:t>按计划支付</w:t>
            </w:r>
          </w:p>
        </w:tc>
        <w:tc>
          <w:tcPr>
            <w:tcW w:w="2268" w:type="dxa"/>
            <w:vAlign w:val="center"/>
          </w:tcPr>
          <w:p>
            <w:pPr>
              <w:pStyle w:val="12"/>
            </w:pPr>
            <w:r>
              <w:t>按计划支付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≤95万元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保障正常办公</w:t>
            </w:r>
          </w:p>
        </w:tc>
        <w:tc>
          <w:tcPr>
            <w:tcW w:w="5386" w:type="dxa"/>
            <w:vAlign w:val="center"/>
          </w:tcPr>
          <w:p>
            <w:pPr>
              <w:pStyle w:val="12"/>
            </w:pPr>
            <w:r>
              <w:t>维护办公环境协同发展</w:t>
            </w:r>
          </w:p>
        </w:tc>
        <w:tc>
          <w:tcPr>
            <w:tcW w:w="2268" w:type="dxa"/>
            <w:vAlign w:val="center"/>
          </w:tcPr>
          <w:p>
            <w:pPr>
              <w:pStyle w:val="12"/>
            </w:pPr>
            <w:r>
              <w:t>维护办公环境协同发展</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7、石财行【2023】48号关于提前下达2024年中央政法纪检监察转移支付资金绩效目标表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13010924P000001105421</w:t>
            </w:r>
          </w:p>
        </w:tc>
        <w:tc>
          <w:tcPr>
            <w:tcW w:w="2835" w:type="dxa"/>
            <w:vAlign w:val="center"/>
          </w:tcPr>
          <w:p>
            <w:pPr>
              <w:pStyle w:val="10"/>
            </w:pPr>
            <w:r>
              <w:t>项目名称</w:t>
            </w:r>
          </w:p>
        </w:tc>
        <w:tc>
          <w:tcPr>
            <w:tcW w:w="6095" w:type="dxa"/>
            <w:gridSpan w:val="3"/>
            <w:vAlign w:val="center"/>
          </w:tcPr>
          <w:p>
            <w:pPr>
              <w:pStyle w:val="12"/>
            </w:pPr>
            <w:r>
              <w:t>石财行【2023】48号关于提前下达2024年中央政法纪检监察转移支付资金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数字档案室设备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1.涉密</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≥1涉密</w:t>
            </w:r>
          </w:p>
        </w:tc>
        <w:tc>
          <w:tcPr>
            <w:tcW w:w="1276" w:type="dxa"/>
            <w:vAlign w:val="center"/>
          </w:tcPr>
          <w:p>
            <w:pPr>
              <w:pStyle w:val="12"/>
            </w:pPr>
            <w:r>
              <w:t>涉密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color w:val="000000"/>
          <w:sz w:val="28"/>
        </w:rPr>
        <w:t>8、营商环境举报中心劳务派遣人员工资绩效目标表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13010924P00000211093A</w:t>
            </w:r>
          </w:p>
        </w:tc>
        <w:tc>
          <w:tcPr>
            <w:tcW w:w="2835" w:type="dxa"/>
            <w:vAlign w:val="center"/>
          </w:tcPr>
          <w:p>
            <w:pPr>
              <w:pStyle w:val="10"/>
            </w:pPr>
            <w:r>
              <w:t>项目名称</w:t>
            </w:r>
          </w:p>
        </w:tc>
        <w:tc>
          <w:tcPr>
            <w:tcW w:w="6095" w:type="dxa"/>
            <w:gridSpan w:val="3"/>
            <w:vAlign w:val="center"/>
          </w:tcPr>
          <w:p>
            <w:pPr>
              <w:pStyle w:val="12"/>
            </w:pPr>
            <w:r>
              <w:t>营商环境举报中心劳务派遣人员工资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40.67</w:t>
            </w:r>
          </w:p>
        </w:tc>
        <w:tc>
          <w:tcPr>
            <w:tcW w:w="2835" w:type="dxa"/>
            <w:vAlign w:val="center"/>
          </w:tcPr>
          <w:p>
            <w:pPr>
              <w:pStyle w:val="10"/>
            </w:pPr>
            <w:r>
              <w:t>其中：财政    资金</w:t>
            </w:r>
          </w:p>
        </w:tc>
        <w:tc>
          <w:tcPr>
            <w:tcW w:w="2551" w:type="dxa"/>
            <w:vAlign w:val="center"/>
          </w:tcPr>
          <w:p>
            <w:pPr>
              <w:pStyle w:val="12"/>
            </w:pPr>
            <w:r>
              <w:t>40.67</w:t>
            </w:r>
          </w:p>
        </w:tc>
        <w:tc>
          <w:tcPr>
            <w:tcW w:w="2268" w:type="dxa"/>
            <w:vAlign w:val="center"/>
          </w:tcPr>
          <w:p>
            <w:pPr>
              <w:pStyle w:val="10"/>
            </w:pPr>
            <w:r>
              <w:t>其他资金</w:t>
            </w:r>
          </w:p>
        </w:tc>
        <w:tc>
          <w:tcPr>
            <w:tcW w:w="1276" w:type="dxa"/>
            <w:vAlign w:val="center"/>
          </w:tcPr>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1.维持单位正常运行</w:t>
            </w:r>
          </w:p>
        </w:tc>
      </w:tr>
    </w:tbl>
    <w:p>
      <w:pPr>
        <w:spacing w:line="2" w:lineRule="exact"/>
        <w:jc w:val="center"/>
      </w:pP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实际在岗劳务派遣人员8人</w:t>
            </w:r>
          </w:p>
        </w:tc>
        <w:tc>
          <w:tcPr>
            <w:tcW w:w="2268" w:type="dxa"/>
            <w:vAlign w:val="center"/>
          </w:tcPr>
          <w:p>
            <w:pPr>
              <w:pStyle w:val="12"/>
            </w:pPr>
            <w:r>
              <w:t>8人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保障纪检监察干部日常办公。</w:t>
            </w:r>
          </w:p>
        </w:tc>
        <w:tc>
          <w:tcPr>
            <w:tcW w:w="5386" w:type="dxa"/>
            <w:vAlign w:val="center"/>
          </w:tcPr>
          <w:p>
            <w:pPr>
              <w:pStyle w:val="12"/>
            </w:pPr>
            <w:r>
              <w:t>保障纪检监察干部日常办公。</w:t>
            </w:r>
          </w:p>
        </w:tc>
        <w:tc>
          <w:tcPr>
            <w:tcW w:w="2268" w:type="dxa"/>
            <w:vAlign w:val="center"/>
          </w:tcPr>
          <w:p>
            <w:pPr>
              <w:pStyle w:val="12"/>
            </w:pPr>
            <w:r>
              <w:t>≥95%</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及时支付资金情况</w:t>
            </w:r>
          </w:p>
        </w:tc>
        <w:tc>
          <w:tcPr>
            <w:tcW w:w="5386" w:type="dxa"/>
            <w:vAlign w:val="center"/>
          </w:tcPr>
          <w:p>
            <w:pPr>
              <w:pStyle w:val="12"/>
            </w:pPr>
            <w:r>
              <w:t>及时支付劳务派遣人员工资</w:t>
            </w:r>
          </w:p>
        </w:tc>
        <w:tc>
          <w:tcPr>
            <w:tcW w:w="2268" w:type="dxa"/>
            <w:vAlign w:val="center"/>
          </w:tcPr>
          <w:p>
            <w:pPr>
              <w:pStyle w:val="12"/>
            </w:pPr>
            <w:r>
              <w:t>按计划支付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严控预算控制数</w:t>
            </w:r>
          </w:p>
        </w:tc>
        <w:tc>
          <w:tcPr>
            <w:tcW w:w="2268" w:type="dxa"/>
            <w:vAlign w:val="center"/>
          </w:tcPr>
          <w:p>
            <w:pPr>
              <w:pStyle w:val="12"/>
            </w:pPr>
            <w:r>
              <w:t>≤40.68万元</w:t>
            </w:r>
          </w:p>
        </w:tc>
        <w:tc>
          <w:tcPr>
            <w:tcW w:w="1276" w:type="dxa"/>
            <w:vAlign w:val="center"/>
          </w:tcPr>
          <w:p>
            <w:pPr>
              <w:pStyle w:val="12"/>
            </w:pPr>
            <w:r>
              <w:t>预算文本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营造良好纪检监察环境</w:t>
            </w:r>
          </w:p>
        </w:tc>
        <w:tc>
          <w:tcPr>
            <w:tcW w:w="5386" w:type="dxa"/>
            <w:vAlign w:val="center"/>
          </w:tcPr>
          <w:p>
            <w:pPr>
              <w:pStyle w:val="12"/>
            </w:pPr>
            <w:r>
              <w:t>纪检监察办公水平</w:t>
            </w:r>
          </w:p>
        </w:tc>
        <w:tc>
          <w:tcPr>
            <w:tcW w:w="2268" w:type="dxa"/>
            <w:vAlign w:val="center"/>
          </w:tcPr>
          <w:p>
            <w:pPr>
              <w:pStyle w:val="12"/>
            </w:pPr>
            <w:r>
              <w:t>提升纪检监察办公水平</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公众的满意度</w:t>
            </w:r>
          </w:p>
        </w:tc>
        <w:tc>
          <w:tcPr>
            <w:tcW w:w="5386" w:type="dxa"/>
            <w:vAlign w:val="center"/>
          </w:tcPr>
          <w:p>
            <w:pPr>
              <w:pStyle w:val="12"/>
            </w:pPr>
            <w:r>
              <w:t>社会群众满意度</w:t>
            </w:r>
          </w:p>
        </w:tc>
        <w:tc>
          <w:tcPr>
            <w:tcW w:w="2268" w:type="dxa"/>
            <w:vAlign w:val="center"/>
          </w:tcPr>
          <w:p>
            <w:pPr>
              <w:pStyle w:val="12"/>
            </w:pPr>
            <w:r>
              <w:t>≥98%</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4"/>
        <w:tblW w:w="150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7712" w:type="dxa"/>
            <w:gridSpan w:val="8"/>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w:t>
            </w:r>
          </w:p>
        </w:tc>
        <w:tc>
          <w:tcPr>
            <w:tcW w:w="964" w:type="dxa"/>
            <w:vAlign w:val="center"/>
          </w:tcPr>
          <w:p>
            <w:pPr>
              <w:pStyle w:val="15"/>
            </w:pPr>
            <w:r>
              <w:t>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中国共产党石家庄市藁城区纪律检查委员会本级小计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16.00</w:t>
            </w:r>
          </w:p>
        </w:tc>
        <w:tc>
          <w:tcPr>
            <w:tcW w:w="964" w:type="dxa"/>
            <w:vAlign w:val="center"/>
          </w:tcPr>
          <w:p>
            <w:pPr>
              <w:pStyle w:val="15"/>
            </w:pPr>
            <w:r>
              <w:t>16.00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纪委监委信息系统建设</w:t>
            </w:r>
          </w:p>
        </w:tc>
        <w:tc>
          <w:tcPr>
            <w:tcW w:w="964" w:type="dxa"/>
            <w:vAlign w:val="center"/>
          </w:tcPr>
          <w:p>
            <w:pPr>
              <w:pStyle w:val="11"/>
            </w:pPr>
            <w:r>
              <w:t>6.00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0.40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纪委监委信息系统建设</w:t>
            </w:r>
          </w:p>
        </w:tc>
        <w:tc>
          <w:tcPr>
            <w:tcW w:w="964" w:type="dxa"/>
            <w:vAlign w:val="center"/>
          </w:tcPr>
          <w:p>
            <w:pPr>
              <w:pStyle w:val="11"/>
            </w:pPr>
            <w:r>
              <w:t>6.00</w:t>
            </w:r>
          </w:p>
        </w:tc>
        <w:tc>
          <w:tcPr>
            <w:tcW w:w="1134" w:type="dxa"/>
            <w:vAlign w:val="center"/>
          </w:tcPr>
          <w:p>
            <w:pPr>
              <w:pStyle w:val="12"/>
            </w:pPr>
            <w:r>
              <w:t>多功能一体机</w:t>
            </w:r>
          </w:p>
        </w:tc>
        <w:tc>
          <w:tcPr>
            <w:tcW w:w="1134" w:type="dxa"/>
            <w:vAlign w:val="center"/>
          </w:tcPr>
          <w:p>
            <w:pPr>
              <w:pStyle w:val="12"/>
            </w:pPr>
            <w:r>
              <w:t>A02020400</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0.20</w:t>
            </w:r>
          </w:p>
        </w:tc>
        <w:tc>
          <w:tcPr>
            <w:tcW w:w="964" w:type="dxa"/>
            <w:vAlign w:val="center"/>
          </w:tcPr>
          <w:p>
            <w:pPr>
              <w:pStyle w:val="11"/>
            </w:pPr>
            <w:r>
              <w:t>1.20</w:t>
            </w:r>
          </w:p>
        </w:tc>
        <w:tc>
          <w:tcPr>
            <w:tcW w:w="964" w:type="dxa"/>
            <w:vAlign w:val="center"/>
          </w:tcPr>
          <w:p>
            <w:pPr>
              <w:pStyle w:val="11"/>
            </w:pPr>
            <w:r>
              <w:t>1.20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纪委监委信息系统建设</w:t>
            </w:r>
          </w:p>
        </w:tc>
        <w:tc>
          <w:tcPr>
            <w:tcW w:w="964" w:type="dxa"/>
            <w:vAlign w:val="center"/>
          </w:tcPr>
          <w:p>
            <w:pPr>
              <w:pStyle w:val="11"/>
            </w:pPr>
            <w:r>
              <w:t>6.00</w:t>
            </w:r>
          </w:p>
        </w:tc>
        <w:tc>
          <w:tcPr>
            <w:tcW w:w="1134" w:type="dxa"/>
            <w:vAlign w:val="center"/>
          </w:tcPr>
          <w:p>
            <w:pPr>
              <w:pStyle w:val="12"/>
            </w:pPr>
            <w:r>
              <w:t>A3 黑白打印机</w:t>
            </w:r>
          </w:p>
        </w:tc>
        <w:tc>
          <w:tcPr>
            <w:tcW w:w="1134" w:type="dxa"/>
            <w:vAlign w:val="center"/>
          </w:tcPr>
          <w:p>
            <w:pPr>
              <w:pStyle w:val="12"/>
            </w:pPr>
            <w:r>
              <w:t>A02021001</w:t>
            </w:r>
          </w:p>
        </w:tc>
        <w:tc>
          <w:tcPr>
            <w:tcW w:w="709" w:type="dxa"/>
            <w:vAlign w:val="center"/>
          </w:tcPr>
          <w:p>
            <w:pPr>
              <w:pStyle w:val="13"/>
            </w:pPr>
            <w:r>
              <w:t>台</w:t>
            </w:r>
          </w:p>
        </w:tc>
        <w:tc>
          <w:tcPr>
            <w:tcW w:w="850" w:type="dxa"/>
            <w:vAlign w:val="center"/>
          </w:tcPr>
          <w:p>
            <w:pPr>
              <w:pStyle w:val="11"/>
            </w:pPr>
            <w:r>
              <w:t>6</w:t>
            </w:r>
          </w:p>
        </w:tc>
        <w:tc>
          <w:tcPr>
            <w:tcW w:w="850" w:type="dxa"/>
            <w:vAlign w:val="center"/>
          </w:tcPr>
          <w:p>
            <w:pPr>
              <w:pStyle w:val="11"/>
            </w:pPr>
            <w:r>
              <w:t>0.40</w:t>
            </w:r>
          </w:p>
        </w:tc>
        <w:tc>
          <w:tcPr>
            <w:tcW w:w="964" w:type="dxa"/>
            <w:vAlign w:val="center"/>
          </w:tcPr>
          <w:p>
            <w:pPr>
              <w:pStyle w:val="11"/>
            </w:pPr>
            <w:r>
              <w:t>2.40</w:t>
            </w:r>
          </w:p>
        </w:tc>
        <w:tc>
          <w:tcPr>
            <w:tcW w:w="964" w:type="dxa"/>
            <w:vAlign w:val="center"/>
          </w:tcPr>
          <w:p>
            <w:pPr>
              <w:pStyle w:val="11"/>
            </w:pPr>
            <w:r>
              <w:t>2.40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石财行【2023】48号关于提前下达2024年中央政法纪检监察转移支付资金</w:t>
            </w:r>
          </w:p>
        </w:tc>
        <w:tc>
          <w:tcPr>
            <w:tcW w:w="964" w:type="dxa"/>
            <w:vAlign w:val="center"/>
          </w:tcPr>
          <w:p>
            <w:pPr>
              <w:pStyle w:val="11"/>
            </w:pPr>
            <w:r>
              <w:t>10.00</w:t>
            </w:r>
          </w:p>
        </w:tc>
        <w:tc>
          <w:tcPr>
            <w:tcW w:w="1134" w:type="dxa"/>
            <w:vAlign w:val="center"/>
          </w:tcPr>
          <w:p>
            <w:pPr>
              <w:pStyle w:val="12"/>
            </w:pPr>
            <w:r>
              <w:t>其他图书档案设备</w:t>
            </w:r>
          </w:p>
        </w:tc>
        <w:tc>
          <w:tcPr>
            <w:tcW w:w="1134" w:type="dxa"/>
            <w:vAlign w:val="center"/>
          </w:tcPr>
          <w:p>
            <w:pPr>
              <w:pStyle w:val="12"/>
            </w:pPr>
            <w:r>
              <w:t>A02049900</w:t>
            </w:r>
          </w:p>
        </w:tc>
        <w:tc>
          <w:tcPr>
            <w:tcW w:w="709" w:type="dxa"/>
            <w:vAlign w:val="center"/>
          </w:tcPr>
          <w:p>
            <w:pPr>
              <w:pStyle w:val="13"/>
            </w:pPr>
            <w:r>
              <w:t>套</w:t>
            </w:r>
          </w:p>
        </w:tc>
        <w:tc>
          <w:tcPr>
            <w:tcW w:w="850" w:type="dxa"/>
            <w:vAlign w:val="center"/>
          </w:tcPr>
          <w:p>
            <w:pPr>
              <w:pStyle w:val="11"/>
            </w:pPr>
            <w:r>
              <w:t>1</w:t>
            </w:r>
          </w:p>
        </w:tc>
        <w:tc>
          <w:tcPr>
            <w:tcW w:w="850" w:type="dxa"/>
            <w:vAlign w:val="center"/>
          </w:tcPr>
          <w:p>
            <w:pPr>
              <w:pStyle w:val="11"/>
            </w:pPr>
            <w:r>
              <w:t>10.00</w:t>
            </w:r>
          </w:p>
        </w:tc>
        <w:tc>
          <w:tcPr>
            <w:tcW w:w="964" w:type="dxa"/>
            <w:vAlign w:val="center"/>
          </w:tcPr>
          <w:p>
            <w:pPr>
              <w:pStyle w:val="11"/>
            </w:pPr>
            <w:r>
              <w:t>10.00</w:t>
            </w:r>
          </w:p>
        </w:tc>
        <w:tc>
          <w:tcPr>
            <w:tcW w:w="964" w:type="dxa"/>
            <w:vAlign w:val="center"/>
          </w:tcPr>
          <w:p>
            <w:pPr>
              <w:pStyle w:val="11"/>
            </w:pPr>
            <w:r>
              <w:t>10.00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中国共产党石家庄市藁城区纪律检查委员会（含所属单位）上年末固定资产金额为309.12万元（详见下表）。本年度拟购置固定资产总额为16.00万元，已按要求列入政府采购预算，详见政府采购预算表。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222中国共产党石家庄市藁城区纪律检查委员会</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309.12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11</w:t>
            </w:r>
          </w:p>
        </w:tc>
        <w:tc>
          <w:tcPr>
            <w:tcW w:w="2835" w:type="dxa"/>
            <w:vAlign w:val="center"/>
          </w:tcPr>
          <w:p>
            <w:pPr>
              <w:pStyle w:val="11"/>
            </w:pPr>
            <w:r>
              <w:t>52.34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1379</w:t>
            </w:r>
          </w:p>
        </w:tc>
        <w:tc>
          <w:tcPr>
            <w:tcW w:w="2835" w:type="dxa"/>
            <w:vAlign w:val="center"/>
          </w:tcPr>
          <w:p>
            <w:pPr>
              <w:pStyle w:val="11"/>
            </w:pPr>
            <w:r>
              <w:t>256.78</w:t>
            </w:r>
          </w:p>
        </w:tc>
      </w:tr>
    </w:tbl>
    <w:p>
      <w:pPr>
        <w:ind w:firstLine="640"/>
      </w:pP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86"/>
    <w:family w:val="auto"/>
    <w:pitch w:val="default"/>
    <w:sig w:usb0="00000000" w:usb1="00000000" w:usb2="00000000" w:usb3="00000000" w:csb0="00040000" w:csb1="00000000"/>
  </w:font>
  <w:font w:name="方正书宋_GBK">
    <w:altName w:val="宋体"/>
    <w:panose1 w:val="00000000000000000000"/>
    <w:charset w:val="00"/>
    <w:family w:val="auto"/>
    <w:pitch w:val="default"/>
    <w:sig w:usb0="00000000" w:usb1="00000000" w:usb2="00000000" w:usb3="00000000" w:csb0="00000000" w:csb1="00000000"/>
  </w:font>
  <w:font w:name="方正仿宋_GBK">
    <w:altName w:val="微软雅黑"/>
    <w:panose1 w:val="03000509000000000000"/>
    <w:charset w:val="86"/>
    <w:family w:val="script"/>
    <w:pitch w:val="default"/>
    <w:sig w:usb0="00000000" w:usb1="00000000" w:usb2="00000010" w:usb3="00000000" w:csb0="00040000" w:csb1="00000000"/>
  </w:font>
  <w:font w:name="方正楷体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6EC8"/>
    <w:rsid w:val="002D1973"/>
    <w:rsid w:val="002D5078"/>
    <w:rsid w:val="00BF31D6"/>
    <w:rsid w:val="00E252CB"/>
    <w:rsid w:val="00EF6EC8"/>
    <w:rsid w:val="5AFD27D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unhideWhenUsed/>
    <w:uiPriority w:val="1"/>
  </w:style>
  <w:style w:type="table" w:default="1" w:styleId="4">
    <w:name w:val="Normal Table"/>
    <w:semiHidden/>
    <w:unhideWhenUsed/>
    <w:uiPriority w:val="99"/>
    <w:tblPr>
      <w:tblLayout w:type="fixed"/>
      <w:tblCellMar>
        <w:top w:w="0" w:type="dxa"/>
        <w:left w:w="108" w:type="dxa"/>
        <w:bottom w:w="0" w:type="dxa"/>
        <w:right w:w="108" w:type="dxa"/>
      </w:tblCellMar>
    </w:tblPr>
  </w:style>
  <w:style w:type="paragraph" w:styleId="2">
    <w:name w:val="footer"/>
    <w:basedOn w:val="1"/>
    <w:link w:val="29"/>
    <w:semiHidden/>
    <w:unhideWhenUsed/>
    <w:uiPriority w:val="99"/>
    <w:pPr>
      <w:tabs>
        <w:tab w:val="center" w:pos="4153"/>
        <w:tab w:val="right" w:pos="8306"/>
      </w:tabs>
      <w:snapToGrid w:val="0"/>
    </w:pPr>
    <w:rPr>
      <w:sz w:val="18"/>
      <w:szCs w:val="18"/>
    </w:rPr>
  </w:style>
  <w:style w:type="paragraph" w:styleId="3">
    <w:name w:val="header"/>
    <w:basedOn w:val="1"/>
    <w:link w:val="28"/>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TOC 21"/>
    <w:basedOn w:val="1"/>
    <w:qFormat/>
    <w:uiPriority w:val="0"/>
    <w:pPr>
      <w:ind w:left="240"/>
    </w:pPr>
  </w:style>
  <w:style w:type="paragraph" w:customStyle="1" w:styleId="26">
    <w:name w:val="TOC 31"/>
    <w:basedOn w:val="1"/>
    <w:qFormat/>
    <w:uiPriority w:val="0"/>
    <w:pPr>
      <w:ind w:left="480"/>
    </w:pPr>
  </w:style>
  <w:style w:type="paragraph" w:customStyle="1" w:styleId="27">
    <w:name w:val="TOC 11"/>
    <w:basedOn w:val="1"/>
    <w:qFormat/>
    <w:uiPriority w:val="0"/>
    <w:pPr>
      <w:spacing w:before="120"/>
      <w:ind w:firstLine="560"/>
    </w:pPr>
    <w:rPr>
      <w:rFonts w:eastAsia="方正仿宋_GBK"/>
      <w:color w:val="000000"/>
      <w:sz w:val="28"/>
    </w:rPr>
  </w:style>
  <w:style w:type="character" w:customStyle="1" w:styleId="28">
    <w:name w:val="页眉 字符"/>
    <w:basedOn w:val="6"/>
    <w:link w:val="3"/>
    <w:semiHidden/>
    <w:uiPriority w:val="99"/>
    <w:rPr>
      <w:rFonts w:eastAsia="Times New Roman"/>
      <w:sz w:val="18"/>
      <w:szCs w:val="18"/>
      <w:lang w:eastAsia="uk-UA"/>
    </w:rPr>
  </w:style>
  <w:style w:type="character" w:customStyle="1" w:styleId="29">
    <w:name w:val="页脚 字符"/>
    <w:basedOn w:val="6"/>
    <w:link w:val="2"/>
    <w:semiHidden/>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1" Type="http://schemas.openxmlformats.org/officeDocument/2006/relationships/fontTable" Target="fontTable.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2024-02-28T16:28:57Z</dcterms:created>
  <dcterms:modified xsi:type="dcterms:W3CDTF">2024-02-28T08:28:57Z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2024-02-28T16:28:59Z</dcterms:created>
  <dcterms:modified xsi:type="dcterms:W3CDTF">2024-02-28T08:28:59Z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2024-02-28T16:28:58Z</dcterms:created>
  <dcterms:modified xsi:type="dcterms:W3CDTF">2024-02-28T08:28:58Z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2024-02-28T16:28:56Z</dcterms:created>
  <dcterms:modified xsi:type="dcterms:W3CDTF">2024-02-28T08:28:56Z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2024-02-28T16:29:01Z</dcterms:created>
  <dcterms:modified xsi:type="dcterms:W3CDTF">2024-02-28T08:29:01Z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2024-02-28T16:28:57Z</dcterms:created>
  <dcterms:modified xsi:type="dcterms:W3CDTF">2024-02-28T08:28:57Z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2024-02-28T16:28:58Z</dcterms:created>
  <dcterms:modified xsi:type="dcterms:W3CDTF">2024-02-28T08:28:58Z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2024-02-28T16:29:00Z</dcterms:created>
  <dcterms:modified xsi:type="dcterms:W3CDTF">2024-02-28T08:29:00Z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2024-02-28T16:28:59Z</dcterms:created>
  <dcterms:modified xsi:type="dcterms:W3CDTF">2024-02-28T08:28:59Z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2024-02-28T16:29:01Z</dcterms:created>
  <dcterms:modified xsi:type="dcterms:W3CDTF">2024-02-28T08:29:01Z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2024-02-28T16:29:00Z</dcterms:created>
  <dcterms:modified xsi:type="dcterms:W3CDTF">2024-02-28T08:28:59Z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2024-02-28T16:29:02Z</dcterms:created>
  <dcterms:modified xsi:type="dcterms:W3CDTF">2024-02-28T08:29:02Z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54FC812-6BEA-4F8A-B4EB-72E1323B9E03}">
  <ds:schemaRefs/>
</ds:datastoreItem>
</file>

<file path=customXml/itemProps11.xml><?xml version="1.0" encoding="utf-8"?>
<ds:datastoreItem xmlns:ds="http://schemas.openxmlformats.org/officeDocument/2006/customXml" ds:itemID="{4B7F1D77-20FA-414F-88A3-F90A51CFABF1}">
  <ds:schemaRefs/>
</ds:datastoreItem>
</file>

<file path=customXml/itemProps12.xml><?xml version="1.0" encoding="utf-8"?>
<ds:datastoreItem xmlns:ds="http://schemas.openxmlformats.org/officeDocument/2006/customXml" ds:itemID="{5492A651-18DC-427E-BC2E-B48D67D44199}">
  <ds:schemaRefs/>
</ds:datastoreItem>
</file>

<file path=customXml/itemProps13.xml><?xml version="1.0" encoding="utf-8"?>
<ds:datastoreItem xmlns:ds="http://schemas.openxmlformats.org/officeDocument/2006/customXml" ds:itemID="{D970BAB9-F2E0-4986-9CC1-8FD6E0B87016}">
  <ds:schemaRefs/>
</ds:datastoreItem>
</file>

<file path=customXml/itemProps14.xml><?xml version="1.0" encoding="utf-8"?>
<ds:datastoreItem xmlns:ds="http://schemas.openxmlformats.org/officeDocument/2006/customXml" ds:itemID="{AFA9106D-9862-47CB-829E-A97D912D8ADE}">
  <ds:schemaRefs/>
</ds:datastoreItem>
</file>

<file path=customXml/itemProps15.xml><?xml version="1.0" encoding="utf-8"?>
<ds:datastoreItem xmlns:ds="http://schemas.openxmlformats.org/officeDocument/2006/customXml" ds:itemID="{39DDEC9E-EEF4-4E67-8ACB-AC6172B27511}">
  <ds:schemaRefs/>
</ds:datastoreItem>
</file>

<file path=customXml/itemProps16.xml><?xml version="1.0" encoding="utf-8"?>
<ds:datastoreItem xmlns:ds="http://schemas.openxmlformats.org/officeDocument/2006/customXml" ds:itemID="{937AD406-F292-41D7-B278-C8E0D74ACC86}">
  <ds:schemaRefs/>
</ds:datastoreItem>
</file>

<file path=customXml/itemProps17.xml><?xml version="1.0" encoding="utf-8"?>
<ds:datastoreItem xmlns:ds="http://schemas.openxmlformats.org/officeDocument/2006/customXml" ds:itemID="{E519951D-AA2F-4910-B930-695A583A1862}">
  <ds:schemaRefs/>
</ds:datastoreItem>
</file>

<file path=customXml/itemProps18.xml><?xml version="1.0" encoding="utf-8"?>
<ds:datastoreItem xmlns:ds="http://schemas.openxmlformats.org/officeDocument/2006/customXml" ds:itemID="{B304F1C9-9CE0-4522-A525-EDD8A076A102}">
  <ds:schemaRefs/>
</ds:datastoreItem>
</file>

<file path=customXml/itemProps19.xml><?xml version="1.0" encoding="utf-8"?>
<ds:datastoreItem xmlns:ds="http://schemas.openxmlformats.org/officeDocument/2006/customXml" ds:itemID="{C4C7E17F-5595-409D-8D6A-7E50E4A09E78}">
  <ds:schemaRefs/>
</ds:datastoreItem>
</file>

<file path=customXml/itemProps2.xml><?xml version="1.0" encoding="utf-8"?>
<ds:datastoreItem xmlns:ds="http://schemas.openxmlformats.org/officeDocument/2006/customXml" ds:itemID="{3D92C75B-340A-4545-8609-118566793304}">
  <ds:schemaRefs/>
</ds:datastoreItem>
</file>

<file path=customXml/itemProps20.xml><?xml version="1.0" encoding="utf-8"?>
<ds:datastoreItem xmlns:ds="http://schemas.openxmlformats.org/officeDocument/2006/customXml" ds:itemID="{AF21BFBC-60B6-4549-8204-9B43EE2600D3}">
  <ds:schemaRefs/>
</ds:datastoreItem>
</file>

<file path=customXml/itemProps21.xml><?xml version="1.0" encoding="utf-8"?>
<ds:datastoreItem xmlns:ds="http://schemas.openxmlformats.org/officeDocument/2006/customXml" ds:itemID="{EBB945BD-84E7-4F4E-B554-3E81A6D00F7C}">
  <ds:schemaRefs/>
</ds:datastoreItem>
</file>

<file path=customXml/itemProps22.xml><?xml version="1.0" encoding="utf-8"?>
<ds:datastoreItem xmlns:ds="http://schemas.openxmlformats.org/officeDocument/2006/customXml" ds:itemID="{71140014-62E7-47D8-94DD-973677956E3F}">
  <ds:schemaRefs/>
</ds:datastoreItem>
</file>

<file path=customXml/itemProps23.xml><?xml version="1.0" encoding="utf-8"?>
<ds:datastoreItem xmlns:ds="http://schemas.openxmlformats.org/officeDocument/2006/customXml" ds:itemID="{5BE304F2-3EA0-4538-81BF-1D0C93BFE4AF}">
  <ds:schemaRefs/>
</ds:datastoreItem>
</file>

<file path=customXml/itemProps24.xml><?xml version="1.0" encoding="utf-8"?>
<ds:datastoreItem xmlns:ds="http://schemas.openxmlformats.org/officeDocument/2006/customXml" ds:itemID="{26621AE1-4FB7-429C-9553-2E5FC421BA2E}">
  <ds:schemaRefs/>
</ds:datastoreItem>
</file>

<file path=customXml/itemProps25.xml><?xml version="1.0" encoding="utf-8"?>
<ds:datastoreItem xmlns:ds="http://schemas.openxmlformats.org/officeDocument/2006/customXml" ds:itemID="{50E253AB-1D03-43D0-9E4A-26A14608610F}">
  <ds:schemaRefs/>
</ds:datastoreItem>
</file>

<file path=customXml/itemProps3.xml><?xml version="1.0" encoding="utf-8"?>
<ds:datastoreItem xmlns:ds="http://schemas.openxmlformats.org/officeDocument/2006/customXml" ds:itemID="{4506EBEB-85BE-49C8-A114-AE520CE420B9}">
  <ds:schemaRefs/>
</ds:datastoreItem>
</file>

<file path=customXml/itemProps4.xml><?xml version="1.0" encoding="utf-8"?>
<ds:datastoreItem xmlns:ds="http://schemas.openxmlformats.org/officeDocument/2006/customXml" ds:itemID="{69CF24BB-0581-4620-8033-950F0248E97D}">
  <ds:schemaRefs/>
</ds:datastoreItem>
</file>

<file path=customXml/itemProps5.xml><?xml version="1.0" encoding="utf-8"?>
<ds:datastoreItem xmlns:ds="http://schemas.openxmlformats.org/officeDocument/2006/customXml" ds:itemID="{118E8B39-FAAA-4305-A334-5ABC34448F27}">
  <ds:schemaRefs/>
</ds:datastoreItem>
</file>

<file path=customXml/itemProps6.xml><?xml version="1.0" encoding="utf-8"?>
<ds:datastoreItem xmlns:ds="http://schemas.openxmlformats.org/officeDocument/2006/customXml" ds:itemID="{50DB666E-B9D2-4B55-A2C7-B4CD6960CDE1}">
  <ds:schemaRefs/>
</ds:datastoreItem>
</file>

<file path=customXml/itemProps7.xml><?xml version="1.0" encoding="utf-8"?>
<ds:datastoreItem xmlns:ds="http://schemas.openxmlformats.org/officeDocument/2006/customXml" ds:itemID="{8DB2256D-09FC-4F14-AEE5-3B080A67D42A}">
  <ds:schemaRefs/>
</ds:datastoreItem>
</file>

<file path=customXml/itemProps8.xml><?xml version="1.0" encoding="utf-8"?>
<ds:datastoreItem xmlns:ds="http://schemas.openxmlformats.org/officeDocument/2006/customXml" ds:itemID="{AA59080E-AE3C-4CA6-9B88-90B2EE518BF9}">
  <ds:schemaRefs/>
</ds:datastoreItem>
</file>

<file path=customXml/itemProps9.xml><?xml version="1.0" encoding="utf-8"?>
<ds:datastoreItem xmlns:ds="http://schemas.openxmlformats.org/officeDocument/2006/customXml" ds:itemID="{CC834280-3E2F-42FC-AE58-79BAB1876863}">
  <ds:schemaRefs/>
</ds:datastoreItem>
</file>

<file path=docProps/app.xml><?xml version="1.0" encoding="utf-8"?>
<Properties xmlns="http://schemas.openxmlformats.org/officeDocument/2006/extended-properties" xmlns:vt="http://schemas.openxmlformats.org/officeDocument/2006/docPropsVTypes">
  <Template>Normal</Template>
  <Pages>35</Pages>
  <Words>2493</Words>
  <Characters>14215</Characters>
  <Lines>118</Lines>
  <Paragraphs>33</Paragraphs>
  <TotalTime>21</TotalTime>
  <ScaleCrop>false</ScaleCrop>
  <LinksUpToDate>false</LinksUpToDate>
  <CharactersWithSpaces>16675</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2024-02-28T16:29:00Z</dcterms:created>
  <dc:creator>Administrator</dc:creator>
  <cp:lastModifiedBy>Administrator</cp:lastModifiedBy>
  <dcterms:modified xsi:type="dcterms:W3CDTF">2024-04-02T09:08:33Z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