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417.54</w:t>
            </w:r>
          </w:p>
        </w:tc>
        <w:tc>
          <w:tcPr>
            <w:tcW w:w="1971" w:type="dxa"/>
            <w:vAlign w:val="center"/>
          </w:tcPr>
          <w:p>
            <w:pPr>
              <w:pStyle w:val="13"/>
            </w:pPr>
            <w:r>
              <w:t>一、一般公共服务支出</w:t>
            </w:r>
          </w:p>
        </w:tc>
        <w:tc>
          <w:tcPr>
            <w:tcW w:w="1971" w:type="dxa"/>
            <w:vAlign w:val="center"/>
          </w:tcPr>
          <w:p>
            <w:pPr>
              <w:pStyle w:val="12"/>
            </w:pPr>
            <w:r>
              <w:t>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417.54</w:t>
            </w:r>
          </w:p>
        </w:tc>
        <w:tc>
          <w:tcPr>
            <w:tcW w:w="1971" w:type="dxa"/>
            <w:vAlign w:val="center"/>
          </w:tcPr>
          <w:p>
            <w:pPr>
              <w:pStyle w:val="15"/>
            </w:pPr>
            <w:r>
              <w:t>本年支出合计</w:t>
            </w:r>
          </w:p>
        </w:tc>
        <w:tc>
          <w:tcPr>
            <w:tcW w:w="1971" w:type="dxa"/>
            <w:vAlign w:val="center"/>
          </w:tcPr>
          <w:p>
            <w:pPr>
              <w:pStyle w:val="16"/>
            </w:pPr>
            <w:r>
              <w:t>417.54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417.54</w:t>
            </w:r>
          </w:p>
        </w:tc>
        <w:tc>
          <w:tcPr>
            <w:tcW w:w="1971" w:type="dxa"/>
            <w:vAlign w:val="center"/>
          </w:tcPr>
          <w:p>
            <w:pPr>
              <w:pStyle w:val="15"/>
            </w:pPr>
            <w:r>
              <w:t>支出总计</w:t>
            </w:r>
          </w:p>
        </w:tc>
        <w:tc>
          <w:tcPr>
            <w:tcW w:w="1971" w:type="dxa"/>
            <w:vAlign w:val="center"/>
          </w:tcPr>
          <w:p>
            <w:pPr>
              <w:pStyle w:val="16"/>
            </w:pPr>
            <w:r>
              <w:t>417.54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398石家庄市藁城区投资促进局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417.54</w:t>
            </w:r>
          </w:p>
        </w:tc>
        <w:tc>
          <w:tcPr>
            <w:tcW w:w="758" w:type="dxa"/>
            <w:vAlign w:val="center"/>
          </w:tcPr>
          <w:p>
            <w:pPr>
              <w:pStyle w:val="16"/>
            </w:pPr>
            <w:r>
              <w:t>417.54</w:t>
            </w:r>
          </w:p>
        </w:tc>
        <w:tc>
          <w:tcPr>
            <w:tcW w:w="758" w:type="dxa"/>
            <w:vAlign w:val="center"/>
          </w:tcPr>
          <w:p>
            <w:pPr>
              <w:pStyle w:val="16"/>
            </w:pPr>
            <w:r>
              <w:t>417.54</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417.54</w:t>
            </w:r>
          </w:p>
        </w:tc>
        <w:tc>
          <w:tcPr>
            <w:tcW w:w="758" w:type="dxa"/>
            <w:vAlign w:val="center"/>
          </w:tcPr>
          <w:p>
            <w:pPr>
              <w:pStyle w:val="12"/>
            </w:pPr>
            <w:r>
              <w:t>417.54</w:t>
            </w:r>
          </w:p>
        </w:tc>
        <w:tc>
          <w:tcPr>
            <w:tcW w:w="758" w:type="dxa"/>
            <w:vAlign w:val="center"/>
          </w:tcPr>
          <w:p>
            <w:pPr>
              <w:pStyle w:val="12"/>
            </w:pPr>
            <w:r>
              <w:t>417.54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20104</w:t>
            </w:r>
          </w:p>
        </w:tc>
        <w:tc>
          <w:tcPr>
            <w:tcW w:w="758" w:type="dxa"/>
            <w:vAlign w:val="center"/>
          </w:tcPr>
          <w:p>
            <w:pPr>
              <w:pStyle w:val="13"/>
            </w:pPr>
            <w:r>
              <w:t>发展与改革事务</w:t>
            </w:r>
          </w:p>
        </w:tc>
        <w:tc>
          <w:tcPr>
            <w:tcW w:w="758" w:type="dxa"/>
            <w:vAlign w:val="center"/>
          </w:tcPr>
          <w:p>
            <w:pPr>
              <w:pStyle w:val="12"/>
            </w:pPr>
            <w:r>
              <w:t>297.54</w:t>
            </w:r>
          </w:p>
        </w:tc>
        <w:tc>
          <w:tcPr>
            <w:tcW w:w="758" w:type="dxa"/>
            <w:vAlign w:val="center"/>
          </w:tcPr>
          <w:p>
            <w:pPr>
              <w:pStyle w:val="12"/>
            </w:pPr>
            <w:r>
              <w:t>297.54</w:t>
            </w:r>
          </w:p>
        </w:tc>
        <w:tc>
          <w:tcPr>
            <w:tcW w:w="758" w:type="dxa"/>
            <w:vAlign w:val="center"/>
          </w:tcPr>
          <w:p>
            <w:pPr>
              <w:pStyle w:val="12"/>
            </w:pPr>
            <w:r>
              <w:t>297.54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2010401</w:t>
            </w:r>
          </w:p>
        </w:tc>
        <w:tc>
          <w:tcPr>
            <w:tcW w:w="758" w:type="dxa"/>
            <w:vAlign w:val="center"/>
          </w:tcPr>
          <w:p>
            <w:pPr>
              <w:pStyle w:val="13"/>
            </w:pPr>
            <w:r>
              <w:t>行政运行</w:t>
            </w:r>
          </w:p>
        </w:tc>
        <w:tc>
          <w:tcPr>
            <w:tcW w:w="758" w:type="dxa"/>
            <w:vAlign w:val="center"/>
          </w:tcPr>
          <w:p>
            <w:pPr>
              <w:pStyle w:val="12"/>
            </w:pPr>
            <w:r>
              <w:t>297.54</w:t>
            </w:r>
          </w:p>
        </w:tc>
        <w:tc>
          <w:tcPr>
            <w:tcW w:w="758" w:type="dxa"/>
            <w:vAlign w:val="center"/>
          </w:tcPr>
          <w:p>
            <w:pPr>
              <w:pStyle w:val="12"/>
            </w:pPr>
            <w:r>
              <w:t>297.54</w:t>
            </w:r>
          </w:p>
        </w:tc>
        <w:tc>
          <w:tcPr>
            <w:tcW w:w="758" w:type="dxa"/>
            <w:vAlign w:val="center"/>
          </w:tcPr>
          <w:p>
            <w:pPr>
              <w:pStyle w:val="12"/>
            </w:pPr>
            <w:r>
              <w:t>297.54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20113</w:t>
            </w:r>
          </w:p>
        </w:tc>
        <w:tc>
          <w:tcPr>
            <w:tcW w:w="758" w:type="dxa"/>
            <w:vAlign w:val="center"/>
          </w:tcPr>
          <w:p>
            <w:pPr>
              <w:pStyle w:val="13"/>
            </w:pPr>
            <w:r>
              <w:t>商贸事务</w:t>
            </w:r>
          </w:p>
        </w:tc>
        <w:tc>
          <w:tcPr>
            <w:tcW w:w="758" w:type="dxa"/>
            <w:vAlign w:val="center"/>
          </w:tcPr>
          <w:p>
            <w:pPr>
              <w:pStyle w:val="12"/>
            </w:pPr>
            <w:r>
              <w:t>120.00</w:t>
            </w:r>
          </w:p>
        </w:tc>
        <w:tc>
          <w:tcPr>
            <w:tcW w:w="758" w:type="dxa"/>
            <w:vAlign w:val="center"/>
          </w:tcPr>
          <w:p>
            <w:pPr>
              <w:pStyle w:val="12"/>
            </w:pPr>
            <w:r>
              <w:t>120.00</w:t>
            </w:r>
          </w:p>
        </w:tc>
        <w:tc>
          <w:tcPr>
            <w:tcW w:w="758" w:type="dxa"/>
            <w:vAlign w:val="center"/>
          </w:tcPr>
          <w:p>
            <w:pPr>
              <w:pStyle w:val="12"/>
            </w:pPr>
            <w:r>
              <w:t>120.00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2011308</w:t>
            </w:r>
          </w:p>
        </w:tc>
        <w:tc>
          <w:tcPr>
            <w:tcW w:w="758" w:type="dxa"/>
            <w:vAlign w:val="center"/>
          </w:tcPr>
          <w:p>
            <w:pPr>
              <w:pStyle w:val="13"/>
            </w:pPr>
            <w:r>
              <w:t>招商引资</w:t>
            </w:r>
          </w:p>
        </w:tc>
        <w:tc>
          <w:tcPr>
            <w:tcW w:w="758" w:type="dxa"/>
            <w:vAlign w:val="center"/>
          </w:tcPr>
          <w:p>
            <w:pPr>
              <w:pStyle w:val="12"/>
            </w:pPr>
            <w:r>
              <w:t>120.00</w:t>
            </w:r>
          </w:p>
        </w:tc>
        <w:tc>
          <w:tcPr>
            <w:tcW w:w="758" w:type="dxa"/>
            <w:vAlign w:val="center"/>
          </w:tcPr>
          <w:p>
            <w:pPr>
              <w:pStyle w:val="12"/>
            </w:pPr>
            <w:r>
              <w:t>120.00</w:t>
            </w:r>
          </w:p>
        </w:tc>
        <w:tc>
          <w:tcPr>
            <w:tcW w:w="758" w:type="dxa"/>
            <w:vAlign w:val="center"/>
          </w:tcPr>
          <w:p>
            <w:pPr>
              <w:pStyle w:val="12"/>
            </w:pPr>
            <w:r>
              <w:t>120.00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417.54</w:t>
            </w:r>
          </w:p>
        </w:tc>
        <w:tc>
          <w:tcPr>
            <w:tcW w:w="1095" w:type="dxa"/>
            <w:vAlign w:val="center"/>
          </w:tcPr>
          <w:p>
            <w:pPr>
              <w:pStyle w:val="16"/>
            </w:pPr>
            <w:r>
              <w:t>297.54</w:t>
            </w:r>
          </w:p>
        </w:tc>
        <w:tc>
          <w:tcPr>
            <w:tcW w:w="1095" w:type="dxa"/>
            <w:vAlign w:val="center"/>
          </w:tcPr>
          <w:p>
            <w:pPr>
              <w:pStyle w:val="16"/>
            </w:pPr>
            <w:r>
              <w:t>120.00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417.54</w:t>
            </w:r>
          </w:p>
        </w:tc>
        <w:tc>
          <w:tcPr>
            <w:tcW w:w="1095" w:type="dxa"/>
            <w:vAlign w:val="center"/>
          </w:tcPr>
          <w:p>
            <w:pPr>
              <w:pStyle w:val="12"/>
            </w:pPr>
            <w:r>
              <w:t>297.54</w:t>
            </w:r>
          </w:p>
        </w:tc>
        <w:tc>
          <w:tcPr>
            <w:tcW w:w="1095" w:type="dxa"/>
            <w:vAlign w:val="center"/>
          </w:tcPr>
          <w:p>
            <w:pPr>
              <w:pStyle w:val="12"/>
            </w:pPr>
            <w:r>
              <w:t>120.00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20104</w:t>
            </w:r>
          </w:p>
        </w:tc>
        <w:tc>
          <w:tcPr>
            <w:tcW w:w="1095" w:type="dxa"/>
            <w:vAlign w:val="center"/>
          </w:tcPr>
          <w:p>
            <w:pPr>
              <w:pStyle w:val="13"/>
            </w:pPr>
            <w:r>
              <w:t>发展与改革事务</w:t>
            </w:r>
          </w:p>
        </w:tc>
        <w:tc>
          <w:tcPr>
            <w:tcW w:w="1095" w:type="dxa"/>
            <w:vAlign w:val="center"/>
          </w:tcPr>
          <w:p>
            <w:pPr>
              <w:pStyle w:val="12"/>
            </w:pPr>
            <w:r>
              <w:t>297.54</w:t>
            </w:r>
          </w:p>
        </w:tc>
        <w:tc>
          <w:tcPr>
            <w:tcW w:w="1095" w:type="dxa"/>
            <w:vAlign w:val="center"/>
          </w:tcPr>
          <w:p>
            <w:pPr>
              <w:pStyle w:val="12"/>
            </w:pPr>
            <w:r>
              <w:t>297.54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2010401</w:t>
            </w:r>
          </w:p>
        </w:tc>
        <w:tc>
          <w:tcPr>
            <w:tcW w:w="1095" w:type="dxa"/>
            <w:vAlign w:val="center"/>
          </w:tcPr>
          <w:p>
            <w:pPr>
              <w:pStyle w:val="13"/>
            </w:pPr>
            <w:r>
              <w:t>行政运行</w:t>
            </w:r>
          </w:p>
        </w:tc>
        <w:tc>
          <w:tcPr>
            <w:tcW w:w="1095" w:type="dxa"/>
            <w:vAlign w:val="center"/>
          </w:tcPr>
          <w:p>
            <w:pPr>
              <w:pStyle w:val="12"/>
            </w:pPr>
            <w:r>
              <w:t>297.54</w:t>
            </w:r>
          </w:p>
        </w:tc>
        <w:tc>
          <w:tcPr>
            <w:tcW w:w="1095" w:type="dxa"/>
            <w:vAlign w:val="center"/>
          </w:tcPr>
          <w:p>
            <w:pPr>
              <w:pStyle w:val="12"/>
            </w:pPr>
            <w:r>
              <w:t>297.54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20113</w:t>
            </w:r>
          </w:p>
        </w:tc>
        <w:tc>
          <w:tcPr>
            <w:tcW w:w="1095" w:type="dxa"/>
            <w:vAlign w:val="center"/>
          </w:tcPr>
          <w:p>
            <w:pPr>
              <w:pStyle w:val="13"/>
            </w:pPr>
            <w:r>
              <w:t>商贸事务</w:t>
            </w:r>
          </w:p>
        </w:tc>
        <w:tc>
          <w:tcPr>
            <w:tcW w:w="1095" w:type="dxa"/>
            <w:vAlign w:val="center"/>
          </w:tcPr>
          <w:p>
            <w:pPr>
              <w:pStyle w:val="12"/>
            </w:pPr>
            <w:r>
              <w:t>120.00</w:t>
            </w:r>
          </w:p>
        </w:tc>
        <w:tc>
          <w:tcPr>
            <w:tcW w:w="1095" w:type="dxa"/>
            <w:vAlign w:val="center"/>
          </w:tcPr>
          <w:p>
            <w:pPr>
              <w:pStyle w:val="12"/>
            </w:pPr>
          </w:p>
        </w:tc>
        <w:tc>
          <w:tcPr>
            <w:tcW w:w="1095" w:type="dxa"/>
            <w:vAlign w:val="center"/>
          </w:tcPr>
          <w:p>
            <w:pPr>
              <w:pStyle w:val="12"/>
            </w:pPr>
            <w:r>
              <w:t>120.00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2011308</w:t>
            </w:r>
          </w:p>
        </w:tc>
        <w:tc>
          <w:tcPr>
            <w:tcW w:w="1095" w:type="dxa"/>
            <w:vAlign w:val="center"/>
          </w:tcPr>
          <w:p>
            <w:pPr>
              <w:pStyle w:val="13"/>
            </w:pPr>
            <w:r>
              <w:t>招商引资</w:t>
            </w:r>
          </w:p>
        </w:tc>
        <w:tc>
          <w:tcPr>
            <w:tcW w:w="1095" w:type="dxa"/>
            <w:vAlign w:val="center"/>
          </w:tcPr>
          <w:p>
            <w:pPr>
              <w:pStyle w:val="12"/>
            </w:pPr>
            <w:r>
              <w:t>120.00</w:t>
            </w:r>
          </w:p>
        </w:tc>
        <w:tc>
          <w:tcPr>
            <w:tcW w:w="1095" w:type="dxa"/>
            <w:vAlign w:val="center"/>
          </w:tcPr>
          <w:p>
            <w:pPr>
              <w:pStyle w:val="12"/>
            </w:pPr>
          </w:p>
        </w:tc>
        <w:tc>
          <w:tcPr>
            <w:tcW w:w="1095" w:type="dxa"/>
            <w:vAlign w:val="center"/>
          </w:tcPr>
          <w:p>
            <w:pPr>
              <w:pStyle w:val="12"/>
            </w:pPr>
            <w:r>
              <w:t>120.00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417.54</w:t>
            </w:r>
          </w:p>
        </w:tc>
        <w:tc>
          <w:tcPr>
            <w:tcW w:w="1232" w:type="dxa"/>
            <w:vAlign w:val="center"/>
          </w:tcPr>
          <w:p>
            <w:pPr>
              <w:pStyle w:val="13"/>
            </w:pPr>
            <w:r>
              <w:t>一、一般公共服务支出</w:t>
            </w:r>
          </w:p>
        </w:tc>
        <w:tc>
          <w:tcPr>
            <w:tcW w:w="1232" w:type="dxa"/>
            <w:vAlign w:val="center"/>
          </w:tcPr>
          <w:p>
            <w:pPr>
              <w:pStyle w:val="12"/>
            </w:pPr>
            <w:r>
              <w:t>417.54</w:t>
            </w:r>
          </w:p>
        </w:tc>
        <w:tc>
          <w:tcPr>
            <w:tcW w:w="1232" w:type="dxa"/>
            <w:vAlign w:val="center"/>
          </w:tcPr>
          <w:p>
            <w:pPr>
              <w:pStyle w:val="12"/>
            </w:pPr>
            <w:r>
              <w:t>417.54</w:t>
            </w: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417.54</w:t>
            </w:r>
          </w:p>
        </w:tc>
        <w:tc>
          <w:tcPr>
            <w:tcW w:w="1232" w:type="dxa"/>
            <w:vAlign w:val="center"/>
          </w:tcPr>
          <w:p>
            <w:pPr>
              <w:pStyle w:val="15"/>
            </w:pPr>
            <w:r>
              <w:t>本年支出合计</w:t>
            </w:r>
          </w:p>
        </w:tc>
        <w:tc>
          <w:tcPr>
            <w:tcW w:w="1232" w:type="dxa"/>
            <w:vAlign w:val="center"/>
          </w:tcPr>
          <w:p>
            <w:pPr>
              <w:pStyle w:val="16"/>
            </w:pPr>
            <w:r>
              <w:t>417.54</w:t>
            </w:r>
          </w:p>
        </w:tc>
        <w:tc>
          <w:tcPr>
            <w:tcW w:w="1232" w:type="dxa"/>
            <w:vAlign w:val="center"/>
          </w:tcPr>
          <w:p>
            <w:pPr>
              <w:pStyle w:val="16"/>
            </w:pPr>
            <w:r>
              <w:t>417.54</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417.54</w:t>
            </w:r>
          </w:p>
        </w:tc>
        <w:tc>
          <w:tcPr>
            <w:tcW w:w="1232" w:type="dxa"/>
            <w:vAlign w:val="center"/>
          </w:tcPr>
          <w:p>
            <w:pPr>
              <w:pStyle w:val="15"/>
            </w:pPr>
            <w:r>
              <w:t>支出总计</w:t>
            </w:r>
          </w:p>
        </w:tc>
        <w:tc>
          <w:tcPr>
            <w:tcW w:w="1232" w:type="dxa"/>
            <w:vAlign w:val="center"/>
          </w:tcPr>
          <w:p>
            <w:pPr>
              <w:pStyle w:val="16"/>
            </w:pPr>
            <w:r>
              <w:t>417.54</w:t>
            </w:r>
          </w:p>
        </w:tc>
        <w:tc>
          <w:tcPr>
            <w:tcW w:w="1232" w:type="dxa"/>
            <w:vAlign w:val="center"/>
          </w:tcPr>
          <w:p>
            <w:pPr>
              <w:pStyle w:val="16"/>
            </w:pPr>
            <w:r>
              <w:t>417.54</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417.54</w:t>
            </w:r>
          </w:p>
        </w:tc>
        <w:tc>
          <w:tcPr>
            <w:tcW w:w="1643" w:type="dxa"/>
            <w:vAlign w:val="center"/>
          </w:tcPr>
          <w:p>
            <w:pPr>
              <w:pStyle w:val="16"/>
            </w:pPr>
            <w:r>
              <w:t>297.54</w:t>
            </w:r>
          </w:p>
        </w:tc>
        <w:tc>
          <w:tcPr>
            <w:tcW w:w="1643" w:type="dxa"/>
            <w:vAlign w:val="center"/>
          </w:tcPr>
          <w:p>
            <w:pPr>
              <w:pStyle w:val="16"/>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417.54</w:t>
            </w:r>
          </w:p>
        </w:tc>
        <w:tc>
          <w:tcPr>
            <w:tcW w:w="1643" w:type="dxa"/>
            <w:vAlign w:val="center"/>
          </w:tcPr>
          <w:p>
            <w:pPr>
              <w:pStyle w:val="12"/>
            </w:pPr>
            <w:r>
              <w:t>297.54</w:t>
            </w:r>
          </w:p>
        </w:tc>
        <w:tc>
          <w:tcPr>
            <w:tcW w:w="1643"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20104</w:t>
            </w:r>
          </w:p>
        </w:tc>
        <w:tc>
          <w:tcPr>
            <w:tcW w:w="1643" w:type="dxa"/>
            <w:vAlign w:val="center"/>
          </w:tcPr>
          <w:p>
            <w:pPr>
              <w:pStyle w:val="13"/>
            </w:pPr>
            <w:r>
              <w:t>发展与改革事务</w:t>
            </w:r>
          </w:p>
        </w:tc>
        <w:tc>
          <w:tcPr>
            <w:tcW w:w="1643" w:type="dxa"/>
            <w:vAlign w:val="center"/>
          </w:tcPr>
          <w:p>
            <w:pPr>
              <w:pStyle w:val="12"/>
            </w:pPr>
            <w:r>
              <w:t>297.54</w:t>
            </w:r>
          </w:p>
        </w:tc>
        <w:tc>
          <w:tcPr>
            <w:tcW w:w="1643" w:type="dxa"/>
            <w:vAlign w:val="center"/>
          </w:tcPr>
          <w:p>
            <w:pPr>
              <w:pStyle w:val="12"/>
            </w:pPr>
            <w:r>
              <w:t>297.54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2010401</w:t>
            </w:r>
          </w:p>
        </w:tc>
        <w:tc>
          <w:tcPr>
            <w:tcW w:w="1643" w:type="dxa"/>
            <w:vAlign w:val="center"/>
          </w:tcPr>
          <w:p>
            <w:pPr>
              <w:pStyle w:val="13"/>
            </w:pPr>
            <w:r>
              <w:t>行政运行</w:t>
            </w:r>
          </w:p>
        </w:tc>
        <w:tc>
          <w:tcPr>
            <w:tcW w:w="1643" w:type="dxa"/>
            <w:vAlign w:val="center"/>
          </w:tcPr>
          <w:p>
            <w:pPr>
              <w:pStyle w:val="12"/>
            </w:pPr>
            <w:r>
              <w:t>297.54</w:t>
            </w:r>
          </w:p>
        </w:tc>
        <w:tc>
          <w:tcPr>
            <w:tcW w:w="1643" w:type="dxa"/>
            <w:vAlign w:val="center"/>
          </w:tcPr>
          <w:p>
            <w:pPr>
              <w:pStyle w:val="12"/>
            </w:pPr>
            <w:r>
              <w:t>297.54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20113</w:t>
            </w:r>
          </w:p>
        </w:tc>
        <w:tc>
          <w:tcPr>
            <w:tcW w:w="1643" w:type="dxa"/>
            <w:vAlign w:val="center"/>
          </w:tcPr>
          <w:p>
            <w:pPr>
              <w:pStyle w:val="13"/>
            </w:pPr>
            <w:r>
              <w:t>商贸事务</w:t>
            </w:r>
          </w:p>
        </w:tc>
        <w:tc>
          <w:tcPr>
            <w:tcW w:w="1643" w:type="dxa"/>
            <w:vAlign w:val="center"/>
          </w:tcPr>
          <w:p>
            <w:pPr>
              <w:pStyle w:val="12"/>
            </w:pPr>
            <w:r>
              <w:t>120.00</w:t>
            </w:r>
          </w:p>
        </w:tc>
        <w:tc>
          <w:tcPr>
            <w:tcW w:w="1643" w:type="dxa"/>
            <w:vAlign w:val="center"/>
          </w:tcPr>
          <w:p>
            <w:pPr>
              <w:pStyle w:val="12"/>
            </w:pPr>
          </w:p>
        </w:tc>
        <w:tc>
          <w:tcPr>
            <w:tcW w:w="1643" w:type="dxa"/>
            <w:vAlign w:val="center"/>
          </w:tcPr>
          <w:p>
            <w:pPr>
              <w:pStyle w:val="12"/>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2011308</w:t>
            </w:r>
          </w:p>
        </w:tc>
        <w:tc>
          <w:tcPr>
            <w:tcW w:w="1643" w:type="dxa"/>
            <w:vAlign w:val="center"/>
          </w:tcPr>
          <w:p>
            <w:pPr>
              <w:pStyle w:val="13"/>
            </w:pPr>
            <w:r>
              <w:t>招商引资</w:t>
            </w:r>
          </w:p>
        </w:tc>
        <w:tc>
          <w:tcPr>
            <w:tcW w:w="1643" w:type="dxa"/>
            <w:vAlign w:val="center"/>
          </w:tcPr>
          <w:p>
            <w:pPr>
              <w:pStyle w:val="12"/>
            </w:pPr>
            <w:r>
              <w:t>120.00</w:t>
            </w:r>
          </w:p>
        </w:tc>
        <w:tc>
          <w:tcPr>
            <w:tcW w:w="1643" w:type="dxa"/>
            <w:vAlign w:val="center"/>
          </w:tcPr>
          <w:p>
            <w:pPr>
              <w:pStyle w:val="12"/>
            </w:pPr>
          </w:p>
        </w:tc>
        <w:tc>
          <w:tcPr>
            <w:tcW w:w="1643" w:type="dxa"/>
            <w:vAlign w:val="center"/>
          </w:tcPr>
          <w:p>
            <w:pPr>
              <w:pStyle w:val="12"/>
            </w:pPr>
            <w:r>
              <w:t>120.00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297.54</w:t>
            </w:r>
          </w:p>
        </w:tc>
        <w:tc>
          <w:tcPr>
            <w:tcW w:w="1643" w:type="dxa"/>
            <w:vAlign w:val="center"/>
          </w:tcPr>
          <w:p>
            <w:pPr>
              <w:pStyle w:val="16"/>
            </w:pPr>
            <w:r>
              <w:t>278.40</w:t>
            </w:r>
          </w:p>
        </w:tc>
        <w:tc>
          <w:tcPr>
            <w:tcW w:w="1643" w:type="dxa"/>
            <w:vAlign w:val="center"/>
          </w:tcPr>
          <w:p>
            <w:pPr>
              <w:pStyle w:val="16"/>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278.40</w:t>
            </w:r>
          </w:p>
        </w:tc>
        <w:tc>
          <w:tcPr>
            <w:tcW w:w="1643" w:type="dxa"/>
            <w:vAlign w:val="center"/>
          </w:tcPr>
          <w:p>
            <w:pPr>
              <w:pStyle w:val="12"/>
            </w:pPr>
            <w:r>
              <w:t>278.40</w:t>
            </w:r>
          </w:p>
        </w:tc>
        <w:tc>
          <w:tcPr>
            <w:tcW w:w="16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58.83</w:t>
            </w:r>
          </w:p>
        </w:tc>
        <w:tc>
          <w:tcPr>
            <w:tcW w:w="1643" w:type="dxa"/>
            <w:vAlign w:val="center"/>
          </w:tcPr>
          <w:p>
            <w:pPr>
              <w:pStyle w:val="12"/>
            </w:pPr>
            <w:r>
              <w:t>58.83</w:t>
            </w:r>
          </w:p>
        </w:tc>
        <w:tc>
          <w:tcPr>
            <w:tcW w:w="1643"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57.39</w:t>
            </w:r>
          </w:p>
        </w:tc>
        <w:tc>
          <w:tcPr>
            <w:tcW w:w="1643" w:type="dxa"/>
            <w:vAlign w:val="center"/>
          </w:tcPr>
          <w:p>
            <w:pPr>
              <w:pStyle w:val="12"/>
            </w:pPr>
            <w:r>
              <w:t>57.39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21.06</w:t>
            </w:r>
          </w:p>
        </w:tc>
        <w:tc>
          <w:tcPr>
            <w:tcW w:w="1643" w:type="dxa"/>
            <w:vAlign w:val="center"/>
          </w:tcPr>
          <w:p>
            <w:pPr>
              <w:pStyle w:val="12"/>
            </w:pPr>
            <w:r>
              <w:t>21.06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54.44</w:t>
            </w:r>
          </w:p>
        </w:tc>
        <w:tc>
          <w:tcPr>
            <w:tcW w:w="1643" w:type="dxa"/>
            <w:vAlign w:val="center"/>
          </w:tcPr>
          <w:p>
            <w:pPr>
              <w:pStyle w:val="12"/>
            </w:pPr>
            <w:r>
              <w:t>54.44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31.45</w:t>
            </w:r>
          </w:p>
        </w:tc>
        <w:tc>
          <w:tcPr>
            <w:tcW w:w="1643" w:type="dxa"/>
            <w:vAlign w:val="center"/>
          </w:tcPr>
          <w:p>
            <w:pPr>
              <w:pStyle w:val="12"/>
            </w:pPr>
            <w:r>
              <w:t>31.45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10.47</w:t>
            </w:r>
          </w:p>
        </w:tc>
        <w:tc>
          <w:tcPr>
            <w:tcW w:w="1643" w:type="dxa"/>
            <w:vAlign w:val="center"/>
          </w:tcPr>
          <w:p>
            <w:pPr>
              <w:pStyle w:val="12"/>
            </w:pPr>
            <w:r>
              <w:t>10.47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12.64</w:t>
            </w:r>
          </w:p>
        </w:tc>
        <w:tc>
          <w:tcPr>
            <w:tcW w:w="1643" w:type="dxa"/>
            <w:vAlign w:val="center"/>
          </w:tcPr>
          <w:p>
            <w:pPr>
              <w:pStyle w:val="12"/>
            </w:pPr>
            <w:r>
              <w:t>12.64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24.02</w:t>
            </w:r>
          </w:p>
        </w:tc>
        <w:tc>
          <w:tcPr>
            <w:tcW w:w="1643" w:type="dxa"/>
            <w:vAlign w:val="center"/>
          </w:tcPr>
          <w:p>
            <w:pPr>
              <w:pStyle w:val="12"/>
            </w:pPr>
            <w:r>
              <w:t>24.02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19.14</w:t>
            </w:r>
          </w:p>
        </w:tc>
        <w:tc>
          <w:tcPr>
            <w:tcW w:w="1643" w:type="dxa"/>
            <w:vAlign w:val="center"/>
          </w:tcPr>
          <w:p>
            <w:pPr>
              <w:pStyle w:val="12"/>
            </w:pPr>
          </w:p>
        </w:tc>
        <w:tc>
          <w:tcPr>
            <w:tcW w:w="1643" w:type="dxa"/>
            <w:vAlign w:val="center"/>
          </w:tcPr>
          <w:p>
            <w:pPr>
              <w:pStyle w:val="12"/>
            </w:pPr>
            <w:r>
              <w:t>19.14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7.20</w:t>
            </w:r>
          </w:p>
        </w:tc>
        <w:tc>
          <w:tcPr>
            <w:tcW w:w="1643" w:type="dxa"/>
            <w:vAlign w:val="center"/>
          </w:tcPr>
          <w:p>
            <w:pPr>
              <w:pStyle w:val="12"/>
            </w:pPr>
          </w:p>
        </w:tc>
        <w:tc>
          <w:tcPr>
            <w:tcW w:w="1643"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4.08</w:t>
            </w:r>
          </w:p>
        </w:tc>
        <w:tc>
          <w:tcPr>
            <w:tcW w:w="1643" w:type="dxa"/>
            <w:vAlign w:val="center"/>
          </w:tcPr>
          <w:p>
            <w:pPr>
              <w:pStyle w:val="12"/>
            </w:pPr>
          </w:p>
        </w:tc>
        <w:tc>
          <w:tcPr>
            <w:tcW w:w="1643" w:type="dxa"/>
            <w:vAlign w:val="center"/>
          </w:tcPr>
          <w:p>
            <w:pPr>
              <w:pStyle w:val="12"/>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1.87</w:t>
            </w:r>
          </w:p>
        </w:tc>
        <w:tc>
          <w:tcPr>
            <w:tcW w:w="1643" w:type="dxa"/>
            <w:vAlign w:val="center"/>
          </w:tcPr>
          <w:p>
            <w:pPr>
              <w:pStyle w:val="12"/>
            </w:pPr>
          </w:p>
        </w:tc>
        <w:tc>
          <w:tcPr>
            <w:tcW w:w="1643" w:type="dxa"/>
            <w:vAlign w:val="center"/>
          </w:tcPr>
          <w:p>
            <w:pPr>
              <w:pStyle w:val="12"/>
            </w:pPr>
            <w:r>
              <w:t>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1.47</w:t>
            </w:r>
          </w:p>
        </w:tc>
        <w:tc>
          <w:tcPr>
            <w:tcW w:w="1643" w:type="dxa"/>
            <w:vAlign w:val="center"/>
          </w:tcPr>
          <w:p>
            <w:pPr>
              <w:pStyle w:val="12"/>
            </w:pPr>
          </w:p>
        </w:tc>
        <w:tc>
          <w:tcPr>
            <w:tcW w:w="1643" w:type="dxa"/>
            <w:vAlign w:val="center"/>
          </w:tcPr>
          <w:p>
            <w:pPr>
              <w:pStyle w:val="12"/>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4.38</w:t>
            </w:r>
          </w:p>
        </w:tc>
        <w:tc>
          <w:tcPr>
            <w:tcW w:w="1643" w:type="dxa"/>
            <w:vAlign w:val="center"/>
          </w:tcPr>
          <w:p>
            <w:pPr>
              <w:pStyle w:val="12"/>
            </w:pPr>
          </w:p>
        </w:tc>
        <w:tc>
          <w:tcPr>
            <w:tcW w:w="1643" w:type="dxa"/>
            <w:vAlign w:val="center"/>
          </w:tcPr>
          <w:p>
            <w:pPr>
              <w:pStyle w:val="12"/>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0.14</w:t>
            </w:r>
          </w:p>
        </w:tc>
        <w:tc>
          <w:tcPr>
            <w:tcW w:w="1643" w:type="dxa"/>
            <w:vAlign w:val="center"/>
          </w:tcPr>
          <w:p>
            <w:pPr>
              <w:pStyle w:val="12"/>
            </w:pPr>
          </w:p>
        </w:tc>
        <w:tc>
          <w:tcPr>
            <w:tcW w:w="1643" w:type="dxa"/>
            <w:vAlign w:val="center"/>
          </w:tcPr>
          <w:p>
            <w:pPr>
              <w:pStyle w:val="12"/>
            </w:pPr>
            <w:r>
              <w:t>0.14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398石家庄市藁城区投资促进局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石家庄市藁城区投资促进局2024年部门预算信息公开情况说明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石家庄市藁城区投资促进局2024年部门预算信息公开情况说明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按照《中华人民共和国预算法》、《地方预决算公开操作规程》和《关于进一步推进预算公开工作的实施意见》规定，现将石家庄市藁城区投资促进局2024年部门预算公开如下：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rPr>
          <w:rFonts w:hint="eastAsia" w:ascii="仿宋" w:hAnsi="仿宋" w:eastAsia="仿宋" w:cs="仿宋"/>
          <w:sz w:val="28"/>
          <w:szCs w:val="28"/>
          <w:lang w:val="en-US" w:eastAsia="zh-CN"/>
        </w:rPr>
      </w:pPr>
      <w:r>
        <w:rPr>
          <w:rFonts w:ascii="方正楷体_GBK" w:hAnsi="方正楷体_GBK" w:eastAsia="方正楷体_GBK" w:cs="方正楷体_GBK"/>
          <w:b/>
          <w:color w:val="000000"/>
          <w:sz w:val="32"/>
        </w:rPr>
        <w:t>部门职责：</w:t>
      </w:r>
      <w:r>
        <w:rPr>
          <w:rFonts w:hint="eastAsia" w:ascii="仿宋" w:hAnsi="仿宋" w:eastAsia="仿宋" w:cs="仿宋"/>
          <w:sz w:val="28"/>
          <w:szCs w:val="28"/>
          <w:lang w:val="en-US" w:eastAsia="zh-CN"/>
        </w:rPr>
        <w:t>负责拟定全区招商引资年度计划；负责机关事务工作，完成区委、区政府交办的其他任务。负责全区招商引资、内外资投资管理、经济协作、研究拟订投资促进政策，承担区投资促进工作领导小组日常工作；负责建立投资促进工作体系、工作机制，对利用国内外资金和经济技术合作进行统计、汇总、分析；负责促进资金、技术、人才、项目引进和产业对接，争取招商引资相关政策、资金和项目支持；负责投资环境营销和宣传推广，负责重点区域、重点产业、重大招商引资项目谋划、包装、推介；负责国（境）内外投资项目信息的收集、筛选工作，建立投资促进工作平台和信息网络；负责对国（境）内外重要招商项目的谋划、包装、发布、推介工作，建立项目库；负责引进央企资金、项目及各种合作，促进合作项目的建设，负责为央企服务工作；负责外商投资项目建设的跟踪、协调和服务工作，负责引进资金到位统计工作；负责指导全区经济技术交流与区域经济技术合作工作；负责区域间资金、项目、人才、科研成果及产业合作工作，开展与重点大专院校、科研院所合作；负责科研合作开发资金的申报和监督管理工作。负责贯彻落实投资促进方面地方性法规、政府规章，承担区投资促进工作领导小组日常工作；负责国（境）内外重大投资促进活动的谋划、方案制定和组织实施；牵头组织专业性、行业性投资促进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指导、协调和配合开发区（园区）建设、招商引资和体制、机制创新，负责对开发区（园区）招商引资工作的调度，协助做好开发区（园区）绩效评估、考核认定工作。</w:t>
      </w:r>
    </w:p>
    <w:p>
      <w:pPr>
        <w:spacing w:before="0" w:after="0" w:line="240" w:lineRule="auto"/>
        <w:ind w:firstLine="640"/>
        <w:jc w:val="left"/>
        <w:outlineLvl w:val="9"/>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石家庄市藁城区投资促进局本级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 417.54万元，其中：一般公共预算收入417.54万元，基金预算收入0万元，财政专户核拨收入0万元，其他来源收入0万元。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417.54万元，其中基本支出297.54万元，包括人员经费278.40万元和日常公用经费19.14万元；项目支出120万元，主要为招商工作经费100万元，招商推介活动经费20万元；其他支出0万元。</w:t>
      </w:r>
    </w:p>
    <w:p>
      <w:pPr>
        <w:pStyle w:val="19"/>
      </w:pPr>
      <w:r>
        <w:t>3、比上年增减情况</w:t>
      </w:r>
    </w:p>
    <w:p>
      <w:pPr>
        <w:pStyle w:val="19"/>
        <w:rPr>
          <w:rFonts w:hint="eastAsia" w:eastAsia="方正仿宋_GBK"/>
          <w:lang w:eastAsia="zh-CN"/>
        </w:rPr>
      </w:pPr>
      <w:bookmarkStart w:id="20" w:name="_GoBack"/>
      <w:r>
        <w:t>收入比上年减少381.69万元，</w:t>
      </w:r>
      <w:r>
        <w:rPr>
          <w:rFonts w:hint="eastAsia"/>
          <w:lang w:val="en-US" w:eastAsia="zh-CN"/>
        </w:rPr>
        <w:t>主要是</w:t>
      </w:r>
      <w:r>
        <w:t>一般公共预算收入减少381.69万元</w:t>
      </w:r>
      <w:r>
        <w:rPr>
          <w:rFonts w:hint="eastAsia"/>
          <w:lang w:eastAsia="zh-CN"/>
        </w:rPr>
        <w:t>。</w:t>
      </w:r>
    </w:p>
    <w:bookmarkEnd w:id="20"/>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部门机关运行经费共计安排19.14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公务用车购置及运维费0万元（其中：公务用车购置费0万元，无增减变化；公务用车运行维护费0万元；公务接待费0万元。“三公”经费与上年</w:t>
      </w:r>
      <w:r>
        <w:rPr>
          <w:rFonts w:hint="eastAsia"/>
          <w:lang w:val="en-US" w:eastAsia="zh-CN"/>
        </w:rPr>
        <w:t>持平，无增减变化</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根据区委主要领导批示指示精神，藁城区投促局主要承担招商引资创新路径、创新机制等招商体制改革任务。根据藁城区工作实际，我局将进一步依托资源优势，以延伸产业链条、加深产业集聚为目标，以本地核心企业为依托，赴行业发达区域开展以商招商、精准招商、驻点招商，举办高端装备制造、文旅康养、现代农业等各类招商推介，挖掘信息资源，积极对接省内食品行业专业机构、业内专家、高校教授等，同时积极向上问计，获取全市规上食品企业名单、重点项目名单等按图索骥，有针对性的开展招商引资工作，提高项目命中率，力争石家庄市现代食品产业园签约落地亿元以上项目不少于5个，以高质量招商引资为高质量发展蓄势赋能，进一步促进我区经济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（一）保障招商工作高质量开展</w:t>
      </w:r>
    </w:p>
    <w:p>
      <w:pPr>
        <w:pStyle w:val="23"/>
      </w:pPr>
      <w:r>
        <w:t>绩效目标：精准招商，提升招商工作水平。</w:t>
      </w:r>
    </w:p>
    <w:p>
      <w:pPr>
        <w:pStyle w:val="23"/>
      </w:pPr>
      <w:r>
        <w:t>绩效指标：完成年初招商计划的比例，力争石家庄市现代食品产业园签约落地亿元以上项目不少于5个。</w:t>
      </w:r>
    </w:p>
    <w:p>
      <w:pPr>
        <w:pStyle w:val="23"/>
      </w:pPr>
      <w:r>
        <w:t>（二）确保招商推介活动顺利开展</w:t>
      </w:r>
    </w:p>
    <w:p>
      <w:pPr>
        <w:pStyle w:val="23"/>
      </w:pPr>
      <w:r>
        <w:t>绩效目标：通过招商推介活动，吸引更多投资者。</w:t>
      </w:r>
    </w:p>
    <w:p>
      <w:pPr>
        <w:pStyle w:val="23"/>
      </w:pPr>
      <w:r>
        <w:t>绩效指标：完成年初参加或者举办招商活动次数。举办现代食品、高端装备制造、文旅康养、现代农业等各类招商推介活动不少于4次。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一)完善制度建设。坚持周例会制度，无特殊情况每周一上午召开周例会，周五下午进行周总结，及时商议解决工作中遇到的难点问题，安排部署阶段性重点工作。同时加强制度建设，完善了“三重一大”议事制度，考勤、值班、财务管理等机关内部管理制度，形成以制度管人、用制度管权、按制度办事的良好机制。</w:t>
      </w:r>
    </w:p>
    <w:p>
      <w:pPr>
        <w:pStyle w:val="24"/>
      </w:pPr>
      <w:r>
        <w:t>（二)加强支出管理。通过优化支出结构、编细编实预算、加快履行政府采购手续、尽快启动项目、及时支付资金、按规定及时下达资金等多种措施，确保支出进度达标。</w:t>
      </w:r>
    </w:p>
    <w:p>
      <w:pPr>
        <w:pStyle w:val="24"/>
      </w:pPr>
      <w:r>
        <w:t>（三)加强绩效运行监控。按要求开展绩效运行监控，发现问题及时采取措施，确保绩效目标如期保质实现。</w:t>
      </w:r>
    </w:p>
    <w:p>
      <w:pPr>
        <w:pStyle w:val="24"/>
      </w:pPr>
      <w:r>
        <w:t>（四)做好绩效自评。按要求开展年度部门预算绩效自评和重点评价工作，对评价中发现的问题及时整改，调整优化支出结构，提高财政资金使用效益。</w:t>
      </w:r>
    </w:p>
    <w:p>
      <w:pPr>
        <w:pStyle w:val="24"/>
      </w:pPr>
      <w:r>
        <w:t>（五)规范财务资产管理。在经费的使用过程中，严格执行财务管理制度、财务处理及时、会计核算规范。招商活动各项工作由局分管人员具体负责，经费使用由办公室统一安排，活动一切事务经领导班子通过方可执行。级级负责，层层审核，确保各项招商活动的有效开展。</w:t>
      </w:r>
    </w:p>
    <w:p>
      <w:pPr>
        <w:pStyle w:val="24"/>
      </w:pPr>
      <w:r>
        <w:t>（六)加强内部监督。严格遵循我局的内控流程及各项管理制度，使经费的使用做到合法合规，不超标，不浪费。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对财务工作人员培训，提高我局业务素质；加强与财政局等其他部门的沟通与交流，不断优化我局财政资金配置，提高资金使用效益；在局内开展财务制度宣传，强化全局干部职工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line="460" w:lineRule="exact"/>
        <w:ind w:firstLine="1280" w:firstLineChars="400"/>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我部门2024年无专项资金</w:t>
      </w:r>
      <w:r>
        <w:rPr>
          <w:rFonts w:hint="eastAsia" w:ascii="仿宋" w:hAnsi="仿宋" w:eastAsia="仿宋" w:cs="方正楷体_GBK"/>
          <w:color w:val="000000"/>
          <w:sz w:val="32"/>
          <w:lang w:eastAsia="zh-CN"/>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1、招商工作经费绩效目标表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13010924P000002113285</w:t>
            </w:r>
          </w:p>
        </w:tc>
        <w:tc>
          <w:tcPr>
            <w:tcW w:w="2114" w:type="dxa"/>
            <w:vAlign w:val="center"/>
          </w:tcPr>
          <w:p>
            <w:pPr>
              <w:pStyle w:val="11"/>
            </w:pPr>
            <w:r>
              <w:t>项目名称</w:t>
            </w:r>
          </w:p>
        </w:tc>
        <w:tc>
          <w:tcPr>
            <w:tcW w:w="6342" w:type="dxa"/>
            <w:gridSpan w:val="3"/>
            <w:vAlign w:val="center"/>
          </w:tcPr>
          <w:p>
            <w:pPr>
              <w:pStyle w:val="13"/>
            </w:pPr>
            <w:r>
              <w:t>招商工作经费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100.00</w:t>
            </w:r>
          </w:p>
        </w:tc>
        <w:tc>
          <w:tcPr>
            <w:tcW w:w="2114" w:type="dxa"/>
            <w:vAlign w:val="center"/>
          </w:tcPr>
          <w:p>
            <w:pPr>
              <w:pStyle w:val="11"/>
            </w:pPr>
            <w:r>
              <w:t>其中：财政    资金</w:t>
            </w:r>
          </w:p>
        </w:tc>
        <w:tc>
          <w:tcPr>
            <w:tcW w:w="2114" w:type="dxa"/>
            <w:vAlign w:val="center"/>
          </w:tcPr>
          <w:p>
            <w:pPr>
              <w:pStyle w:val="13"/>
            </w:pPr>
            <w:r>
              <w:t>100.00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用于招商引资工作经费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1.通过开展招商工作，促进我区经济发展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举办招商引资活动数量</w:t>
            </w:r>
          </w:p>
        </w:tc>
        <w:tc>
          <w:tcPr>
            <w:tcW w:w="4228" w:type="dxa"/>
            <w:vAlign w:val="center"/>
          </w:tcPr>
          <w:p>
            <w:pPr>
              <w:pStyle w:val="13"/>
            </w:pPr>
            <w:r>
              <w:t>举办招商引资活动数量</w:t>
            </w:r>
          </w:p>
        </w:tc>
        <w:tc>
          <w:tcPr>
            <w:tcW w:w="2114" w:type="dxa"/>
            <w:vAlign w:val="center"/>
          </w:tcPr>
          <w:p>
            <w:pPr>
              <w:pStyle w:val="13"/>
            </w:pPr>
            <w:r>
              <w:t>≥50次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招商活动的签约项目个数</w:t>
            </w:r>
          </w:p>
        </w:tc>
        <w:tc>
          <w:tcPr>
            <w:tcW w:w="4228" w:type="dxa"/>
            <w:vAlign w:val="center"/>
          </w:tcPr>
          <w:p>
            <w:pPr>
              <w:pStyle w:val="13"/>
            </w:pPr>
            <w:r>
              <w:t>招商活动的签约项目个数</w:t>
            </w:r>
          </w:p>
        </w:tc>
        <w:tc>
          <w:tcPr>
            <w:tcW w:w="2114" w:type="dxa"/>
            <w:vAlign w:val="center"/>
          </w:tcPr>
          <w:p>
            <w:pPr>
              <w:pStyle w:val="13"/>
            </w:pPr>
            <w:r>
              <w:t>≥5个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评定工作完成时间</w:t>
            </w:r>
          </w:p>
        </w:tc>
        <w:tc>
          <w:tcPr>
            <w:tcW w:w="4228" w:type="dxa"/>
            <w:vAlign w:val="center"/>
          </w:tcPr>
          <w:p>
            <w:pPr>
              <w:pStyle w:val="13"/>
            </w:pPr>
            <w:r>
              <w:t>评定工作完成时间</w:t>
            </w:r>
          </w:p>
        </w:tc>
        <w:tc>
          <w:tcPr>
            <w:tcW w:w="2114" w:type="dxa"/>
            <w:vAlign w:val="center"/>
          </w:tcPr>
          <w:p>
            <w:pPr>
              <w:pStyle w:val="13"/>
            </w:pPr>
            <w:r>
              <w:t>四个季度</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项目总成本</w:t>
            </w:r>
          </w:p>
        </w:tc>
        <w:tc>
          <w:tcPr>
            <w:tcW w:w="2114" w:type="dxa"/>
            <w:vAlign w:val="center"/>
          </w:tcPr>
          <w:p>
            <w:pPr>
              <w:pStyle w:val="13"/>
            </w:pPr>
            <w:r>
              <w:t>≤2万元（该数据取平均值）</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对经济发展的促进作用</w:t>
            </w:r>
          </w:p>
        </w:tc>
        <w:tc>
          <w:tcPr>
            <w:tcW w:w="4228" w:type="dxa"/>
            <w:vAlign w:val="center"/>
          </w:tcPr>
          <w:p>
            <w:pPr>
              <w:pStyle w:val="13"/>
            </w:pPr>
            <w:r>
              <w:t>对经济发展的促进作用</w:t>
            </w:r>
          </w:p>
        </w:tc>
        <w:tc>
          <w:tcPr>
            <w:tcW w:w="2114" w:type="dxa"/>
            <w:vAlign w:val="center"/>
          </w:tcPr>
          <w:p>
            <w:pPr>
              <w:pStyle w:val="13"/>
            </w:pPr>
            <w:r>
              <w:t>促进经济发展</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对经济发展的促进作用</w:t>
            </w:r>
          </w:p>
        </w:tc>
        <w:tc>
          <w:tcPr>
            <w:tcW w:w="4228" w:type="dxa"/>
            <w:vAlign w:val="center"/>
          </w:tcPr>
          <w:p>
            <w:pPr>
              <w:pStyle w:val="13"/>
            </w:pPr>
            <w:r>
              <w:t>对经济发展的促进作用</w:t>
            </w:r>
          </w:p>
        </w:tc>
        <w:tc>
          <w:tcPr>
            <w:tcW w:w="2114" w:type="dxa"/>
            <w:vAlign w:val="center"/>
          </w:tcPr>
          <w:p>
            <w:pPr>
              <w:pStyle w:val="13"/>
            </w:pPr>
            <w:r>
              <w:t>较上年有提升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服务对象的满意程度</w:t>
            </w:r>
          </w:p>
        </w:tc>
        <w:tc>
          <w:tcPr>
            <w:tcW w:w="4228" w:type="dxa"/>
            <w:vAlign w:val="center"/>
          </w:tcPr>
          <w:p>
            <w:pPr>
              <w:pStyle w:val="13"/>
            </w:pPr>
            <w:r>
              <w:t>服务对象的满意程度</w:t>
            </w:r>
          </w:p>
        </w:tc>
        <w:tc>
          <w:tcPr>
            <w:tcW w:w="2114" w:type="dxa"/>
            <w:vAlign w:val="center"/>
          </w:tcPr>
          <w:p>
            <w:pPr>
              <w:pStyle w:val="13"/>
            </w:pPr>
            <w:r>
              <w:t>≥98%</w:t>
            </w:r>
          </w:p>
        </w:tc>
        <w:tc>
          <w:tcPr>
            <w:tcW w:w="2114" w:type="dxa"/>
            <w:vAlign w:val="center"/>
          </w:tcPr>
          <w:p>
            <w:pPr>
              <w:pStyle w:val="13"/>
            </w:pPr>
            <w:r>
              <w:t>是否达到绩效指标值</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2、招商推介活动经费绩效目标表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13010924P00000211363J</w:t>
            </w:r>
          </w:p>
        </w:tc>
        <w:tc>
          <w:tcPr>
            <w:tcW w:w="2114" w:type="dxa"/>
            <w:vAlign w:val="center"/>
          </w:tcPr>
          <w:p>
            <w:pPr>
              <w:pStyle w:val="11"/>
            </w:pPr>
            <w:r>
              <w:t>项目名称</w:t>
            </w:r>
          </w:p>
        </w:tc>
        <w:tc>
          <w:tcPr>
            <w:tcW w:w="6342" w:type="dxa"/>
            <w:gridSpan w:val="3"/>
            <w:vAlign w:val="center"/>
          </w:tcPr>
          <w:p>
            <w:pPr>
              <w:pStyle w:val="13"/>
            </w:pPr>
            <w:r>
              <w:t>招商推介活动经费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20.00</w:t>
            </w:r>
          </w:p>
        </w:tc>
        <w:tc>
          <w:tcPr>
            <w:tcW w:w="2114" w:type="dxa"/>
            <w:vAlign w:val="center"/>
          </w:tcPr>
          <w:p>
            <w:pPr>
              <w:pStyle w:val="11"/>
            </w:pPr>
            <w:r>
              <w:t>其中：财政    资金</w:t>
            </w:r>
          </w:p>
        </w:tc>
        <w:tc>
          <w:tcPr>
            <w:tcW w:w="2114" w:type="dxa"/>
            <w:vAlign w:val="center"/>
          </w:tcPr>
          <w:p>
            <w:pPr>
              <w:pStyle w:val="13"/>
            </w:pPr>
            <w:r>
              <w:t>20.00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举办和参加招商推介活动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1.用于参加和举办招商推介活动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开展推介活动次数</w:t>
            </w:r>
          </w:p>
        </w:tc>
        <w:tc>
          <w:tcPr>
            <w:tcW w:w="4228" w:type="dxa"/>
            <w:vAlign w:val="center"/>
          </w:tcPr>
          <w:p>
            <w:pPr>
              <w:pStyle w:val="13"/>
            </w:pPr>
            <w:r>
              <w:t>开展推介活动次数</w:t>
            </w:r>
          </w:p>
        </w:tc>
        <w:tc>
          <w:tcPr>
            <w:tcW w:w="2114" w:type="dxa"/>
            <w:vAlign w:val="center"/>
          </w:tcPr>
          <w:p>
            <w:pPr>
              <w:pStyle w:val="13"/>
            </w:pPr>
            <w:r>
              <w:t>≥4次</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招商活动参与率</w:t>
            </w:r>
          </w:p>
        </w:tc>
        <w:tc>
          <w:tcPr>
            <w:tcW w:w="4228" w:type="dxa"/>
            <w:vAlign w:val="center"/>
          </w:tcPr>
          <w:p>
            <w:pPr>
              <w:pStyle w:val="13"/>
            </w:pPr>
            <w:r>
              <w:t>招商活动参与率</w:t>
            </w:r>
          </w:p>
        </w:tc>
        <w:tc>
          <w:tcPr>
            <w:tcW w:w="2114" w:type="dxa"/>
            <w:vAlign w:val="center"/>
          </w:tcPr>
          <w:p>
            <w:pPr>
              <w:pStyle w:val="13"/>
            </w:pPr>
            <w:r>
              <w:t>≥95%</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评定工作完成时间</w:t>
            </w:r>
          </w:p>
        </w:tc>
        <w:tc>
          <w:tcPr>
            <w:tcW w:w="4228" w:type="dxa"/>
            <w:vAlign w:val="center"/>
          </w:tcPr>
          <w:p>
            <w:pPr>
              <w:pStyle w:val="13"/>
            </w:pPr>
            <w:r>
              <w:t>评定工作完成时间</w:t>
            </w:r>
          </w:p>
        </w:tc>
        <w:tc>
          <w:tcPr>
            <w:tcW w:w="2114" w:type="dxa"/>
            <w:vAlign w:val="center"/>
          </w:tcPr>
          <w:p>
            <w:pPr>
              <w:pStyle w:val="13"/>
            </w:pPr>
            <w:r>
              <w:t>四个季度完成</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项目总成本</w:t>
            </w:r>
          </w:p>
        </w:tc>
        <w:tc>
          <w:tcPr>
            <w:tcW w:w="2114" w:type="dxa"/>
            <w:vAlign w:val="center"/>
          </w:tcPr>
          <w:p>
            <w:pPr>
              <w:pStyle w:val="13"/>
            </w:pPr>
            <w:r>
              <w:t>≤5万元（本数据是平均数）</w:t>
            </w:r>
          </w:p>
        </w:tc>
        <w:tc>
          <w:tcPr>
            <w:tcW w:w="2114"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对经济发展的促进作用</w:t>
            </w:r>
          </w:p>
        </w:tc>
        <w:tc>
          <w:tcPr>
            <w:tcW w:w="4228" w:type="dxa"/>
            <w:vAlign w:val="center"/>
          </w:tcPr>
          <w:p>
            <w:pPr>
              <w:pStyle w:val="13"/>
            </w:pPr>
            <w:r>
              <w:t>对经济发展的促进作用</w:t>
            </w:r>
          </w:p>
        </w:tc>
        <w:tc>
          <w:tcPr>
            <w:tcW w:w="2114" w:type="dxa"/>
            <w:vAlign w:val="center"/>
          </w:tcPr>
          <w:p>
            <w:pPr>
              <w:pStyle w:val="13"/>
            </w:pPr>
            <w:r>
              <w:t>较上年有提升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对经济发展的促进作用</w:t>
            </w:r>
          </w:p>
        </w:tc>
        <w:tc>
          <w:tcPr>
            <w:tcW w:w="4228" w:type="dxa"/>
            <w:vAlign w:val="center"/>
          </w:tcPr>
          <w:p>
            <w:pPr>
              <w:pStyle w:val="13"/>
            </w:pPr>
            <w:r>
              <w:t>对经济发展的促进作用</w:t>
            </w:r>
          </w:p>
        </w:tc>
        <w:tc>
          <w:tcPr>
            <w:tcW w:w="2114" w:type="dxa"/>
            <w:vAlign w:val="center"/>
          </w:tcPr>
          <w:p>
            <w:pPr>
              <w:pStyle w:val="13"/>
            </w:pPr>
            <w:r>
              <w:t>较上年有提升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服务对象的满意程度</w:t>
            </w:r>
          </w:p>
        </w:tc>
        <w:tc>
          <w:tcPr>
            <w:tcW w:w="4228" w:type="dxa"/>
            <w:vAlign w:val="center"/>
          </w:tcPr>
          <w:p>
            <w:pPr>
              <w:pStyle w:val="13"/>
            </w:pPr>
            <w:r>
              <w:t>服务对象的满意程度</w:t>
            </w:r>
          </w:p>
        </w:tc>
        <w:tc>
          <w:tcPr>
            <w:tcW w:w="2114" w:type="dxa"/>
            <w:vAlign w:val="center"/>
          </w:tcPr>
          <w:p>
            <w:pPr>
              <w:pStyle w:val="13"/>
            </w:pPr>
            <w:r>
              <w:t>≥98%</w:t>
            </w:r>
          </w:p>
        </w:tc>
        <w:tc>
          <w:tcPr>
            <w:tcW w:w="2114" w:type="dxa"/>
            <w:vAlign w:val="center"/>
          </w:tcPr>
          <w:p>
            <w:pPr>
              <w:pStyle w:val="13"/>
            </w:pPr>
            <w:r>
              <w:t>是否达到绩效指标值</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398石家庄市藁城区投资促进局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石家庄市藁城区投资促进局（含所属单位）上年末固定资产金额为21.68万元（详见下表）。本年度拟购置固定资产总额为0.00万元，已按要求列入政府采购预算，详见政府采购预算表。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398石家庄市藁城区投资促进局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131</w:t>
            </w:r>
          </w:p>
        </w:tc>
        <w:tc>
          <w:tcPr>
            <w:tcW w:w="4933" w:type="dxa"/>
            <w:vAlign w:val="center"/>
          </w:tcPr>
          <w:p>
            <w:pPr>
              <w:pStyle w:val="12"/>
            </w:pPr>
            <w:r>
              <w:t>21.68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0834FA"/>
    <w:rsid w:val="63FF5B26"/>
    <w:rsid w:val="698C78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2024-03-04T16:37:21Z</dcterms:created>
  <dcterms:modified xsi:type="dcterms:W3CDTF">2024-03-04T08:37:21Z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2024-03-04T16:37:18Z</dcterms:created>
  <dcterms:modified xsi:type="dcterms:W3CDTF">2024-03-04T08:37:18Z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2024-03-04T16:37:19Z</dcterms:created>
  <dcterms:modified xsi:type="dcterms:W3CDTF">2024-03-04T08:37:19Z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2024-03-04T16:37:19Z</dcterms:created>
  <dcterms:modified xsi:type="dcterms:W3CDTF">2024-03-04T08:37:19Z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2024-03-04T16:37:18Z</dcterms:created>
  <dcterms:modified xsi:type="dcterms:W3CDTF">2024-03-04T08:37:18Z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2024-03-04T16:37:18Z</dcterms:created>
  <dcterms:modified xsi:type="dcterms:W3CDTF">2024-03-04T08:37:18Z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d9957ee-db54-42ab-b10f-240125aecbbf}">
  <ds:schemaRefs/>
</ds:datastoreItem>
</file>

<file path=customXml/itemProps11.xml><?xml version="1.0" encoding="utf-8"?>
<ds:datastoreItem xmlns:ds="http://schemas.openxmlformats.org/officeDocument/2006/customXml" ds:itemID="{7f1a22ef-02a5-4177-9a5c-8b24ad068be4}">
  <ds:schemaRefs/>
</ds:datastoreItem>
</file>

<file path=customXml/itemProps12.xml><?xml version="1.0" encoding="utf-8"?>
<ds:datastoreItem xmlns:ds="http://schemas.openxmlformats.org/officeDocument/2006/customXml" ds:itemID="{62c3b3f8-e6c0-48cb-bf1e-ef6420085485}">
  <ds:schemaRefs/>
</ds:datastoreItem>
</file>

<file path=customXml/itemProps13.xml><?xml version="1.0" encoding="utf-8"?>
<ds:datastoreItem xmlns:ds="http://schemas.openxmlformats.org/officeDocument/2006/customXml" ds:itemID="{234f250c-dc7a-4e61-91f6-fdeb086bd877}">
  <ds:schemaRefs/>
</ds:datastoreItem>
</file>

<file path=customXml/itemProps2.xml><?xml version="1.0" encoding="utf-8"?>
<ds:datastoreItem xmlns:ds="http://schemas.openxmlformats.org/officeDocument/2006/customXml" ds:itemID="{f1e73b77-d713-439d-8363-409aab4617b7}">
  <ds:schemaRefs/>
</ds:datastoreItem>
</file>

<file path=customXml/itemProps3.xml><?xml version="1.0" encoding="utf-8"?>
<ds:datastoreItem xmlns:ds="http://schemas.openxmlformats.org/officeDocument/2006/customXml" ds:itemID="{8299d602-c669-4791-b7e7-ea92b1a3b6b0}">
  <ds:schemaRefs/>
</ds:datastoreItem>
</file>

<file path=customXml/itemProps4.xml><?xml version="1.0" encoding="utf-8"?>
<ds:datastoreItem xmlns:ds="http://schemas.openxmlformats.org/officeDocument/2006/customXml" ds:itemID="{f2b3ac62-c3a8-4786-a925-bb9cd6f4377f}">
  <ds:schemaRefs/>
</ds:datastoreItem>
</file>

<file path=customXml/itemProps5.xml><?xml version="1.0" encoding="utf-8"?>
<ds:datastoreItem xmlns:ds="http://schemas.openxmlformats.org/officeDocument/2006/customXml" ds:itemID="{47b1e36a-b8fc-43e9-aae3-e1834d61b044}">
  <ds:schemaRefs/>
</ds:datastoreItem>
</file>

<file path=customXml/itemProps6.xml><?xml version="1.0" encoding="utf-8"?>
<ds:datastoreItem xmlns:ds="http://schemas.openxmlformats.org/officeDocument/2006/customXml" ds:itemID="{505e1ca9-9f18-460a-9d0f-e6a5e19a1844}">
  <ds:schemaRefs/>
</ds:datastoreItem>
</file>

<file path=customXml/itemProps7.xml><?xml version="1.0" encoding="utf-8"?>
<ds:datastoreItem xmlns:ds="http://schemas.openxmlformats.org/officeDocument/2006/customXml" ds:itemID="{5942653f-abe0-4fd9-bc7d-05422546b1ce}">
  <ds:schemaRefs/>
</ds:datastoreItem>
</file>

<file path=customXml/itemProps8.xml><?xml version="1.0" encoding="utf-8"?>
<ds:datastoreItem xmlns:ds="http://schemas.openxmlformats.org/officeDocument/2006/customXml" ds:itemID="{bd4748bd-f0a6-4984-ab2b-57d8aa0cf206}">
  <ds:schemaRefs/>
</ds:datastoreItem>
</file>

<file path=customXml/itemProps9.xml><?xml version="1.0" encoding="utf-8"?>
<ds:datastoreItem xmlns:ds="http://schemas.openxmlformats.org/officeDocument/2006/customXml" ds:itemID="{7e45f4c1-ac90-4392-8d7c-793f52474ece}">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2024-03-04T16:37:00Z</dcterms:created>
  <dc:creator>李鑫</dc:creator>
  <cp:lastModifiedBy>Administrator</cp:lastModifiedBy>
  <dcterms:modified xsi:type="dcterms:W3CDTF">2024-03-06T03:02:44Z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92A1CBF0CF1947F29CD0866E8B38FB75</vt:lpwstr>
  </property>
</Properties>
</file>