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137.98</w:t>
            </w:r>
          </w:p>
        </w:tc>
        <w:tc>
          <w:tcPr>
            <w:tcW w:w="4535" w:type="dxa"/>
            <w:vAlign w:val="center"/>
          </w:tcPr>
          <w:p>
            <w:pPr>
              <w:pStyle w:val="13"/>
            </w:pPr>
            <w:r>
              <w:t>一、一般公共服务支出</w:t>
            </w:r>
          </w:p>
        </w:tc>
        <w:tc>
          <w:tcPr>
            <w:tcW w:w="2126" w:type="dxa"/>
            <w:vAlign w:val="center"/>
          </w:tcPr>
          <w:p>
            <w:pPr>
              <w:pStyle w:val="12"/>
            </w:pPr>
            <w:r>
              <w:t>137.98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137.98</w:t>
            </w:r>
          </w:p>
        </w:tc>
        <w:tc>
          <w:tcPr>
            <w:tcW w:w="4535" w:type="dxa"/>
            <w:vAlign w:val="center"/>
          </w:tcPr>
          <w:p>
            <w:pPr>
              <w:pStyle w:val="15"/>
            </w:pPr>
            <w:r>
              <w:t>本年支出合计</w:t>
            </w:r>
          </w:p>
        </w:tc>
        <w:tc>
          <w:tcPr>
            <w:tcW w:w="2126" w:type="dxa"/>
            <w:vAlign w:val="center"/>
          </w:tcPr>
          <w:p>
            <w:pPr>
              <w:pStyle w:val="16"/>
            </w:pPr>
            <w:r>
              <w:t>137.98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137.98</w:t>
            </w:r>
          </w:p>
        </w:tc>
        <w:tc>
          <w:tcPr>
            <w:tcW w:w="4535" w:type="dxa"/>
            <w:vAlign w:val="center"/>
          </w:tcPr>
          <w:p>
            <w:pPr>
              <w:pStyle w:val="15"/>
            </w:pPr>
            <w:r>
              <w:t>支出总计</w:t>
            </w:r>
          </w:p>
        </w:tc>
        <w:tc>
          <w:tcPr>
            <w:tcW w:w="2126" w:type="dxa"/>
            <w:vAlign w:val="center"/>
          </w:tcPr>
          <w:p>
            <w:pPr>
              <w:pStyle w:val="16"/>
            </w:pPr>
            <w:r>
              <w:t>137.98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137.98</w:t>
            </w:r>
          </w:p>
        </w:tc>
        <w:tc>
          <w:tcPr>
            <w:tcW w:w="1134" w:type="dxa"/>
            <w:vAlign w:val="center"/>
          </w:tcPr>
          <w:p>
            <w:pPr>
              <w:pStyle w:val="16"/>
            </w:pPr>
            <w:r>
              <w:t>137.98</w:t>
            </w:r>
          </w:p>
        </w:tc>
        <w:tc>
          <w:tcPr>
            <w:tcW w:w="1134" w:type="dxa"/>
            <w:vAlign w:val="center"/>
          </w:tcPr>
          <w:p>
            <w:pPr>
              <w:pStyle w:val="16"/>
            </w:pPr>
            <w:r>
              <w:t>137.98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137.98</w:t>
            </w:r>
          </w:p>
        </w:tc>
        <w:tc>
          <w:tcPr>
            <w:tcW w:w="1134" w:type="dxa"/>
            <w:vAlign w:val="center"/>
          </w:tcPr>
          <w:p>
            <w:pPr>
              <w:pStyle w:val="12"/>
            </w:pPr>
            <w:r>
              <w:t>137.98</w:t>
            </w:r>
          </w:p>
        </w:tc>
        <w:tc>
          <w:tcPr>
            <w:tcW w:w="1134" w:type="dxa"/>
            <w:vAlign w:val="center"/>
          </w:tcPr>
          <w:p>
            <w:pPr>
              <w:pStyle w:val="12"/>
            </w:pPr>
            <w:r>
              <w:t>137.98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137.98</w:t>
            </w:r>
          </w:p>
        </w:tc>
        <w:tc>
          <w:tcPr>
            <w:tcW w:w="1134" w:type="dxa"/>
            <w:vAlign w:val="center"/>
          </w:tcPr>
          <w:p>
            <w:pPr>
              <w:pStyle w:val="12"/>
            </w:pPr>
            <w:r>
              <w:t>137.98</w:t>
            </w:r>
          </w:p>
        </w:tc>
        <w:tc>
          <w:tcPr>
            <w:tcW w:w="1134" w:type="dxa"/>
            <w:vAlign w:val="center"/>
          </w:tcPr>
          <w:p>
            <w:pPr>
              <w:pStyle w:val="12"/>
            </w:pPr>
            <w:r>
              <w:t>137.98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2012801</w:t>
            </w:r>
          </w:p>
        </w:tc>
        <w:tc>
          <w:tcPr>
            <w:tcW w:w="1559" w:type="dxa"/>
            <w:vAlign w:val="center"/>
          </w:tcPr>
          <w:p>
            <w:pPr>
              <w:pStyle w:val="13"/>
            </w:pPr>
            <w:r>
              <w:t>行政运行</w:t>
            </w:r>
          </w:p>
        </w:tc>
        <w:tc>
          <w:tcPr>
            <w:tcW w:w="1134" w:type="dxa"/>
            <w:vAlign w:val="center"/>
          </w:tcPr>
          <w:p>
            <w:pPr>
              <w:pStyle w:val="12"/>
            </w:pPr>
            <w:r>
              <w:t>133.98</w:t>
            </w:r>
          </w:p>
        </w:tc>
        <w:tc>
          <w:tcPr>
            <w:tcW w:w="1134" w:type="dxa"/>
            <w:vAlign w:val="center"/>
          </w:tcPr>
          <w:p>
            <w:pPr>
              <w:pStyle w:val="12"/>
            </w:pPr>
            <w:r>
              <w:t>133.98</w:t>
            </w:r>
          </w:p>
        </w:tc>
        <w:tc>
          <w:tcPr>
            <w:tcW w:w="1134" w:type="dxa"/>
            <w:vAlign w:val="center"/>
          </w:tcPr>
          <w:p>
            <w:pPr>
              <w:pStyle w:val="12"/>
            </w:pPr>
            <w:r>
              <w:t>133.98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2012802</w:t>
            </w:r>
          </w:p>
        </w:tc>
        <w:tc>
          <w:tcPr>
            <w:tcW w:w="1559" w:type="dxa"/>
            <w:vAlign w:val="center"/>
          </w:tcPr>
          <w:p>
            <w:pPr>
              <w:pStyle w:val="13"/>
            </w:pPr>
            <w:r>
              <w:t>一般行政管理事务</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137.98</w:t>
            </w:r>
          </w:p>
        </w:tc>
        <w:tc>
          <w:tcPr>
            <w:tcW w:w="1361" w:type="dxa"/>
            <w:vAlign w:val="center"/>
          </w:tcPr>
          <w:p>
            <w:pPr>
              <w:pStyle w:val="16"/>
            </w:pPr>
            <w:r>
              <w:t>133.98</w:t>
            </w:r>
          </w:p>
        </w:tc>
        <w:tc>
          <w:tcPr>
            <w:tcW w:w="1361" w:type="dxa"/>
            <w:vAlign w:val="center"/>
          </w:tcPr>
          <w:p>
            <w:pPr>
              <w:pStyle w:val="16"/>
            </w:pPr>
            <w:r>
              <w:t>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137.98</w:t>
            </w:r>
          </w:p>
        </w:tc>
        <w:tc>
          <w:tcPr>
            <w:tcW w:w="1361" w:type="dxa"/>
            <w:vAlign w:val="center"/>
          </w:tcPr>
          <w:p>
            <w:pPr>
              <w:pStyle w:val="12"/>
            </w:pPr>
            <w:r>
              <w:t>133.98</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137.98</w:t>
            </w:r>
          </w:p>
        </w:tc>
        <w:tc>
          <w:tcPr>
            <w:tcW w:w="1361" w:type="dxa"/>
            <w:vAlign w:val="center"/>
          </w:tcPr>
          <w:p>
            <w:pPr>
              <w:pStyle w:val="12"/>
            </w:pPr>
            <w:r>
              <w:t>133.98</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2012801</w:t>
            </w:r>
          </w:p>
        </w:tc>
        <w:tc>
          <w:tcPr>
            <w:tcW w:w="4535" w:type="dxa"/>
            <w:vAlign w:val="center"/>
          </w:tcPr>
          <w:p>
            <w:pPr>
              <w:pStyle w:val="13"/>
            </w:pPr>
            <w:r>
              <w:t>行政运行</w:t>
            </w:r>
          </w:p>
        </w:tc>
        <w:tc>
          <w:tcPr>
            <w:tcW w:w="1361" w:type="dxa"/>
            <w:vAlign w:val="center"/>
          </w:tcPr>
          <w:p>
            <w:pPr>
              <w:pStyle w:val="12"/>
            </w:pPr>
            <w:r>
              <w:t>133.98</w:t>
            </w:r>
          </w:p>
        </w:tc>
        <w:tc>
          <w:tcPr>
            <w:tcW w:w="1361" w:type="dxa"/>
            <w:vAlign w:val="center"/>
          </w:tcPr>
          <w:p>
            <w:pPr>
              <w:pStyle w:val="12"/>
            </w:pPr>
            <w:r>
              <w:t>133.98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2012802</w:t>
            </w:r>
          </w:p>
        </w:tc>
        <w:tc>
          <w:tcPr>
            <w:tcW w:w="4535" w:type="dxa"/>
            <w:vAlign w:val="center"/>
          </w:tcPr>
          <w:p>
            <w:pPr>
              <w:pStyle w:val="13"/>
            </w:pPr>
            <w:r>
              <w:t>一般行政管理事务</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137.98</w:t>
            </w:r>
          </w:p>
        </w:tc>
        <w:tc>
          <w:tcPr>
            <w:tcW w:w="3402" w:type="dxa"/>
            <w:vAlign w:val="center"/>
          </w:tcPr>
          <w:p>
            <w:pPr>
              <w:pStyle w:val="13"/>
            </w:pPr>
            <w:r>
              <w:t>一、一般公共服务支出</w:t>
            </w:r>
          </w:p>
        </w:tc>
        <w:tc>
          <w:tcPr>
            <w:tcW w:w="1474" w:type="dxa"/>
            <w:vAlign w:val="center"/>
          </w:tcPr>
          <w:p>
            <w:pPr>
              <w:pStyle w:val="12"/>
            </w:pPr>
            <w:r>
              <w:t>137.98</w:t>
            </w:r>
          </w:p>
        </w:tc>
        <w:tc>
          <w:tcPr>
            <w:tcW w:w="1474" w:type="dxa"/>
            <w:vAlign w:val="center"/>
          </w:tcPr>
          <w:p>
            <w:pPr>
              <w:pStyle w:val="12"/>
            </w:pPr>
            <w:r>
              <w:t>137.98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137.98</w:t>
            </w:r>
          </w:p>
        </w:tc>
        <w:tc>
          <w:tcPr>
            <w:tcW w:w="3402" w:type="dxa"/>
            <w:vAlign w:val="center"/>
          </w:tcPr>
          <w:p>
            <w:pPr>
              <w:pStyle w:val="15"/>
            </w:pPr>
            <w:r>
              <w:t>本年支出合计</w:t>
            </w:r>
          </w:p>
        </w:tc>
        <w:tc>
          <w:tcPr>
            <w:tcW w:w="1474" w:type="dxa"/>
            <w:vAlign w:val="center"/>
          </w:tcPr>
          <w:p>
            <w:pPr>
              <w:pStyle w:val="16"/>
            </w:pPr>
            <w:r>
              <w:t>137.98</w:t>
            </w:r>
          </w:p>
        </w:tc>
        <w:tc>
          <w:tcPr>
            <w:tcW w:w="1474" w:type="dxa"/>
            <w:vAlign w:val="center"/>
          </w:tcPr>
          <w:p>
            <w:pPr>
              <w:pStyle w:val="16"/>
            </w:pPr>
            <w:r>
              <w:t>137.98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137.98</w:t>
            </w:r>
          </w:p>
        </w:tc>
        <w:tc>
          <w:tcPr>
            <w:tcW w:w="3402" w:type="dxa"/>
            <w:vAlign w:val="center"/>
          </w:tcPr>
          <w:p>
            <w:pPr>
              <w:pStyle w:val="15"/>
            </w:pPr>
            <w:r>
              <w:t>支出总计</w:t>
            </w:r>
          </w:p>
        </w:tc>
        <w:tc>
          <w:tcPr>
            <w:tcW w:w="1474" w:type="dxa"/>
            <w:vAlign w:val="center"/>
          </w:tcPr>
          <w:p>
            <w:pPr>
              <w:pStyle w:val="16"/>
            </w:pPr>
            <w:r>
              <w:t>137.98</w:t>
            </w:r>
          </w:p>
        </w:tc>
        <w:tc>
          <w:tcPr>
            <w:tcW w:w="1474" w:type="dxa"/>
            <w:vAlign w:val="center"/>
          </w:tcPr>
          <w:p>
            <w:pPr>
              <w:pStyle w:val="16"/>
            </w:pPr>
            <w:r>
              <w:t>137.98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137.98</w:t>
            </w:r>
          </w:p>
        </w:tc>
        <w:tc>
          <w:tcPr>
            <w:tcW w:w="2551" w:type="dxa"/>
            <w:vAlign w:val="center"/>
          </w:tcPr>
          <w:p>
            <w:pPr>
              <w:pStyle w:val="16"/>
            </w:pPr>
            <w:r>
              <w:t>133.98</w:t>
            </w:r>
          </w:p>
        </w:tc>
        <w:tc>
          <w:tcPr>
            <w:tcW w:w="2551"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137.98</w:t>
            </w:r>
          </w:p>
        </w:tc>
        <w:tc>
          <w:tcPr>
            <w:tcW w:w="2551" w:type="dxa"/>
            <w:vAlign w:val="center"/>
          </w:tcPr>
          <w:p>
            <w:pPr>
              <w:pStyle w:val="12"/>
            </w:pPr>
            <w:r>
              <w:t>133.98</w:t>
            </w: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137.98</w:t>
            </w:r>
          </w:p>
        </w:tc>
        <w:tc>
          <w:tcPr>
            <w:tcW w:w="2551" w:type="dxa"/>
            <w:vAlign w:val="center"/>
          </w:tcPr>
          <w:p>
            <w:pPr>
              <w:pStyle w:val="12"/>
            </w:pPr>
            <w:r>
              <w:t>133.98</w:t>
            </w: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2012801</w:t>
            </w:r>
          </w:p>
        </w:tc>
        <w:tc>
          <w:tcPr>
            <w:tcW w:w="4535" w:type="dxa"/>
            <w:vAlign w:val="center"/>
          </w:tcPr>
          <w:p>
            <w:pPr>
              <w:pStyle w:val="13"/>
            </w:pPr>
            <w:r>
              <w:t>行政运行</w:t>
            </w:r>
          </w:p>
        </w:tc>
        <w:tc>
          <w:tcPr>
            <w:tcW w:w="2551" w:type="dxa"/>
            <w:vAlign w:val="center"/>
          </w:tcPr>
          <w:p>
            <w:pPr>
              <w:pStyle w:val="12"/>
            </w:pPr>
            <w:r>
              <w:t>133.98</w:t>
            </w:r>
          </w:p>
        </w:tc>
        <w:tc>
          <w:tcPr>
            <w:tcW w:w="2551" w:type="dxa"/>
            <w:vAlign w:val="center"/>
          </w:tcPr>
          <w:p>
            <w:pPr>
              <w:pStyle w:val="12"/>
            </w:pPr>
            <w:r>
              <w:t>133.98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2012802</w:t>
            </w:r>
          </w:p>
        </w:tc>
        <w:tc>
          <w:tcPr>
            <w:tcW w:w="4535" w:type="dxa"/>
            <w:vAlign w:val="center"/>
          </w:tcPr>
          <w:p>
            <w:pPr>
              <w:pStyle w:val="13"/>
            </w:pPr>
            <w:r>
              <w:t>一般行政管理事务</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133.98</w:t>
            </w:r>
          </w:p>
        </w:tc>
        <w:tc>
          <w:tcPr>
            <w:tcW w:w="2551" w:type="dxa"/>
            <w:vAlign w:val="center"/>
          </w:tcPr>
          <w:p>
            <w:pPr>
              <w:pStyle w:val="16"/>
            </w:pPr>
            <w:r>
              <w:t>122.92</w:t>
            </w:r>
          </w:p>
        </w:tc>
        <w:tc>
          <w:tcPr>
            <w:tcW w:w="2551" w:type="dxa"/>
            <w:vAlign w:val="center"/>
          </w:tcPr>
          <w:p>
            <w:pPr>
              <w:pStyle w:val="16"/>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108.43</w:t>
            </w:r>
          </w:p>
        </w:tc>
        <w:tc>
          <w:tcPr>
            <w:tcW w:w="2551" w:type="dxa"/>
            <w:vAlign w:val="center"/>
          </w:tcPr>
          <w:p>
            <w:pPr>
              <w:pStyle w:val="12"/>
            </w:pPr>
            <w:r>
              <w:t>108.43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27.32</w:t>
            </w:r>
          </w:p>
        </w:tc>
        <w:tc>
          <w:tcPr>
            <w:tcW w:w="2551" w:type="dxa"/>
            <w:vAlign w:val="center"/>
          </w:tcPr>
          <w:p>
            <w:pPr>
              <w:pStyle w:val="12"/>
            </w:pPr>
            <w:r>
              <w:t>27.32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29.76</w:t>
            </w:r>
          </w:p>
        </w:tc>
        <w:tc>
          <w:tcPr>
            <w:tcW w:w="2551" w:type="dxa"/>
            <w:vAlign w:val="center"/>
          </w:tcPr>
          <w:p>
            <w:pPr>
              <w:pStyle w:val="12"/>
            </w:pPr>
            <w:r>
              <w:t>29.76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17.70</w:t>
            </w:r>
          </w:p>
        </w:tc>
        <w:tc>
          <w:tcPr>
            <w:tcW w:w="2551" w:type="dxa"/>
            <w:vAlign w:val="center"/>
          </w:tcPr>
          <w:p>
            <w:pPr>
              <w:pStyle w:val="12"/>
            </w:pPr>
            <w:r>
              <w:t>17.70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12.24</w:t>
            </w:r>
          </w:p>
        </w:tc>
        <w:tc>
          <w:tcPr>
            <w:tcW w:w="2551" w:type="dxa"/>
            <w:vAlign w:val="center"/>
          </w:tcPr>
          <w:p>
            <w:pPr>
              <w:pStyle w:val="12"/>
            </w:pPr>
            <w:r>
              <w:t>12.24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4.35</w:t>
            </w:r>
          </w:p>
        </w:tc>
        <w:tc>
          <w:tcPr>
            <w:tcW w:w="2551" w:type="dxa"/>
            <w:vAlign w:val="center"/>
          </w:tcPr>
          <w:p>
            <w:pPr>
              <w:pStyle w:val="12"/>
            </w:pPr>
            <w:r>
              <w:t>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9.35</w:t>
            </w:r>
          </w:p>
        </w:tc>
        <w:tc>
          <w:tcPr>
            <w:tcW w:w="2551" w:type="dxa"/>
            <w:vAlign w:val="center"/>
          </w:tcPr>
          <w:p>
            <w:pPr>
              <w:pStyle w:val="12"/>
            </w:pPr>
            <w:r>
              <w:t>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11.06</w:t>
            </w:r>
          </w:p>
        </w:tc>
        <w:tc>
          <w:tcPr>
            <w:tcW w:w="2551" w:type="dxa"/>
            <w:vAlign w:val="center"/>
          </w:tcPr>
          <w:p>
            <w:pPr>
              <w:pStyle w:val="12"/>
            </w:pPr>
          </w:p>
        </w:tc>
        <w:tc>
          <w:tcPr>
            <w:tcW w:w="2551" w:type="dxa"/>
            <w:vAlign w:val="center"/>
          </w:tcPr>
          <w:p>
            <w:pPr>
              <w:pStyle w:val="12"/>
            </w:pPr>
            <w:r>
              <w:t>11.06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0.31</w:t>
            </w:r>
          </w:p>
        </w:tc>
        <w:tc>
          <w:tcPr>
            <w:tcW w:w="2551" w:type="dxa"/>
            <w:vAlign w:val="center"/>
          </w:tcPr>
          <w:p>
            <w:pPr>
              <w:pStyle w:val="12"/>
            </w:pPr>
          </w:p>
        </w:tc>
        <w:tc>
          <w:tcPr>
            <w:tcW w:w="2551" w:type="dxa"/>
            <w:vAlign w:val="center"/>
          </w:tcPr>
          <w:p>
            <w:pPr>
              <w:pStyle w:val="12"/>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13.50</w:t>
            </w:r>
          </w:p>
        </w:tc>
        <w:tc>
          <w:tcPr>
            <w:tcW w:w="2551" w:type="dxa"/>
            <w:vAlign w:val="center"/>
          </w:tcPr>
          <w:p>
            <w:pPr>
              <w:pStyle w:val="12"/>
            </w:pPr>
            <w:r>
              <w:t>13.50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石家庄市藁城区工商业联合会2024年部门预算信息公开情况说明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石家庄市藁城区工商业联合会2024年部门预算信息公开情况说明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按照《中华人民共和国预算法》、《地方预决算公开操作规程》和《关于进一步推进预算公开工作的实施意见》规定，现将石家庄市藁城区工商业联合会2024年部门预算公开如下：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藁城区工商联的主要工作职责是：</w:t>
      </w:r>
    </w:p>
    <w:p>
      <w:pPr>
        <w:pStyle w:val="26"/>
      </w:pPr>
      <w:r>
        <w:t>(一)团结、服务、引导、教育非公有制经济人士爱国、敬业、诚信、守法、贡献，培养拥护党的领导、走中国特色社会主义道路的非公有制经济人士队伍。</w:t>
      </w:r>
    </w:p>
    <w:p>
      <w:pPr>
        <w:pStyle w:val="26"/>
      </w:pPr>
      <w:r>
        <w:t>(二)做好非公有制经济代表人士政治安排的推荐工作。参与政治协商，发挥民主监督作用，积极参政议政。</w:t>
      </w:r>
    </w:p>
    <w:p>
      <w:pPr>
        <w:pStyle w:val="26"/>
      </w:pPr>
      <w:r>
        <w:t>(三)参与政府相关的经济活动，广泛联系各地工商界人士，开展民间外交，推动经贸交流和协作，促进经济社会发展。</w:t>
      </w:r>
    </w:p>
    <w:p>
      <w:pPr>
        <w:pStyle w:val="26"/>
      </w:pPr>
      <w:r>
        <w:t>(四)参与协调劳动关系，促进和谐社会建设。</w:t>
      </w:r>
    </w:p>
    <w:p>
      <w:pPr>
        <w:pStyle w:val="26"/>
      </w:pPr>
      <w:r>
        <w:t>(五)指导本会直属商会工作，积极参与社会组织建设工作，促进行业协会商会改革发展。</w:t>
      </w:r>
    </w:p>
    <w:p>
      <w:pPr>
        <w:pStyle w:val="26"/>
      </w:pPr>
      <w:r>
        <w:t xml:space="preserve">(六)反映非公有制企业和非公有制经济人士利益诉求维护其合法权益。 </w:t>
      </w:r>
    </w:p>
    <w:p>
      <w:pPr>
        <w:pStyle w:val="26"/>
      </w:pPr>
      <w:r>
        <w:t>(七)为会员提供政策信息、人才交流培训等服务。组织会员企业参加各类经贸活动，外出参观考察，帮助会员企业拓展市场。</w:t>
      </w:r>
    </w:p>
    <w:p>
      <w:pPr>
        <w:pStyle w:val="26"/>
      </w:pPr>
      <w:r>
        <w:t>(八)配合有关部门开展非公有制会员企业党建工作。</w:t>
      </w:r>
    </w:p>
    <w:p>
      <w:pPr>
        <w:pStyle w:val="26"/>
      </w:pPr>
      <w:r>
        <w:t>(九)积极引导非公有制企业及其非公有制经济人士承担社会责任，大力支持慈善公益事业发展，积极投身光彩事业。</w:t>
      </w:r>
    </w:p>
    <w:p>
      <w:pPr>
        <w:pStyle w:val="18"/>
      </w:pPr>
      <w:r>
        <w:t>(十)承办区委、区政府和上级工商联交办的其它任务。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反映本部门当年全部收入。2024年预算收入137.98万元，其中：一般公共预算收入137.98万元，基金预算收入0万元，财政专户核拨收入0万元，其他来源收入0万元。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137.98万元，其中基本支出133.98万元，包括人员经费122.92万元和日常公用经费11.06万元；项目支出4万元，主要为执委活动经费支出4万元；其他支出0万元。</w:t>
      </w:r>
    </w:p>
    <w:p>
      <w:pPr>
        <w:pStyle w:val="19"/>
      </w:pPr>
      <w:r>
        <w:t>3、比上年增减情况</w:t>
      </w:r>
    </w:p>
    <w:p>
      <w:pPr>
        <w:pStyle w:val="19"/>
      </w:pPr>
      <w:r>
        <w:t>2024年部门预算收支安排137.98万元，较2023年增加0.22万元，其中：基本支出增加1.22万元，主要是增加遗属补助；项目支出减少1万元，主要是减少执委活动经费；其他支出无增减变化。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2024年，我部门机关运行经费共计安排11.06万元，主要用于保证机关正常运转的办公费、邮电费、福利费等支出。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藁城区工商联坚持以习近平新时代中国特色社会主义思想为指导，认真学习贯彻党的二十大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（一）为民营企业提供各种培训和服务。</w:t>
      </w:r>
    </w:p>
    <w:p>
      <w:pPr>
        <w:pStyle w:val="23"/>
      </w:pPr>
      <w:r>
        <w:t>绩效目标：结合民营经济发展需要，举办研修班和各种类型的培训活动，采取多种途径为企业发展提供法律、金融、经贸、科技等服务，引导企业履行社会责任。</w:t>
      </w:r>
    </w:p>
    <w:p>
      <w:pPr>
        <w:pStyle w:val="23"/>
      </w:pPr>
      <w:r>
        <w:t>绩效指标：组织各类培训、服务不少于4次。</w:t>
      </w:r>
    </w:p>
    <w:p>
      <w:pPr>
        <w:pStyle w:val="23"/>
      </w:pPr>
      <w:r>
        <w:t>（二）深入企业调研了解民营企业发展状况。</w:t>
      </w:r>
    </w:p>
    <w:p>
      <w:pPr>
        <w:pStyle w:val="23"/>
      </w:pPr>
      <w:r>
        <w:t>绩效目标：开展民企大走访活动，通过对民企集中走访座谈调研，切实为企业解决生产、经营中遇到的各类问题。</w:t>
      </w:r>
    </w:p>
    <w:p>
      <w:pPr>
        <w:pStyle w:val="23"/>
      </w:pPr>
      <w:r>
        <w:t>绩效指标：深入企业调研不少于5次。</w:t>
      </w:r>
    </w:p>
    <w:p>
      <w:pPr>
        <w:pStyle w:val="23"/>
      </w:pPr>
      <w:r>
        <w:t>（三）做好非公有制经济人士理想信念教育工作。</w:t>
      </w:r>
    </w:p>
    <w:p>
      <w:pPr>
        <w:pStyle w:val="23"/>
      </w:pPr>
      <w:r>
        <w:t>绩效目标：深化民营经济人士理想信念实践教育，加大对民营经济人士特别是新生代民营经济人士的理想信念实践教育，提高思想政治觉悟。</w:t>
      </w:r>
    </w:p>
    <w:p>
      <w:pPr>
        <w:pStyle w:val="23"/>
      </w:pPr>
      <w:r>
        <w:t>绩效指标：开展理想信念教育活动不少于1次。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4"/>
      </w:pPr>
      <w:r>
        <w:t>（二）加强支出管理。通过优化支出结构、编细编实预算、加快履行政府采购手续、尽快启动项目、及时支付资金、6月底前细化代编预算、按规定及时下达资金等多种措施，确保支出进度达标。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bookmarkStart w:id="20" w:name="_GoBack"/>
      <w:bookmarkEnd w:id="20"/>
      <w:r>
        <w:rPr>
          <w:rFonts w:hint="eastAsia" w:ascii="Times New Roman" w:hAnsi="Times New Roman"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1、执委活动经费绩效目标表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13010924P00000211764B</w:t>
            </w:r>
          </w:p>
        </w:tc>
        <w:tc>
          <w:tcPr>
            <w:tcW w:w="2835" w:type="dxa"/>
            <w:vAlign w:val="center"/>
          </w:tcPr>
          <w:p>
            <w:pPr>
              <w:pStyle w:val="11"/>
            </w:pPr>
            <w:r>
              <w:t>项目名称</w:t>
            </w:r>
          </w:p>
        </w:tc>
        <w:tc>
          <w:tcPr>
            <w:tcW w:w="6094" w:type="dxa"/>
            <w:gridSpan w:val="3"/>
            <w:vAlign w:val="center"/>
          </w:tcPr>
          <w:p>
            <w:pPr>
              <w:pStyle w:val="13"/>
            </w:pPr>
            <w:r>
              <w:t>执委活动经费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通过对民营经济人士调研及培训等，加强对民营经济人士的思想政治引领，提升民营企业家综合素质，促进民营企业发展。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1.通过对民营经济人士调研及培训等，加强对民营经济人士的思想政治引领，提升民营企业家综合素质，促进民营企业发展。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各类会议召开的次数</w:t>
            </w:r>
          </w:p>
        </w:tc>
        <w:tc>
          <w:tcPr>
            <w:tcW w:w="5386" w:type="dxa"/>
            <w:vAlign w:val="center"/>
          </w:tcPr>
          <w:p>
            <w:pPr>
              <w:pStyle w:val="13"/>
            </w:pPr>
            <w:r>
              <w:t>召开会议的次数，调研次数，培训次数</w:t>
            </w:r>
          </w:p>
        </w:tc>
        <w:tc>
          <w:tcPr>
            <w:tcW w:w="2268" w:type="dxa"/>
            <w:vAlign w:val="center"/>
          </w:tcPr>
          <w:p>
            <w:pPr>
              <w:pStyle w:val="13"/>
            </w:pPr>
            <w:r>
              <w:t>≥7次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培训人员的参训率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按照进度完成支出及时性</w:t>
            </w:r>
          </w:p>
        </w:tc>
        <w:tc>
          <w:tcPr>
            <w:tcW w:w="2268" w:type="dxa"/>
            <w:vAlign w:val="center"/>
          </w:tcPr>
          <w:p>
            <w:pPr>
              <w:pStyle w:val="13"/>
            </w:pPr>
            <w:r>
              <w:t>2024-12-31之前完成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按实际发放</w:t>
            </w:r>
          </w:p>
        </w:tc>
        <w:tc>
          <w:tcPr>
            <w:tcW w:w="1276" w:type="dxa"/>
            <w:vAlign w:val="center"/>
          </w:tcPr>
          <w:p>
            <w:pPr>
              <w:pStyle w:val="13"/>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提升民营企业家综合素质，促进民营企业发展</w:t>
            </w:r>
          </w:p>
        </w:tc>
        <w:tc>
          <w:tcPr>
            <w:tcW w:w="2268" w:type="dxa"/>
            <w:vAlign w:val="center"/>
          </w:tcPr>
          <w:p>
            <w:pPr>
              <w:pStyle w:val="13"/>
            </w:pPr>
            <w:r>
              <w:t>提升民营企业家综合素质，促进民营企业发展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参加培训人员的满意度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石家庄市藁城区工商业联合会（含所属单位）上年末固定资产金额为9.18万元（详见下表）。本年度拟购置固定资产总额为0.00万元，已按要求列入政府采购预算，详见政府采购预算表。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714石家庄市藁城区工商业联合会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145.60</w:t>
            </w:r>
          </w:p>
        </w:tc>
        <w:tc>
          <w:tcPr>
            <w:tcW w:w="2835"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31</w:t>
            </w:r>
          </w:p>
        </w:tc>
        <w:tc>
          <w:tcPr>
            <w:tcW w:w="2835" w:type="dxa"/>
            <w:vAlign w:val="center"/>
          </w:tcPr>
          <w:p>
            <w:pPr>
              <w:pStyle w:val="12"/>
            </w:pPr>
            <w:r>
              <w:t>6.38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I1Mzc1YjJiOThkZTcxOGJlZDRhZmY2Y2QzZGQ3MjkifQ=="/>
  </w:docVars>
  <w:rsids>
    <w:rsidRoot w:val="00000000"/>
    <w:rsid w:val="533E53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2024-02-29T10:57:41Z</dcterms:created>
  <dcterms:modified xsi:type="dcterms:W3CDTF">2024-02-29T02:57:41Z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2024-02-29T10:57:39Z</dcterms:created>
  <dcterms:modified xsi:type="dcterms:W3CDTF">2024-02-29T02:57:39Z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2024-02-29T10:57:40Z</dcterms:created>
  <dcterms:modified xsi:type="dcterms:W3CDTF">2024-02-29T02:57:40Z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42885f-009d-4aaf-ad7a-8d4d3a6de01a}">
  <ds:schemaRefs/>
</ds:datastoreItem>
</file>

<file path=customXml/itemProps10.xml><?xml version="1.0" encoding="utf-8"?>
<ds:datastoreItem xmlns:ds="http://schemas.openxmlformats.org/officeDocument/2006/customXml" ds:itemID="{b1e5886f-86b0-4882-bd11-46cf7e689ff7}">
  <ds:schemaRefs/>
</ds:datastoreItem>
</file>

<file path=customXml/itemProps2.xml><?xml version="1.0" encoding="utf-8"?>
<ds:datastoreItem xmlns:ds="http://schemas.openxmlformats.org/officeDocument/2006/customXml" ds:itemID="{7d78599e-79d4-4e35-be37-48b19b93317f}">
  <ds:schemaRefs/>
</ds:datastoreItem>
</file>

<file path=customXml/itemProps3.xml><?xml version="1.0" encoding="utf-8"?>
<ds:datastoreItem xmlns:ds="http://schemas.openxmlformats.org/officeDocument/2006/customXml" ds:itemID="{86636545-d016-4676-a201-24216dd49f13}">
  <ds:schemaRefs/>
</ds:datastoreItem>
</file>

<file path=customXml/itemProps4.xml><?xml version="1.0" encoding="utf-8"?>
<ds:datastoreItem xmlns:ds="http://schemas.openxmlformats.org/officeDocument/2006/customXml" ds:itemID="{5942c784-d6e0-446d-80cc-9a68a21e9a78}">
  <ds:schemaRefs/>
</ds:datastoreItem>
</file>

<file path=customXml/itemProps5.xml><?xml version="1.0" encoding="utf-8"?>
<ds:datastoreItem xmlns:ds="http://schemas.openxmlformats.org/officeDocument/2006/customXml" ds:itemID="{0c72a71a-1ed2-411c-be7e-2d4871b9d6fe}">
  <ds:schemaRefs/>
</ds:datastoreItem>
</file>

<file path=customXml/itemProps6.xml><?xml version="1.0" encoding="utf-8"?>
<ds:datastoreItem xmlns:ds="http://schemas.openxmlformats.org/officeDocument/2006/customXml" ds:itemID="{67431cdd-174a-4f1d-9435-3e1d75da3145}">
  <ds:schemaRefs/>
</ds:datastoreItem>
</file>

<file path=customXml/itemProps7.xml><?xml version="1.0" encoding="utf-8"?>
<ds:datastoreItem xmlns:ds="http://schemas.openxmlformats.org/officeDocument/2006/customXml" ds:itemID="{23f06d9e-96c2-42c6-8ab1-7e0c530b03e5}">
  <ds:schemaRefs/>
</ds:datastoreItem>
</file>

<file path=customXml/itemProps8.xml><?xml version="1.0" encoding="utf-8"?>
<ds:datastoreItem xmlns:ds="http://schemas.openxmlformats.org/officeDocument/2006/customXml" ds:itemID="{6167402e-faa1-45f6-867f-dcd14193b5a6}">
  <ds:schemaRefs/>
</ds:datastoreItem>
</file>

<file path=customXml/itemProps9.xml><?xml version="1.0" encoding="utf-8"?>
<ds:datastoreItem xmlns:ds="http://schemas.openxmlformats.org/officeDocument/2006/customXml" ds:itemID="{e5ab221f-9cc3-4b19-82e2-25d4d8efd2b7}">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00</dc:creator>
  <cp:lastModifiedBy>王绿</cp:lastModifiedBy>
  <dcterms:modified xsi:type="dcterms:W3CDTF">2024-03-04T02:19:34Z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BE1EA802DCFA42509FAC315F904F0813_12</vt:lpwstr>
  </property>
</Properties>
</file>