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431石家庄市藁城区行政审批局</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1594.11</w:t>
            </w:r>
          </w:p>
        </w:tc>
        <w:tc>
          <w:tcPr>
            <w:tcW w:w="1971" w:type="dxa"/>
            <w:vAlign w:val="center"/>
          </w:tcPr>
          <w:p>
            <w:pPr>
              <w:pStyle w:val="13"/>
            </w:pPr>
            <w:r>
              <w:t>一、一般公共服务支出</w:t>
            </w:r>
          </w:p>
        </w:tc>
        <w:tc>
          <w:tcPr>
            <w:tcW w:w="1971" w:type="dxa"/>
            <w:vAlign w:val="center"/>
          </w:tcPr>
          <w:p>
            <w:pPr>
              <w:pStyle w:val="12"/>
            </w:pPr>
            <w:r>
              <w:t>1594.11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1594.11</w:t>
            </w:r>
          </w:p>
        </w:tc>
        <w:tc>
          <w:tcPr>
            <w:tcW w:w="1971" w:type="dxa"/>
            <w:vAlign w:val="center"/>
          </w:tcPr>
          <w:p>
            <w:pPr>
              <w:pStyle w:val="15"/>
            </w:pPr>
            <w:r>
              <w:t>本年支出合计</w:t>
            </w:r>
          </w:p>
        </w:tc>
        <w:tc>
          <w:tcPr>
            <w:tcW w:w="1971" w:type="dxa"/>
            <w:vAlign w:val="center"/>
          </w:tcPr>
          <w:p>
            <w:pPr>
              <w:pStyle w:val="16"/>
            </w:pPr>
            <w:r>
              <w:t>1594.11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1594.11</w:t>
            </w:r>
          </w:p>
        </w:tc>
        <w:tc>
          <w:tcPr>
            <w:tcW w:w="1971" w:type="dxa"/>
            <w:vAlign w:val="center"/>
          </w:tcPr>
          <w:p>
            <w:pPr>
              <w:pStyle w:val="15"/>
            </w:pPr>
            <w:r>
              <w:t>支出总计</w:t>
            </w:r>
          </w:p>
        </w:tc>
        <w:tc>
          <w:tcPr>
            <w:tcW w:w="1971" w:type="dxa"/>
            <w:vAlign w:val="center"/>
          </w:tcPr>
          <w:p>
            <w:pPr>
              <w:pStyle w:val="16"/>
            </w:pPr>
            <w:r>
              <w:t>1594.11</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431石家庄市藁城区行政审批局</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1594.11</w:t>
            </w:r>
          </w:p>
        </w:tc>
        <w:tc>
          <w:tcPr>
            <w:tcW w:w="758" w:type="dxa"/>
            <w:vAlign w:val="center"/>
          </w:tcPr>
          <w:p>
            <w:pPr>
              <w:pStyle w:val="16"/>
            </w:pPr>
            <w:r>
              <w:t>1594.11</w:t>
            </w:r>
          </w:p>
        </w:tc>
        <w:tc>
          <w:tcPr>
            <w:tcW w:w="758" w:type="dxa"/>
            <w:vAlign w:val="center"/>
          </w:tcPr>
          <w:p>
            <w:pPr>
              <w:pStyle w:val="16"/>
            </w:pPr>
            <w:r>
              <w:t>1594.11</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201</w:t>
            </w:r>
          </w:p>
        </w:tc>
        <w:tc>
          <w:tcPr>
            <w:tcW w:w="758" w:type="dxa"/>
            <w:vAlign w:val="center"/>
          </w:tcPr>
          <w:p>
            <w:pPr>
              <w:pStyle w:val="13"/>
            </w:pPr>
            <w:r>
              <w:t>一般公共服务支出</w:t>
            </w:r>
          </w:p>
        </w:tc>
        <w:tc>
          <w:tcPr>
            <w:tcW w:w="758" w:type="dxa"/>
            <w:vAlign w:val="center"/>
          </w:tcPr>
          <w:p>
            <w:pPr>
              <w:pStyle w:val="12"/>
            </w:pPr>
            <w:r>
              <w:t>1594.11</w:t>
            </w:r>
          </w:p>
        </w:tc>
        <w:tc>
          <w:tcPr>
            <w:tcW w:w="758" w:type="dxa"/>
            <w:vAlign w:val="center"/>
          </w:tcPr>
          <w:p>
            <w:pPr>
              <w:pStyle w:val="12"/>
            </w:pPr>
            <w:r>
              <w:t>1594.11</w:t>
            </w:r>
          </w:p>
        </w:tc>
        <w:tc>
          <w:tcPr>
            <w:tcW w:w="758" w:type="dxa"/>
            <w:vAlign w:val="center"/>
          </w:tcPr>
          <w:p>
            <w:pPr>
              <w:pStyle w:val="12"/>
            </w:pPr>
            <w:r>
              <w:t>1594.11</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20103</w:t>
            </w:r>
          </w:p>
        </w:tc>
        <w:tc>
          <w:tcPr>
            <w:tcW w:w="758" w:type="dxa"/>
            <w:vAlign w:val="center"/>
          </w:tcPr>
          <w:p>
            <w:pPr>
              <w:pStyle w:val="13"/>
            </w:pPr>
            <w:r>
              <w:t>政府办公厅（室）及相关机构事务</w:t>
            </w:r>
          </w:p>
        </w:tc>
        <w:tc>
          <w:tcPr>
            <w:tcW w:w="758" w:type="dxa"/>
            <w:vAlign w:val="center"/>
          </w:tcPr>
          <w:p>
            <w:pPr>
              <w:pStyle w:val="12"/>
            </w:pPr>
            <w:r>
              <w:t>1594.11</w:t>
            </w:r>
          </w:p>
        </w:tc>
        <w:tc>
          <w:tcPr>
            <w:tcW w:w="758" w:type="dxa"/>
            <w:vAlign w:val="center"/>
          </w:tcPr>
          <w:p>
            <w:pPr>
              <w:pStyle w:val="12"/>
            </w:pPr>
            <w:r>
              <w:t>1594.11</w:t>
            </w:r>
          </w:p>
        </w:tc>
        <w:tc>
          <w:tcPr>
            <w:tcW w:w="758" w:type="dxa"/>
            <w:vAlign w:val="center"/>
          </w:tcPr>
          <w:p>
            <w:pPr>
              <w:pStyle w:val="12"/>
            </w:pPr>
            <w:r>
              <w:t>1594.11</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2010306</w:t>
            </w:r>
          </w:p>
        </w:tc>
        <w:tc>
          <w:tcPr>
            <w:tcW w:w="758" w:type="dxa"/>
            <w:vAlign w:val="center"/>
          </w:tcPr>
          <w:p>
            <w:pPr>
              <w:pStyle w:val="13"/>
            </w:pPr>
            <w:r>
              <w:t>政务公开审批</w:t>
            </w:r>
          </w:p>
        </w:tc>
        <w:tc>
          <w:tcPr>
            <w:tcW w:w="758" w:type="dxa"/>
            <w:vAlign w:val="center"/>
          </w:tcPr>
          <w:p>
            <w:pPr>
              <w:pStyle w:val="12"/>
            </w:pPr>
            <w:r>
              <w:t>1594.11</w:t>
            </w:r>
          </w:p>
        </w:tc>
        <w:tc>
          <w:tcPr>
            <w:tcW w:w="758" w:type="dxa"/>
            <w:vAlign w:val="center"/>
          </w:tcPr>
          <w:p>
            <w:pPr>
              <w:pStyle w:val="12"/>
            </w:pPr>
            <w:r>
              <w:t>1594.11</w:t>
            </w:r>
          </w:p>
        </w:tc>
        <w:tc>
          <w:tcPr>
            <w:tcW w:w="758" w:type="dxa"/>
            <w:vAlign w:val="center"/>
          </w:tcPr>
          <w:p>
            <w:pPr>
              <w:pStyle w:val="12"/>
            </w:pPr>
            <w:r>
              <w:t>1594.11</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431石家庄市藁城区行政审批局</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1594.11</w:t>
            </w:r>
          </w:p>
        </w:tc>
        <w:tc>
          <w:tcPr>
            <w:tcW w:w="1095" w:type="dxa"/>
            <w:vAlign w:val="center"/>
          </w:tcPr>
          <w:p>
            <w:pPr>
              <w:pStyle w:val="16"/>
            </w:pPr>
            <w:r>
              <w:t>1267.38</w:t>
            </w:r>
          </w:p>
        </w:tc>
        <w:tc>
          <w:tcPr>
            <w:tcW w:w="1095" w:type="dxa"/>
            <w:vAlign w:val="center"/>
          </w:tcPr>
          <w:p>
            <w:pPr>
              <w:pStyle w:val="16"/>
            </w:pPr>
            <w:r>
              <w:t>326.73</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201</w:t>
            </w:r>
          </w:p>
        </w:tc>
        <w:tc>
          <w:tcPr>
            <w:tcW w:w="1095" w:type="dxa"/>
            <w:vAlign w:val="center"/>
          </w:tcPr>
          <w:p>
            <w:pPr>
              <w:pStyle w:val="13"/>
            </w:pPr>
            <w:r>
              <w:t>一般公共服务支出</w:t>
            </w:r>
          </w:p>
        </w:tc>
        <w:tc>
          <w:tcPr>
            <w:tcW w:w="1095" w:type="dxa"/>
            <w:vAlign w:val="center"/>
          </w:tcPr>
          <w:p>
            <w:pPr>
              <w:pStyle w:val="12"/>
            </w:pPr>
            <w:r>
              <w:t>1594.11</w:t>
            </w:r>
          </w:p>
        </w:tc>
        <w:tc>
          <w:tcPr>
            <w:tcW w:w="1095" w:type="dxa"/>
            <w:vAlign w:val="center"/>
          </w:tcPr>
          <w:p>
            <w:pPr>
              <w:pStyle w:val="12"/>
            </w:pPr>
            <w:r>
              <w:t>1267.38</w:t>
            </w:r>
          </w:p>
        </w:tc>
        <w:tc>
          <w:tcPr>
            <w:tcW w:w="1095" w:type="dxa"/>
            <w:vAlign w:val="center"/>
          </w:tcPr>
          <w:p>
            <w:pPr>
              <w:pStyle w:val="12"/>
            </w:pPr>
            <w:r>
              <w:t>326.73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20103</w:t>
            </w:r>
          </w:p>
        </w:tc>
        <w:tc>
          <w:tcPr>
            <w:tcW w:w="1095" w:type="dxa"/>
            <w:vAlign w:val="center"/>
          </w:tcPr>
          <w:p>
            <w:pPr>
              <w:pStyle w:val="13"/>
            </w:pPr>
            <w:r>
              <w:t>政府办公厅（室）及相关机构事务</w:t>
            </w:r>
          </w:p>
        </w:tc>
        <w:tc>
          <w:tcPr>
            <w:tcW w:w="1095" w:type="dxa"/>
            <w:vAlign w:val="center"/>
          </w:tcPr>
          <w:p>
            <w:pPr>
              <w:pStyle w:val="12"/>
            </w:pPr>
            <w:r>
              <w:t>1594.11</w:t>
            </w:r>
          </w:p>
        </w:tc>
        <w:tc>
          <w:tcPr>
            <w:tcW w:w="1095" w:type="dxa"/>
            <w:vAlign w:val="center"/>
          </w:tcPr>
          <w:p>
            <w:pPr>
              <w:pStyle w:val="12"/>
            </w:pPr>
            <w:r>
              <w:t>1267.38</w:t>
            </w:r>
          </w:p>
        </w:tc>
        <w:tc>
          <w:tcPr>
            <w:tcW w:w="1095" w:type="dxa"/>
            <w:vAlign w:val="center"/>
          </w:tcPr>
          <w:p>
            <w:pPr>
              <w:pStyle w:val="12"/>
            </w:pPr>
            <w:r>
              <w:t>326.73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2010306</w:t>
            </w:r>
          </w:p>
        </w:tc>
        <w:tc>
          <w:tcPr>
            <w:tcW w:w="1095" w:type="dxa"/>
            <w:vAlign w:val="center"/>
          </w:tcPr>
          <w:p>
            <w:pPr>
              <w:pStyle w:val="13"/>
            </w:pPr>
            <w:r>
              <w:t>政务公开审批</w:t>
            </w:r>
          </w:p>
        </w:tc>
        <w:tc>
          <w:tcPr>
            <w:tcW w:w="1095" w:type="dxa"/>
            <w:vAlign w:val="center"/>
          </w:tcPr>
          <w:p>
            <w:pPr>
              <w:pStyle w:val="12"/>
            </w:pPr>
            <w:r>
              <w:t>1594.11</w:t>
            </w:r>
          </w:p>
        </w:tc>
        <w:tc>
          <w:tcPr>
            <w:tcW w:w="1095" w:type="dxa"/>
            <w:vAlign w:val="center"/>
          </w:tcPr>
          <w:p>
            <w:pPr>
              <w:pStyle w:val="12"/>
            </w:pPr>
            <w:r>
              <w:t>1267.38</w:t>
            </w:r>
          </w:p>
        </w:tc>
        <w:tc>
          <w:tcPr>
            <w:tcW w:w="1095" w:type="dxa"/>
            <w:vAlign w:val="center"/>
          </w:tcPr>
          <w:p>
            <w:pPr>
              <w:pStyle w:val="12"/>
            </w:pPr>
            <w:r>
              <w:t>326.73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431石家庄市藁城区行政审批局</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1594.11</w:t>
            </w:r>
          </w:p>
        </w:tc>
        <w:tc>
          <w:tcPr>
            <w:tcW w:w="1232" w:type="dxa"/>
            <w:vAlign w:val="center"/>
          </w:tcPr>
          <w:p>
            <w:pPr>
              <w:pStyle w:val="13"/>
            </w:pPr>
            <w:r>
              <w:t>一、一般公共服务支出</w:t>
            </w:r>
          </w:p>
        </w:tc>
        <w:tc>
          <w:tcPr>
            <w:tcW w:w="1232" w:type="dxa"/>
            <w:vAlign w:val="center"/>
          </w:tcPr>
          <w:p>
            <w:pPr>
              <w:pStyle w:val="12"/>
            </w:pPr>
            <w:r>
              <w:t>1594.11</w:t>
            </w:r>
          </w:p>
        </w:tc>
        <w:tc>
          <w:tcPr>
            <w:tcW w:w="1232" w:type="dxa"/>
            <w:vAlign w:val="center"/>
          </w:tcPr>
          <w:p>
            <w:pPr>
              <w:pStyle w:val="12"/>
            </w:pPr>
            <w:r>
              <w:t>1594.11</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1594.11</w:t>
            </w:r>
          </w:p>
        </w:tc>
        <w:tc>
          <w:tcPr>
            <w:tcW w:w="1232" w:type="dxa"/>
            <w:vAlign w:val="center"/>
          </w:tcPr>
          <w:p>
            <w:pPr>
              <w:pStyle w:val="15"/>
            </w:pPr>
            <w:r>
              <w:t>本年支出合计</w:t>
            </w:r>
          </w:p>
        </w:tc>
        <w:tc>
          <w:tcPr>
            <w:tcW w:w="1232" w:type="dxa"/>
            <w:vAlign w:val="center"/>
          </w:tcPr>
          <w:p>
            <w:pPr>
              <w:pStyle w:val="16"/>
            </w:pPr>
            <w:r>
              <w:t>1594.11</w:t>
            </w:r>
          </w:p>
        </w:tc>
        <w:tc>
          <w:tcPr>
            <w:tcW w:w="1232" w:type="dxa"/>
            <w:vAlign w:val="center"/>
          </w:tcPr>
          <w:p>
            <w:pPr>
              <w:pStyle w:val="16"/>
            </w:pPr>
            <w:r>
              <w:t>1594.11</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1594.11</w:t>
            </w:r>
          </w:p>
        </w:tc>
        <w:tc>
          <w:tcPr>
            <w:tcW w:w="1232" w:type="dxa"/>
            <w:vAlign w:val="center"/>
          </w:tcPr>
          <w:p>
            <w:pPr>
              <w:pStyle w:val="15"/>
            </w:pPr>
            <w:r>
              <w:t>支出总计</w:t>
            </w:r>
          </w:p>
        </w:tc>
        <w:tc>
          <w:tcPr>
            <w:tcW w:w="1232" w:type="dxa"/>
            <w:vAlign w:val="center"/>
          </w:tcPr>
          <w:p>
            <w:pPr>
              <w:pStyle w:val="16"/>
            </w:pPr>
            <w:r>
              <w:t>1594.11</w:t>
            </w:r>
          </w:p>
        </w:tc>
        <w:tc>
          <w:tcPr>
            <w:tcW w:w="1232" w:type="dxa"/>
            <w:vAlign w:val="center"/>
          </w:tcPr>
          <w:p>
            <w:pPr>
              <w:pStyle w:val="16"/>
            </w:pPr>
            <w:r>
              <w:t>1594.11</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431石家庄市藁城区行政审批局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1594.11</w:t>
            </w:r>
          </w:p>
        </w:tc>
        <w:tc>
          <w:tcPr>
            <w:tcW w:w="1643" w:type="dxa"/>
            <w:vAlign w:val="center"/>
          </w:tcPr>
          <w:p>
            <w:pPr>
              <w:pStyle w:val="16"/>
            </w:pPr>
            <w:r>
              <w:t>1267.38</w:t>
            </w:r>
          </w:p>
        </w:tc>
        <w:tc>
          <w:tcPr>
            <w:tcW w:w="1643" w:type="dxa"/>
            <w:vAlign w:val="center"/>
          </w:tcPr>
          <w:p>
            <w:pPr>
              <w:pStyle w:val="16"/>
            </w:pPr>
            <w:r>
              <w:t>326.73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201</w:t>
            </w:r>
          </w:p>
        </w:tc>
        <w:tc>
          <w:tcPr>
            <w:tcW w:w="1643" w:type="dxa"/>
            <w:vAlign w:val="center"/>
          </w:tcPr>
          <w:p>
            <w:pPr>
              <w:pStyle w:val="13"/>
            </w:pPr>
            <w:r>
              <w:t>一般公共服务支出</w:t>
            </w:r>
          </w:p>
        </w:tc>
        <w:tc>
          <w:tcPr>
            <w:tcW w:w="1643" w:type="dxa"/>
            <w:vAlign w:val="center"/>
          </w:tcPr>
          <w:p>
            <w:pPr>
              <w:pStyle w:val="12"/>
            </w:pPr>
            <w:r>
              <w:t>1594.11</w:t>
            </w:r>
          </w:p>
        </w:tc>
        <w:tc>
          <w:tcPr>
            <w:tcW w:w="1643" w:type="dxa"/>
            <w:vAlign w:val="center"/>
          </w:tcPr>
          <w:p>
            <w:pPr>
              <w:pStyle w:val="12"/>
            </w:pPr>
            <w:r>
              <w:t>1267.38</w:t>
            </w:r>
          </w:p>
        </w:tc>
        <w:tc>
          <w:tcPr>
            <w:tcW w:w="1643" w:type="dxa"/>
            <w:vAlign w:val="center"/>
          </w:tcPr>
          <w:p>
            <w:pPr>
              <w:pStyle w:val="12"/>
            </w:pPr>
            <w:r>
              <w:t>326.73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20103</w:t>
            </w:r>
          </w:p>
        </w:tc>
        <w:tc>
          <w:tcPr>
            <w:tcW w:w="1643" w:type="dxa"/>
            <w:vAlign w:val="center"/>
          </w:tcPr>
          <w:p>
            <w:pPr>
              <w:pStyle w:val="13"/>
            </w:pPr>
            <w:r>
              <w:t>政府办公厅（室）及相关机构事务</w:t>
            </w:r>
          </w:p>
        </w:tc>
        <w:tc>
          <w:tcPr>
            <w:tcW w:w="1643" w:type="dxa"/>
            <w:vAlign w:val="center"/>
          </w:tcPr>
          <w:p>
            <w:pPr>
              <w:pStyle w:val="12"/>
            </w:pPr>
            <w:r>
              <w:t>1594.11</w:t>
            </w:r>
          </w:p>
        </w:tc>
        <w:tc>
          <w:tcPr>
            <w:tcW w:w="1643" w:type="dxa"/>
            <w:vAlign w:val="center"/>
          </w:tcPr>
          <w:p>
            <w:pPr>
              <w:pStyle w:val="12"/>
            </w:pPr>
            <w:r>
              <w:t>1267.38</w:t>
            </w:r>
          </w:p>
        </w:tc>
        <w:tc>
          <w:tcPr>
            <w:tcW w:w="1643" w:type="dxa"/>
            <w:vAlign w:val="center"/>
          </w:tcPr>
          <w:p>
            <w:pPr>
              <w:pStyle w:val="12"/>
            </w:pPr>
            <w:r>
              <w:t>326.73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2010306</w:t>
            </w:r>
          </w:p>
        </w:tc>
        <w:tc>
          <w:tcPr>
            <w:tcW w:w="1643" w:type="dxa"/>
            <w:vAlign w:val="center"/>
          </w:tcPr>
          <w:p>
            <w:pPr>
              <w:pStyle w:val="13"/>
            </w:pPr>
            <w:r>
              <w:t>政务公开审批</w:t>
            </w:r>
          </w:p>
        </w:tc>
        <w:tc>
          <w:tcPr>
            <w:tcW w:w="1643" w:type="dxa"/>
            <w:vAlign w:val="center"/>
          </w:tcPr>
          <w:p>
            <w:pPr>
              <w:pStyle w:val="12"/>
            </w:pPr>
            <w:r>
              <w:t>1594.11</w:t>
            </w:r>
          </w:p>
        </w:tc>
        <w:tc>
          <w:tcPr>
            <w:tcW w:w="1643" w:type="dxa"/>
            <w:vAlign w:val="center"/>
          </w:tcPr>
          <w:p>
            <w:pPr>
              <w:pStyle w:val="12"/>
            </w:pPr>
            <w:r>
              <w:t>1267.38</w:t>
            </w:r>
          </w:p>
        </w:tc>
        <w:tc>
          <w:tcPr>
            <w:tcW w:w="1643" w:type="dxa"/>
            <w:vAlign w:val="center"/>
          </w:tcPr>
          <w:p>
            <w:pPr>
              <w:pStyle w:val="12"/>
            </w:pPr>
            <w:r>
              <w:t>326.73</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431石家庄市藁城区行政审批局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1267.38</w:t>
            </w:r>
          </w:p>
        </w:tc>
        <w:tc>
          <w:tcPr>
            <w:tcW w:w="1643" w:type="dxa"/>
            <w:vAlign w:val="center"/>
          </w:tcPr>
          <w:p>
            <w:pPr>
              <w:pStyle w:val="16"/>
            </w:pPr>
            <w:r>
              <w:t>1188.41</w:t>
            </w:r>
          </w:p>
        </w:tc>
        <w:tc>
          <w:tcPr>
            <w:tcW w:w="1643" w:type="dxa"/>
            <w:vAlign w:val="center"/>
          </w:tcPr>
          <w:p>
            <w:pPr>
              <w:pStyle w:val="16"/>
            </w:pPr>
            <w:r>
              <w:t>78.97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1174.98</w:t>
            </w:r>
          </w:p>
        </w:tc>
        <w:tc>
          <w:tcPr>
            <w:tcW w:w="1643" w:type="dxa"/>
            <w:vAlign w:val="center"/>
          </w:tcPr>
          <w:p>
            <w:pPr>
              <w:pStyle w:val="12"/>
            </w:pPr>
            <w:r>
              <w:t>1174.98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224.92</w:t>
            </w:r>
          </w:p>
        </w:tc>
        <w:tc>
          <w:tcPr>
            <w:tcW w:w="1643" w:type="dxa"/>
            <w:vAlign w:val="center"/>
          </w:tcPr>
          <w:p>
            <w:pPr>
              <w:pStyle w:val="12"/>
            </w:pPr>
            <w:r>
              <w:t>224.92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227.12</w:t>
            </w:r>
          </w:p>
        </w:tc>
        <w:tc>
          <w:tcPr>
            <w:tcW w:w="1643" w:type="dxa"/>
            <w:vAlign w:val="center"/>
          </w:tcPr>
          <w:p>
            <w:pPr>
              <w:pStyle w:val="12"/>
            </w:pPr>
            <w:r>
              <w:t>227.12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97.77</w:t>
            </w:r>
          </w:p>
        </w:tc>
        <w:tc>
          <w:tcPr>
            <w:tcW w:w="1643" w:type="dxa"/>
            <w:vAlign w:val="center"/>
          </w:tcPr>
          <w:p>
            <w:pPr>
              <w:pStyle w:val="12"/>
            </w:pPr>
            <w:r>
              <w:t>97.77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2"/>
            </w:pPr>
            <w:r>
              <w:t>148.96</w:t>
            </w:r>
          </w:p>
        </w:tc>
        <w:tc>
          <w:tcPr>
            <w:tcW w:w="1643" w:type="dxa"/>
            <w:vAlign w:val="center"/>
          </w:tcPr>
          <w:p>
            <w:pPr>
              <w:pStyle w:val="12"/>
            </w:pPr>
            <w:r>
              <w:t>148.96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114.60</w:t>
            </w:r>
          </w:p>
        </w:tc>
        <w:tc>
          <w:tcPr>
            <w:tcW w:w="1643" w:type="dxa"/>
            <w:vAlign w:val="center"/>
          </w:tcPr>
          <w:p>
            <w:pPr>
              <w:pStyle w:val="12"/>
            </w:pPr>
            <w:r>
              <w:t>114.60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38.59</w:t>
            </w:r>
          </w:p>
        </w:tc>
        <w:tc>
          <w:tcPr>
            <w:tcW w:w="1643" w:type="dxa"/>
            <w:vAlign w:val="center"/>
          </w:tcPr>
          <w:p>
            <w:pPr>
              <w:pStyle w:val="12"/>
            </w:pPr>
            <w:r>
              <w:t>38.59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30111</w:t>
            </w:r>
          </w:p>
        </w:tc>
        <w:tc>
          <w:tcPr>
            <w:tcW w:w="1643" w:type="dxa"/>
            <w:vAlign w:val="center"/>
          </w:tcPr>
          <w:p>
            <w:pPr>
              <w:pStyle w:val="13"/>
            </w:pPr>
            <w:r>
              <w:t>公务员医疗补助缴费</w:t>
            </w:r>
          </w:p>
        </w:tc>
        <w:tc>
          <w:tcPr>
            <w:tcW w:w="1643" w:type="dxa"/>
            <w:vAlign w:val="center"/>
          </w:tcPr>
          <w:p>
            <w:pPr>
              <w:pStyle w:val="12"/>
            </w:pPr>
            <w:r>
              <w:t>29.86</w:t>
            </w:r>
          </w:p>
        </w:tc>
        <w:tc>
          <w:tcPr>
            <w:tcW w:w="1643" w:type="dxa"/>
            <w:vAlign w:val="center"/>
          </w:tcPr>
          <w:p>
            <w:pPr>
              <w:pStyle w:val="12"/>
            </w:pPr>
            <w:r>
              <w:t>29.86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45.14</w:t>
            </w:r>
          </w:p>
        </w:tc>
        <w:tc>
          <w:tcPr>
            <w:tcW w:w="1643" w:type="dxa"/>
            <w:vAlign w:val="center"/>
          </w:tcPr>
          <w:p>
            <w:pPr>
              <w:pStyle w:val="12"/>
            </w:pPr>
            <w:r>
              <w:t>45.14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2"/>
            </w:pPr>
            <w:r>
              <w:t>87.54</w:t>
            </w:r>
          </w:p>
        </w:tc>
        <w:tc>
          <w:tcPr>
            <w:tcW w:w="1643" w:type="dxa"/>
            <w:vAlign w:val="center"/>
          </w:tcPr>
          <w:p>
            <w:pPr>
              <w:pStyle w:val="12"/>
            </w:pPr>
            <w:r>
              <w:t>87.54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30199</w:t>
            </w:r>
          </w:p>
        </w:tc>
        <w:tc>
          <w:tcPr>
            <w:tcW w:w="1643" w:type="dxa"/>
            <w:vAlign w:val="center"/>
          </w:tcPr>
          <w:p>
            <w:pPr>
              <w:pStyle w:val="13"/>
            </w:pPr>
            <w:r>
              <w:t>其他工资福利支出</w:t>
            </w:r>
          </w:p>
        </w:tc>
        <w:tc>
          <w:tcPr>
            <w:tcW w:w="1643" w:type="dxa"/>
            <w:vAlign w:val="center"/>
          </w:tcPr>
          <w:p>
            <w:pPr>
              <w:pStyle w:val="12"/>
            </w:pPr>
            <w:r>
              <w:t>160.48</w:t>
            </w:r>
          </w:p>
        </w:tc>
        <w:tc>
          <w:tcPr>
            <w:tcW w:w="1643" w:type="dxa"/>
            <w:vAlign w:val="center"/>
          </w:tcPr>
          <w:p>
            <w:pPr>
              <w:pStyle w:val="12"/>
            </w:pPr>
            <w:r>
              <w:t>160.48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78.97</w:t>
            </w:r>
          </w:p>
        </w:tc>
        <w:tc>
          <w:tcPr>
            <w:tcW w:w="1643" w:type="dxa"/>
            <w:vAlign w:val="center"/>
          </w:tcPr>
          <w:p>
            <w:pPr>
              <w:pStyle w:val="12"/>
            </w:pPr>
          </w:p>
        </w:tc>
        <w:tc>
          <w:tcPr>
            <w:tcW w:w="1643" w:type="dxa"/>
            <w:vAlign w:val="center"/>
          </w:tcPr>
          <w:p>
            <w:pPr>
              <w:pStyle w:val="12"/>
            </w:pPr>
            <w:r>
              <w:t>78.97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9.60</w:t>
            </w:r>
          </w:p>
        </w:tc>
        <w:tc>
          <w:tcPr>
            <w:tcW w:w="1643" w:type="dxa"/>
            <w:vAlign w:val="center"/>
          </w:tcPr>
          <w:p>
            <w:pPr>
              <w:pStyle w:val="12"/>
            </w:pPr>
          </w:p>
        </w:tc>
        <w:tc>
          <w:tcPr>
            <w:tcW w:w="1643" w:type="dxa"/>
            <w:vAlign w:val="center"/>
          </w:tcPr>
          <w:p>
            <w:pPr>
              <w:pStyle w:val="12"/>
            </w:pPr>
            <w:r>
              <w:t>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30202</w:t>
            </w:r>
          </w:p>
        </w:tc>
        <w:tc>
          <w:tcPr>
            <w:tcW w:w="1643" w:type="dxa"/>
            <w:vAlign w:val="center"/>
          </w:tcPr>
          <w:p>
            <w:pPr>
              <w:pStyle w:val="13"/>
            </w:pPr>
            <w:r>
              <w:t>印刷费</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30205</w:t>
            </w:r>
          </w:p>
        </w:tc>
        <w:tc>
          <w:tcPr>
            <w:tcW w:w="1643" w:type="dxa"/>
            <w:vAlign w:val="center"/>
          </w:tcPr>
          <w:p>
            <w:pPr>
              <w:pStyle w:val="13"/>
            </w:pPr>
            <w:r>
              <w:t>水费</w:t>
            </w:r>
          </w:p>
        </w:tc>
        <w:tc>
          <w:tcPr>
            <w:tcW w:w="1643" w:type="dxa"/>
            <w:vAlign w:val="center"/>
          </w:tcPr>
          <w:p>
            <w:pPr>
              <w:pStyle w:val="12"/>
            </w:pPr>
            <w:r>
              <w:t>0.20</w:t>
            </w:r>
          </w:p>
        </w:tc>
        <w:tc>
          <w:tcPr>
            <w:tcW w:w="1643" w:type="dxa"/>
            <w:vAlign w:val="center"/>
          </w:tcPr>
          <w:p>
            <w:pPr>
              <w:pStyle w:val="12"/>
            </w:pPr>
          </w:p>
        </w:tc>
        <w:tc>
          <w:tcPr>
            <w:tcW w:w="1643"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30206</w:t>
            </w:r>
          </w:p>
        </w:tc>
        <w:tc>
          <w:tcPr>
            <w:tcW w:w="1643" w:type="dxa"/>
            <w:vAlign w:val="center"/>
          </w:tcPr>
          <w:p>
            <w:pPr>
              <w:pStyle w:val="13"/>
            </w:pPr>
            <w:r>
              <w:t>电费</w:t>
            </w:r>
          </w:p>
        </w:tc>
        <w:tc>
          <w:tcPr>
            <w:tcW w:w="1643" w:type="dxa"/>
            <w:vAlign w:val="center"/>
          </w:tcPr>
          <w:p>
            <w:pPr>
              <w:pStyle w:val="12"/>
            </w:pPr>
            <w:r>
              <w:t>5.00</w:t>
            </w:r>
          </w:p>
        </w:tc>
        <w:tc>
          <w:tcPr>
            <w:tcW w:w="1643" w:type="dxa"/>
            <w:vAlign w:val="center"/>
          </w:tcPr>
          <w:p>
            <w:pPr>
              <w:pStyle w:val="12"/>
            </w:pPr>
          </w:p>
        </w:tc>
        <w:tc>
          <w:tcPr>
            <w:tcW w:w="1643"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25.76</w:t>
            </w:r>
          </w:p>
        </w:tc>
        <w:tc>
          <w:tcPr>
            <w:tcW w:w="1643" w:type="dxa"/>
            <w:vAlign w:val="center"/>
          </w:tcPr>
          <w:p>
            <w:pPr>
              <w:pStyle w:val="12"/>
            </w:pPr>
          </w:p>
        </w:tc>
        <w:tc>
          <w:tcPr>
            <w:tcW w:w="1643" w:type="dxa"/>
            <w:vAlign w:val="center"/>
          </w:tcPr>
          <w:p>
            <w:pPr>
              <w:pStyle w:val="12"/>
            </w:pPr>
            <w:r>
              <w:t>25.76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30211</w:t>
            </w:r>
          </w:p>
        </w:tc>
        <w:tc>
          <w:tcPr>
            <w:tcW w:w="1643" w:type="dxa"/>
            <w:vAlign w:val="center"/>
          </w:tcPr>
          <w:p>
            <w:pPr>
              <w:pStyle w:val="13"/>
            </w:pPr>
            <w:r>
              <w:t>差旅费</w:t>
            </w:r>
          </w:p>
        </w:tc>
        <w:tc>
          <w:tcPr>
            <w:tcW w:w="1643" w:type="dxa"/>
            <w:vAlign w:val="center"/>
          </w:tcPr>
          <w:p>
            <w:pPr>
              <w:pStyle w:val="12"/>
            </w:pPr>
            <w:r>
              <w:t>1.00</w:t>
            </w:r>
          </w:p>
        </w:tc>
        <w:tc>
          <w:tcPr>
            <w:tcW w:w="1643" w:type="dxa"/>
            <w:vAlign w:val="center"/>
          </w:tcPr>
          <w:p>
            <w:pPr>
              <w:pStyle w:val="12"/>
            </w:pPr>
          </w:p>
        </w:tc>
        <w:tc>
          <w:tcPr>
            <w:tcW w:w="1643"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20</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2"/>
            </w:pPr>
            <w:r>
              <w:t>6.85</w:t>
            </w:r>
          </w:p>
        </w:tc>
        <w:tc>
          <w:tcPr>
            <w:tcW w:w="1643" w:type="dxa"/>
            <w:vAlign w:val="center"/>
          </w:tcPr>
          <w:p>
            <w:pPr>
              <w:pStyle w:val="12"/>
            </w:pPr>
          </w:p>
        </w:tc>
        <w:tc>
          <w:tcPr>
            <w:tcW w:w="1643" w:type="dxa"/>
            <w:vAlign w:val="center"/>
          </w:tcPr>
          <w:p>
            <w:pPr>
              <w:pStyle w:val="12"/>
            </w:pPr>
            <w:r>
              <w:t>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21</w:t>
            </w:r>
          </w:p>
        </w:tc>
        <w:tc>
          <w:tcPr>
            <w:tcW w:w="1643" w:type="dxa"/>
            <w:vAlign w:val="center"/>
          </w:tcPr>
          <w:p>
            <w:pPr>
              <w:pStyle w:val="13"/>
            </w:pPr>
            <w:r>
              <w:t>30229</w:t>
            </w:r>
          </w:p>
        </w:tc>
        <w:tc>
          <w:tcPr>
            <w:tcW w:w="1643" w:type="dxa"/>
            <w:vAlign w:val="center"/>
          </w:tcPr>
          <w:p>
            <w:pPr>
              <w:pStyle w:val="13"/>
            </w:pPr>
            <w:r>
              <w:t>福利费</w:t>
            </w:r>
          </w:p>
        </w:tc>
        <w:tc>
          <w:tcPr>
            <w:tcW w:w="1643" w:type="dxa"/>
            <w:vAlign w:val="center"/>
          </w:tcPr>
          <w:p>
            <w:pPr>
              <w:pStyle w:val="12"/>
            </w:pPr>
            <w:r>
              <w:t>5.62</w:t>
            </w:r>
          </w:p>
        </w:tc>
        <w:tc>
          <w:tcPr>
            <w:tcW w:w="1643" w:type="dxa"/>
            <w:vAlign w:val="center"/>
          </w:tcPr>
          <w:p>
            <w:pPr>
              <w:pStyle w:val="12"/>
            </w:pPr>
          </w:p>
        </w:tc>
        <w:tc>
          <w:tcPr>
            <w:tcW w:w="1643" w:type="dxa"/>
            <w:vAlign w:val="center"/>
          </w:tcPr>
          <w:p>
            <w:pPr>
              <w:pStyle w:val="12"/>
            </w:pPr>
            <w:r>
              <w:t>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22</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20.82</w:t>
            </w:r>
          </w:p>
        </w:tc>
        <w:tc>
          <w:tcPr>
            <w:tcW w:w="1643" w:type="dxa"/>
            <w:vAlign w:val="center"/>
          </w:tcPr>
          <w:p>
            <w:pPr>
              <w:pStyle w:val="12"/>
            </w:pPr>
          </w:p>
        </w:tc>
        <w:tc>
          <w:tcPr>
            <w:tcW w:w="1643" w:type="dxa"/>
            <w:vAlign w:val="center"/>
          </w:tcPr>
          <w:p>
            <w:pPr>
              <w:pStyle w:val="12"/>
            </w:pPr>
            <w:r>
              <w:t>20.82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23</w:t>
            </w:r>
          </w:p>
        </w:tc>
        <w:tc>
          <w:tcPr>
            <w:tcW w:w="1643" w:type="dxa"/>
            <w:vAlign w:val="center"/>
          </w:tcPr>
          <w:p>
            <w:pPr>
              <w:pStyle w:val="13"/>
            </w:pPr>
            <w:r>
              <w:t>30299</w:t>
            </w:r>
          </w:p>
        </w:tc>
        <w:tc>
          <w:tcPr>
            <w:tcW w:w="1643" w:type="dxa"/>
            <w:vAlign w:val="center"/>
          </w:tcPr>
          <w:p>
            <w:pPr>
              <w:pStyle w:val="13"/>
            </w:pPr>
            <w:r>
              <w:t>其他商品和服务支出</w:t>
            </w:r>
          </w:p>
        </w:tc>
        <w:tc>
          <w:tcPr>
            <w:tcW w:w="1643" w:type="dxa"/>
            <w:vAlign w:val="center"/>
          </w:tcPr>
          <w:p>
            <w:pPr>
              <w:pStyle w:val="12"/>
            </w:pPr>
            <w:r>
              <w:t>1.12</w:t>
            </w:r>
          </w:p>
        </w:tc>
        <w:tc>
          <w:tcPr>
            <w:tcW w:w="1643" w:type="dxa"/>
            <w:vAlign w:val="center"/>
          </w:tcPr>
          <w:p>
            <w:pPr>
              <w:pStyle w:val="12"/>
            </w:pPr>
          </w:p>
        </w:tc>
        <w:tc>
          <w:tcPr>
            <w:tcW w:w="1643" w:type="dxa"/>
            <w:vAlign w:val="center"/>
          </w:tcPr>
          <w:p>
            <w:pPr>
              <w:pStyle w:val="12"/>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24</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13.43</w:t>
            </w:r>
          </w:p>
        </w:tc>
        <w:tc>
          <w:tcPr>
            <w:tcW w:w="1643" w:type="dxa"/>
            <w:vAlign w:val="center"/>
          </w:tcPr>
          <w:p>
            <w:pPr>
              <w:pStyle w:val="12"/>
            </w:pPr>
            <w:r>
              <w:t>13.43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25</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pPr>
            <w:r>
              <w:t>13.43</w:t>
            </w:r>
          </w:p>
        </w:tc>
        <w:tc>
          <w:tcPr>
            <w:tcW w:w="1643" w:type="dxa"/>
            <w:vAlign w:val="center"/>
          </w:tcPr>
          <w:p>
            <w:pPr>
              <w:pStyle w:val="12"/>
            </w:pPr>
            <w:r>
              <w:t>13.43</w:t>
            </w:r>
          </w:p>
        </w:tc>
        <w:tc>
          <w:tcPr>
            <w:tcW w:w="1643"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431石家庄市藁城区行政审批局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431石家庄市藁城区行政审批局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431石家庄市藁城区行政审批局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石家庄市藁城区行政审批局2024年部门预算信息公开情况说明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石家庄市藁城区行政审批局2024年部门预算信息公开情况说明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按照《中华人民共和国预算法》、《地方预决算公开操作规程》和《关于进一步推进预算公开工作的实施意见》规定，现将石家庄市藁城区行政审批局2024年部门预算公开如下：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26"/>
      </w:pPr>
      <w:r>
        <w:rPr>
          <w:rFonts w:ascii="方正楷体_GBK" w:hAnsi="方正楷体_GBK" w:eastAsia="方正楷体_GBK" w:cs="方正楷体_GBK"/>
          <w:b/>
          <w:color w:val="000000"/>
          <w:sz w:val="32"/>
        </w:rPr>
        <w:t>部门职责：</w:t>
      </w:r>
      <w:r>
        <w:t>　(一)</w:t>
      </w:r>
      <w:r>
        <w:tab/>
      </w:r>
      <w:r>
        <w:t>机关行政事务和公文运转。负责区委、区政府公文承办、落实.结合机关内部的具体情况，研究拟定关于机关事务工作的方针和规章制度。保障区委、区政府指示精神的落实到位，保障中心正常运转</w:t>
      </w:r>
    </w:p>
    <w:p>
      <w:pPr>
        <w:pStyle w:val="26"/>
      </w:pPr>
      <w:r>
        <w:t>　　　(二)</w:t>
      </w:r>
      <w:r>
        <w:tab/>
      </w:r>
      <w:r>
        <w:t>协调窗口事务及信息档案工作。负责安排各单位入驻审批服务项目、进驻大厅工作人员,对涉及多部门的审批事项进行协调，确保各单位入驻事项应进必进，重点项目并联审批事项顺利进行。</w:t>
      </w:r>
    </w:p>
    <w:p>
      <w:pPr>
        <w:pStyle w:val="26"/>
      </w:pPr>
      <w:r>
        <w:t>　　　(三)</w:t>
      </w:r>
      <w:r>
        <w:tab/>
      </w:r>
      <w:r>
        <w:t>对窗口工作人员管理和考核。负责对窗口单位及窗口工作人员进行考核，采取量化考核和民主评议相结合的方式进行，确保窗口工作人员爱岗敬业、遵守纪律、精通业务，为服务对象提供优质服务。</w:t>
      </w:r>
    </w:p>
    <w:p>
      <w:pPr>
        <w:pStyle w:val="26"/>
      </w:pPr>
      <w:r>
        <w:t>　　　(四)</w:t>
      </w:r>
      <w:r>
        <w:tab/>
      </w:r>
      <w:r>
        <w:t>协调窗口办件。及时准确地提供相关政策、法律法规查询，完善“三证合一”登记管理制度</w:t>
      </w:r>
      <w:r>
        <w:tab/>
      </w:r>
      <w:r>
        <w:t>及时准确地提供相关政策、法律法规查询。确保规定时间内完成三证合一登记出证工作。</w:t>
      </w:r>
    </w:p>
    <w:p>
      <w:pPr>
        <w:pStyle w:val="26"/>
      </w:pPr>
      <w:r>
        <w:t>　　　(五)</w:t>
      </w:r>
      <w:r>
        <w:tab/>
      </w:r>
      <w:r>
        <w:t>服务保障。保证网络正常运行，保持中心网站及时更新、及时维护，及时将中心各项工作进行公开，信息真实完整，线路畅通、运行稳定。</w:t>
      </w:r>
    </w:p>
    <w:p>
      <w:pPr>
        <w:pStyle w:val="26"/>
      </w:pPr>
      <w:r>
        <w:t>　　　(六)</w:t>
      </w:r>
      <w:r>
        <w:tab/>
      </w:r>
      <w:r>
        <w:t>安全保卫工作。大厅的工作场所的安全保卫、消防工作，制定各项安全防范制度和措施。协助窗口单位做好文件保管及保密工作。维护机关正常工作秩序。</w:t>
      </w:r>
    </w:p>
    <w:p>
      <w:pPr>
        <w:pStyle w:val="26"/>
      </w:pPr>
      <w:r>
        <w:t>　　　(七)</w:t>
      </w:r>
      <w:r>
        <w:tab/>
      </w:r>
      <w:r>
        <w:t>机关行政事务和机关会务信息档案工作。根据党和国家及区委、区政府的有关方针政策，结合机关内部的具体情况，研究拟定关于机关事务工作的方针和规章制度，保障中心各项后勤工作有序开展，为各窗口服好务。</w:t>
      </w:r>
    </w:p>
    <w:p>
      <w:pPr>
        <w:pStyle w:val="26"/>
      </w:pPr>
      <w:r>
        <w:t>　　　(八)</w:t>
      </w:r>
      <w:r>
        <w:tab/>
      </w:r>
      <w:r>
        <w:t>服务保障。中心的环境卫生、绿化、美化以及大厅办公设施的维护管理购置工作。为窗口工作人员提供良好的工作环境。</w:t>
      </w:r>
    </w:p>
    <w:p>
      <w:pPr>
        <w:pStyle w:val="26"/>
      </w:pPr>
      <w:r>
        <w:t>　　　(九)</w:t>
      </w:r>
      <w:r>
        <w:tab/>
      </w:r>
      <w:r>
        <w:t>基建维修。负责中心的房屋维修，水电暖通讯设备使用、管理及维修，对中央空调等大型设备进行定期维护。为各窗口工作人员提供良好的工作保障，做好各种大型设备的维修保养工作。确保正常运转。</w:t>
      </w:r>
    </w:p>
    <w:p>
      <w:pPr>
        <w:pStyle w:val="26"/>
      </w:pPr>
      <w:r>
        <w:t>　　　(十)</w:t>
      </w:r>
      <w:r>
        <w:tab/>
      </w:r>
      <w:r>
        <w:t>办公用品采购。负责中心水、电、暖、网、办公用品等硬、软件的管理，保障中心正常开展各项业务。</w:t>
      </w:r>
    </w:p>
    <w:p>
      <w:pPr>
        <w:pStyle w:val="26"/>
      </w:pPr>
      <w:r>
        <w:t>　　　(十一)信息化建设。负责全区行政审批、政务服务体系的信息化建设。各项配套电子设备，保障高效办公。</w:t>
      </w:r>
    </w:p>
    <w:p>
      <w:pPr>
        <w:pStyle w:val="26"/>
      </w:pPr>
      <w:r>
        <w:t>　　　(十二)其他事项。承办区委、区政府交办的其他事项，做好区委、区政府安排的突发及临时性工作。</w:t>
      </w:r>
    </w:p>
    <w:p>
      <w:pPr>
        <w:pStyle w:val="26"/>
      </w:pPr>
      <w:r>
        <w:t>　　　(十三)公共资源交易中心。行使政府采购、住建局建筑市场交易、国土局地产交易等公共资源交易职能。收集和发布各类交易信息，为交易活动提供场所、设施和服务；负责公共资源交易程序的组织实施，发放中标(成交)通知书、收退相关费用等；综合使用社会中介服务机构库、各类评审专家库等；见证公共资源交易项目交易过程，为有关部门对公共资源交易活动进行监管提供依据；建立公共资源交易主体信誉评价制度，协助有关部门推进公共资源主体信誉管理体系建设等。建立公共资源交易主体信誉评价制度，协助有关部门推进公共资源主体信誉管理体系建设等。</w:t>
      </w:r>
    </w:p>
    <w:p>
      <w:pPr>
        <w:pStyle w:val="26"/>
      </w:pPr>
      <w:r>
        <w:t>　　　(十四)行政审批服务中心。对行政审批事项和政务服务事项提供咨询、领办、代办等服务，对全区重点项目提供全程帮办、无偿代办服务；负责行政审批局电子政务网络建设维护、平台运行和工作人员的技术培训、指导工作；承接省、市电子政务网络建设的有关工作，推行“互联网+政务服务”模式，建立实体服务大厅、网上办事大厅、移动客户端、自动终端等多种形式相结合的公共服务平台，构建区乡一体化的网上在线审批平台；建立完善行政审批服务中心的各项规章制度，提供各项优质服务；完成行政审批局交办的其他工作。审批事项代办、互联网络+政务服务模式建立。及局领导交办的各项工作。</w:t>
      </w:r>
    </w:p>
    <w:p>
      <w:pPr>
        <w:spacing w:before="0" w:after="0" w:line="240" w:lineRule="auto"/>
        <w:ind w:firstLine="640"/>
        <w:jc w:val="left"/>
        <w:outlineLvl w:val="9"/>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石家庄市藁城区行政审批局本级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　　　　1、收入说明</w:t>
      </w:r>
    </w:p>
    <w:p>
      <w:pPr>
        <w:pStyle w:val="19"/>
      </w:pPr>
      <w:r>
        <w:t>　　　　反映本部门预算收入。2024年预算收入1594.11万元，其中：一般公共预算收入1594.11万元，基金预算收入0万元，财政专户核拨收入0万元，其他来源收入0万元。</w:t>
      </w:r>
    </w:p>
    <w:p>
      <w:pPr>
        <w:pStyle w:val="19"/>
      </w:pPr>
      <w:r>
        <w:t>　　　　2、支出说明</w:t>
      </w:r>
    </w:p>
    <w:p>
      <w:pPr>
        <w:pStyle w:val="19"/>
      </w:pPr>
      <w:r>
        <w:t>收支预算总表支出栏、基本支出表、项目支出表按经济分类和支出功能分类科目编制，反映本部门中支出预算的总体情况。2024年部门支出预算为1594.11万元，其中基本支出1267.38万元，包括人员经费1188.41万元和日常公用经费78.97万元；日常公用经费比去年减少0.39万元。项目支出326.73万元，主要为第三方中介服务费支出15万元，各类印刷品经费支出2.4万元，公共资源交易中心房租支出5万元，年初预算本级项目239.08万元，政务服务中心运行维护费支出9.25万元，租赁办公用房经费支出56万元；其他支出0万元。</w:t>
      </w:r>
    </w:p>
    <w:p>
      <w:pPr>
        <w:pStyle w:val="19"/>
      </w:pPr>
      <w:r>
        <w:t>　　　　3.比上年增减情况</w:t>
      </w:r>
    </w:p>
    <w:p>
      <w:pPr>
        <w:pStyle w:val="19"/>
      </w:pPr>
      <w:r>
        <w:t>　　　　2024年部门收支安排1594.11万元，较2023年增加14.94万元，其中：基本支出增加242.16万元，主要是人员增加，相应增加经费和日常公用经费；以及预算项目调整导致基本支出增加。项目支出j万减少227.21万元，主要是压缩经费，项目调整。</w:t>
      </w:r>
    </w:p>
    <w:p>
      <w:pPr>
        <w:pStyle w:val="19"/>
      </w:pPr>
      <w:r>
        <w:t>　　　</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　　　　202</w:t>
      </w:r>
      <w:r>
        <w:rPr>
          <w:rFonts w:hint="eastAsia"/>
          <w:lang w:val="en-US" w:eastAsia="zh-CN"/>
        </w:rPr>
        <w:t>4</w:t>
      </w:r>
      <w:r>
        <w:t>年，我部门机关运行经费共计安排</w:t>
      </w:r>
      <w:r>
        <w:rPr>
          <w:rFonts w:hint="eastAsia"/>
          <w:lang w:val="en-US" w:eastAsia="zh-CN"/>
        </w:rPr>
        <w:t>78.97</w:t>
      </w:r>
      <w:r>
        <w:t>万元，主要用于保证机关正常运转的办公及印刷费、邮电费、差旅费、会议费、福利费等支出。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eastAsia="zh-CN"/>
        </w:rPr>
      </w:pPr>
      <w:r>
        <w:t>　　　　202</w:t>
      </w:r>
      <w:r>
        <w:rPr>
          <w:rFonts w:hint="eastAsia"/>
          <w:lang w:val="en-US" w:eastAsia="zh-CN"/>
        </w:rPr>
        <w:t>4</w:t>
      </w:r>
      <w:r>
        <w:t>年，我部门财政拨款“三公”经费预算安排0万元，其中：</w:t>
      </w:r>
      <w:bookmarkStart w:id="20" w:name="_GoBack"/>
      <w:bookmarkEnd w:id="20"/>
      <w:r>
        <w:t>因公出国（境）费0万元，与上年持平，无增减变化；公务用车购置及运维费0万元（其中：公务用车购置费0万元，与上年持平，无增减变化；公务用车运行维护费0万元，无增减变化)；公务接待费0万元，无增减变化。</w:t>
      </w:r>
      <w:r>
        <w:rPr>
          <w:rFonts w:ascii="黑体" w:hAnsi="黑体" w:eastAsia="黑体" w:cs="黑体"/>
          <w:color w:val="000000"/>
          <w:sz w:val="32"/>
        </w:rPr>
        <w:t>“三公”经费</w:t>
      </w:r>
      <w:r>
        <w:rPr>
          <w:rFonts w:hint="eastAsia"/>
          <w:lang w:eastAsia="zh-CN"/>
        </w:rPr>
        <w:t>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　　　（一）积极构建“不见面”审批模式。持续推进“互联网＋政务服务”建设，除不宜上网事项外，100%开通网上办事服务，实现全流程网上可办，让更多事项可网上预约、网上办理、网上出证。全面实行电子化审批模式，增强自助服务设施，健全自助服务功能，完善手机审批终端，推进办事移动化，助力群众办事“零上门”、“零跑腿”。</w:t>
      </w:r>
    </w:p>
    <w:p>
      <w:pPr>
        <w:pStyle w:val="22"/>
      </w:pPr>
      <w:r>
        <w:t>　　　（二）大力推行“一窗受理”机制。按照“前台综合受理、后台分类审批、综合窗口出件”原则，探索设置“综合服务窗口”，首先在各业务科室设立综合窗口，推行一窗对外收出件，办事群众和审批人员不见面，强化受理人员业务技能培训，条件成熟后逐步实现全局的“一窗受理”。</w:t>
      </w:r>
    </w:p>
    <w:p>
      <w:pPr>
        <w:pStyle w:val="22"/>
      </w:pPr>
      <w:r>
        <w:t>　　　　（三）健全基层便民服务体系。强化镇、村便民服务中心建设，梳理制定审批服务事项下放清单，将一些简单的审批服务事项下放到乡镇直至村级便民服务中心，实现群众办事“就近办”。加强业务指导，通过组织培训、网络办公、现场演示、电话咨询等方式，全程指导镇、村做好事项办理工作，确保审批事项“放的下、接的住、办的好”。</w:t>
      </w:r>
    </w:p>
    <w:p>
      <w:pPr>
        <w:pStyle w:val="22"/>
      </w:pPr>
      <w:r>
        <w:t>　　　　（四）优化提升服务功能。除上级明确不宜进驻的事项外，为办理群众提供“一站式”服务。同时，以石家庄市行政审批标准化试点建设为契机，全面梳理制定标准化规范化的办事指南，形成统一规范的办事体系，为群众和企业办事提供明确清晰的指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　　　　1、持续深化“放管服”改革</w:t>
      </w:r>
    </w:p>
    <w:p>
      <w:pPr>
        <w:pStyle w:val="23"/>
      </w:pPr>
      <w:r>
        <w:t>　　　　绩效目标：组织协调全区推进政府职能转变和“放管服”改革工作；督导全区各地各有关部门贯彻落实党中央、国务院和省委、省政府关于深化“放管服”改革的各项决策部署，聚焦社会关注、企业关切、群众关心的堵点、痛点、难点问题，深化改革、完善工作，为全区优化营商环境做出积极贡献。</w:t>
      </w:r>
    </w:p>
    <w:p>
      <w:pPr>
        <w:pStyle w:val="23"/>
      </w:pPr>
      <w:r>
        <w:t>　　　　绩效指标：协调推动“放管服”改革工作，制定我区深化“放管服”改革重点任务工作安排,按时间节点要求完成90%以上改革任务；对全区各地各有关部门深化“放管服”改革优化营商环境方面的典型经验做法进行梳理总结，编辑印发“放管服”简报至少12份，宣传全区各地各部门“放管服”改革亮点工作；严密组织全省“放管服”改革专项督查，从体制机制、工作内容和方式方法等方面深入查找短板弱项，督促全区各级各部门加大工作力度，积极查漏补缺，主动改进提升，确保90%以上改革任务按时保质完成。</w:t>
      </w:r>
    </w:p>
    <w:p>
      <w:pPr>
        <w:pStyle w:val="23"/>
      </w:pPr>
      <w:r>
        <w:t>　　　　2、政务服务管理水平全面提升</w:t>
      </w:r>
    </w:p>
    <w:p>
      <w:pPr>
        <w:pStyle w:val="23"/>
      </w:pPr>
      <w:r>
        <w:t>　　　　绩效目标：深入开展相对集中行政许可权、行政备案等审批服务方面调研，加强行政审批制度改革制度建设；深化行政许可事项标准化建设，组织编制“能同尽同”事项实施清单，推进政务服务事项“五级N同”；加快推进各类政务服务热线整合，进一步规范政府服务热线受理、转办、督办、反馈、评价流程，及时回应企业和群众诉求，不断优化提升我省12345热线服务能力和水平。</w:t>
      </w:r>
    </w:p>
    <w:p>
      <w:pPr>
        <w:pStyle w:val="23"/>
      </w:pPr>
      <w:r>
        <w:t>　　　　绩效指标：出台行政审批制度改革相关制度文件，编制行政备案事项目录，构建全省标准统一的政务服务事项管理平台，提高整体服务水平。</w:t>
      </w:r>
    </w:p>
    <w:p>
      <w:pPr>
        <w:pStyle w:val="23"/>
      </w:pPr>
      <w:r>
        <w:t>　　　　3、提升社会信用体系建设水平</w:t>
      </w:r>
    </w:p>
    <w:p>
      <w:pPr>
        <w:pStyle w:val="23"/>
      </w:pPr>
      <w:r>
        <w:t>　　　　绩效目标：开展专项研究，完善信用监管机制，推动公共信用综合评价工作;健全联合奖惩机制;组织开展评估评价工作，提升我区社会信用体系建设水平。</w:t>
      </w:r>
    </w:p>
    <w:p>
      <w:pPr>
        <w:pStyle w:val="23"/>
      </w:pPr>
      <w:r>
        <w:t>　　　　绩效指标：形成河北省合同履约监管评价报告及评价模型，建立综合信用评价模型;健全守信激励和失信惩戒联动机制。</w:t>
      </w:r>
    </w:p>
    <w:p>
      <w:pPr>
        <w:pStyle w:val="23"/>
      </w:pPr>
      <w:r>
        <w:t>　　　　4、增强办事深度，加强事项监管</w:t>
      </w:r>
    </w:p>
    <w:p>
      <w:pPr>
        <w:pStyle w:val="23"/>
      </w:pPr>
      <w:r>
        <w:t>　　　　绩效目标：提升一体化在线政务服务平台建设水平，充分依托电子证照平台，重点增加事项网上办理的深度，由原来的仅网上受理，向更大范围的“最多跑一次”和全流程网办延伸，扩大网上服务的广度及深度，实现服务事项的标准化、规范化。网络建设推进有力，实现“互联网+监管”数据可共享。</w:t>
      </w:r>
    </w:p>
    <w:p>
      <w:pPr>
        <w:pStyle w:val="23"/>
      </w:pPr>
      <w:r>
        <w:t>　　　　绩效指标：确保全区政务服务工作统一受理、统一办理、协同共享；实现公共信用信息在全省范围内交换和共享，为平台的运行和数据存储提供安全、可靠、稳定的云基础资源环境；实现信用数据的归集、整理、共享、发布和管理；为全省企业、其它社会组织和个人三大信用信息数据库，建成各类主题数据库，为丰富的信用服务提供信息支撑；保障“信用河北”平台安全。</w:t>
      </w:r>
    </w:p>
    <w:p>
      <w:pPr>
        <w:pStyle w:val="23"/>
      </w:pPr>
      <w:r>
        <w:t>　　　　5、效能监督及投诉处理能力整体增强</w:t>
      </w:r>
    </w:p>
    <w:p>
      <w:pPr>
        <w:pStyle w:val="23"/>
      </w:pPr>
      <w:r>
        <w:t>　　　　绩效目标：抓好政务服务年度考核评价工作，依据年度重点工作任务不断调整年度考核指标，优化完善考核流程，促进考核工作更加科学化合理化，充分调动各地政务服务部门工作热情，发挥考核倒逼政务服务提质增效作用。</w:t>
      </w:r>
    </w:p>
    <w:p>
      <w:pPr>
        <w:pStyle w:val="23"/>
      </w:pPr>
      <w:r>
        <w:t>　　　　绩效指标：年度考评率达到100%，政务服务“好差评”渠道建设达到100%，各类投诉处理率达到90%以上，群众满意度提升率稳定在10%以上。</w:t>
      </w:r>
    </w:p>
    <w:p>
      <w:pPr>
        <w:pStyle w:val="23"/>
      </w:pPr>
      <w:r>
        <w:t>　　　　 6、综合业务、事务管理能力整体增强</w:t>
      </w:r>
    </w:p>
    <w:p>
      <w:pPr>
        <w:pStyle w:val="23"/>
      </w:pPr>
      <w:r>
        <w:t>　　　　绩效目标：建立健全日常管理制度和工作流程，畅通办事渠道，提高工作效率；加强后勤管理，保障机关办公有序、车辆安全出行、电通水畅，协调做好房屋及水电暖设备维修、庭院绿化等后勤服务保障工作。</w:t>
      </w:r>
    </w:p>
    <w:p>
      <w:pPr>
        <w:pStyle w:val="23"/>
      </w:pPr>
      <w:r>
        <w:t>　　　　绩效指标：加强制度管理，推进规范运行，综合事务工作完成情况达到90%以上；保障机关工作正常高效运转，服务保障能力进一步提升，机关工作人员满意度达90%以上。</w:t>
      </w:r>
    </w:p>
    <w:p>
      <w:pPr>
        <w:pStyle w:val="23"/>
      </w:pPr>
      <w:r>
        <w:t>　　　　</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　　　　1、强化统筹推动。全面加强组织领导，将各项任务全部纳入年度工作要点，完善改革举措，细化时间表、路线图、责任链，强力推进任务落实。</w:t>
      </w:r>
    </w:p>
    <w:p>
      <w:pPr>
        <w:pStyle w:val="24"/>
      </w:pPr>
      <w:r>
        <w:t>　　　　2、强化协同配合。建立统筹协调、分工协作、密切配合、合力推进的工作机制，厘清职责任务，细化政策措施，强化协作配合，形成工作合力。</w:t>
      </w:r>
    </w:p>
    <w:p>
      <w:pPr>
        <w:pStyle w:val="24"/>
      </w:pPr>
      <w:r>
        <w:t>　　　　3、强化任务落实。要求各责任部门提高重视程度，严格按照规定要求和时限，细化任务分工，倒排目标工期，狠抓工作落实，确保各项任务落实落地。围绕任务内容，组织开展专题培训和不定期的业务培训，提高工作人员的业务水平和操作能力。</w:t>
      </w:r>
    </w:p>
    <w:p>
      <w:pPr>
        <w:pStyle w:val="24"/>
      </w:pPr>
      <w:r>
        <w:t>　　　　4、强化督导考核。建立健全督导评估机制，对项工作情况适时开展专项督查评估，及时解决工作中遇到的问题。纳入考核体系，强化导向作用，对任务目标完成质量不高的，要在办内进行通报批评。</w:t>
      </w:r>
    </w:p>
    <w:p>
      <w:pPr>
        <w:pStyle w:val="24"/>
        <w:sectPr>
          <w:pgSz w:w="16840" w:h="11900" w:orient="landscape"/>
          <w:pgMar w:top="1361" w:right="1020" w:bottom="1361" w:left="1020" w:header="720" w:footer="720" w:gutter="0"/>
        </w:sectPr>
      </w:pPr>
      <w:r>
        <w:t>　　　　5、强化培训提升。组织开展多轮次、多角度的业务培训，使全办干部职工牢固树立绩效理念。各业务处室要积极探索工作经验，及时总结预算绩效管理成效，营造良好的舆论氛围，努力提升预算绩效管理水平。</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sectPr>
      </w:pPr>
      <w:r>
        <w:rPr>
          <w:rFonts w:hint="eastAsia" w:ascii="仿宋" w:hAnsi="仿宋" w:eastAsia="仿宋" w:cs="方正楷体_GBK"/>
          <w:color w:val="000000"/>
          <w:sz w:val="32"/>
        </w:rPr>
        <w:t>我部门2024年无专项资金</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1、第三方中介服务费绩效目标表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13010924P000037103284</w:t>
            </w:r>
          </w:p>
        </w:tc>
        <w:tc>
          <w:tcPr>
            <w:tcW w:w="2114" w:type="dxa"/>
            <w:vAlign w:val="center"/>
          </w:tcPr>
          <w:p>
            <w:pPr>
              <w:pStyle w:val="11"/>
            </w:pPr>
            <w:r>
              <w:t>项目名称</w:t>
            </w:r>
          </w:p>
        </w:tc>
        <w:tc>
          <w:tcPr>
            <w:tcW w:w="6342" w:type="dxa"/>
            <w:gridSpan w:val="3"/>
            <w:vAlign w:val="center"/>
          </w:tcPr>
          <w:p>
            <w:pPr>
              <w:pStyle w:val="13"/>
            </w:pPr>
            <w:r>
              <w:t>第三方中介服务费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w:t>
            </w:r>
          </w:p>
        </w:tc>
        <w:tc>
          <w:tcPr>
            <w:tcW w:w="2114" w:type="dxa"/>
            <w:vAlign w:val="center"/>
          </w:tcPr>
          <w:p>
            <w:pPr>
              <w:pStyle w:val="11"/>
            </w:pPr>
            <w:r>
              <w:t>其中：财政    资金</w:t>
            </w:r>
          </w:p>
        </w:tc>
        <w:tc>
          <w:tcPr>
            <w:tcW w:w="2114" w:type="dxa"/>
            <w:vAlign w:val="center"/>
          </w:tcPr>
          <w:p>
            <w:pPr>
              <w:pStyle w:val="13"/>
            </w:pPr>
            <w:r>
              <w:t>15.00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预算资金15万元，用于第三方中介服务费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1.根据上级文件要求，承担我局纳入审批程序的第三方中介服务费用，提高政务服务质量。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第三方中介服务招标标段</w:t>
            </w:r>
          </w:p>
        </w:tc>
        <w:tc>
          <w:tcPr>
            <w:tcW w:w="4228" w:type="dxa"/>
            <w:vAlign w:val="center"/>
          </w:tcPr>
          <w:p>
            <w:pPr>
              <w:pStyle w:val="13"/>
            </w:pPr>
            <w:r>
              <w:t>第三方中介服务招标标段</w:t>
            </w:r>
          </w:p>
        </w:tc>
        <w:tc>
          <w:tcPr>
            <w:tcW w:w="2114" w:type="dxa"/>
            <w:vAlign w:val="center"/>
          </w:tcPr>
          <w:p>
            <w:pPr>
              <w:pStyle w:val="13"/>
            </w:pPr>
            <w:r>
              <w:t>5个</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合格率</w:t>
            </w:r>
          </w:p>
        </w:tc>
        <w:tc>
          <w:tcPr>
            <w:tcW w:w="4228" w:type="dxa"/>
            <w:vAlign w:val="center"/>
          </w:tcPr>
          <w:p>
            <w:pPr>
              <w:pStyle w:val="13"/>
            </w:pPr>
            <w:r>
              <w:t>服务合格情况与总服务数量比例</w:t>
            </w:r>
          </w:p>
        </w:tc>
        <w:tc>
          <w:tcPr>
            <w:tcW w:w="2114" w:type="dxa"/>
            <w:vAlign w:val="center"/>
          </w:tcPr>
          <w:p>
            <w:pPr>
              <w:pStyle w:val="13"/>
            </w:pPr>
            <w:r>
              <w:t>≥90%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服务完成及时情况</w:t>
            </w:r>
          </w:p>
        </w:tc>
        <w:tc>
          <w:tcPr>
            <w:tcW w:w="4228" w:type="dxa"/>
            <w:vAlign w:val="center"/>
          </w:tcPr>
          <w:p>
            <w:pPr>
              <w:pStyle w:val="13"/>
            </w:pPr>
            <w:r>
              <w:t>按约定日期完成</w:t>
            </w:r>
          </w:p>
        </w:tc>
        <w:tc>
          <w:tcPr>
            <w:tcW w:w="2114" w:type="dxa"/>
            <w:vAlign w:val="center"/>
          </w:tcPr>
          <w:p>
            <w:pPr>
              <w:pStyle w:val="13"/>
            </w:pPr>
            <w:r>
              <w:t>合同规定</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预算资金成本</w:t>
            </w:r>
          </w:p>
        </w:tc>
        <w:tc>
          <w:tcPr>
            <w:tcW w:w="4228" w:type="dxa"/>
            <w:vAlign w:val="center"/>
          </w:tcPr>
          <w:p>
            <w:pPr>
              <w:pStyle w:val="13"/>
            </w:pPr>
            <w:r>
              <w:t>严控预算资金成本</w:t>
            </w:r>
          </w:p>
        </w:tc>
        <w:tc>
          <w:tcPr>
            <w:tcW w:w="2114" w:type="dxa"/>
            <w:vAlign w:val="center"/>
          </w:tcPr>
          <w:p>
            <w:pPr>
              <w:pStyle w:val="13"/>
            </w:pPr>
            <w:r>
              <w:t>15万元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提高政务工作质量情况</w:t>
            </w:r>
          </w:p>
        </w:tc>
        <w:tc>
          <w:tcPr>
            <w:tcW w:w="4228" w:type="dxa"/>
            <w:vAlign w:val="center"/>
          </w:tcPr>
          <w:p>
            <w:pPr>
              <w:pStyle w:val="13"/>
            </w:pPr>
            <w:r>
              <w:t>有效提高政务工作质量</w:t>
            </w:r>
          </w:p>
        </w:tc>
        <w:tc>
          <w:tcPr>
            <w:tcW w:w="2114" w:type="dxa"/>
            <w:vAlign w:val="center"/>
          </w:tcPr>
          <w:p>
            <w:pPr>
              <w:pStyle w:val="13"/>
            </w:pPr>
            <w:r>
              <w:t>≥90%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调查群众满意度</w:t>
            </w:r>
          </w:p>
        </w:tc>
        <w:tc>
          <w:tcPr>
            <w:tcW w:w="4228" w:type="dxa"/>
            <w:vAlign w:val="center"/>
          </w:tcPr>
          <w:p>
            <w:pPr>
              <w:pStyle w:val="13"/>
            </w:pPr>
            <w:r>
              <w:t>对保障的工作人员满意度调查</w:t>
            </w:r>
          </w:p>
        </w:tc>
        <w:tc>
          <w:tcPr>
            <w:tcW w:w="2114" w:type="dxa"/>
            <w:vAlign w:val="center"/>
          </w:tcPr>
          <w:p>
            <w:pPr>
              <w:pStyle w:val="13"/>
            </w:pPr>
            <w:r>
              <w:t>≥90%</w:t>
            </w:r>
          </w:p>
        </w:tc>
        <w:tc>
          <w:tcPr>
            <w:tcW w:w="2114" w:type="dxa"/>
            <w:vAlign w:val="center"/>
          </w:tcPr>
          <w:p>
            <w:pPr>
              <w:pStyle w:val="13"/>
            </w:pPr>
            <w:r>
              <w:t>调查问卷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2、各类印刷品经费绩效目标表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13010924P000037103303</w:t>
            </w:r>
          </w:p>
        </w:tc>
        <w:tc>
          <w:tcPr>
            <w:tcW w:w="2114" w:type="dxa"/>
            <w:vAlign w:val="center"/>
          </w:tcPr>
          <w:p>
            <w:pPr>
              <w:pStyle w:val="11"/>
            </w:pPr>
            <w:r>
              <w:t>项目名称</w:t>
            </w:r>
          </w:p>
        </w:tc>
        <w:tc>
          <w:tcPr>
            <w:tcW w:w="6342" w:type="dxa"/>
            <w:gridSpan w:val="3"/>
            <w:vAlign w:val="center"/>
          </w:tcPr>
          <w:p>
            <w:pPr>
              <w:pStyle w:val="13"/>
            </w:pPr>
            <w:r>
              <w:t>各类印刷品经费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2.40</w:t>
            </w:r>
          </w:p>
        </w:tc>
        <w:tc>
          <w:tcPr>
            <w:tcW w:w="2114" w:type="dxa"/>
            <w:vAlign w:val="center"/>
          </w:tcPr>
          <w:p>
            <w:pPr>
              <w:pStyle w:val="11"/>
            </w:pPr>
            <w:r>
              <w:t>其中：财政    资金</w:t>
            </w:r>
          </w:p>
        </w:tc>
        <w:tc>
          <w:tcPr>
            <w:tcW w:w="2114" w:type="dxa"/>
            <w:vAlign w:val="center"/>
          </w:tcPr>
          <w:p>
            <w:pPr>
              <w:pStyle w:val="13"/>
            </w:pPr>
            <w:r>
              <w:t>2.40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预算资金2.4万元，用于各类印刷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1.通过各类印刷，保障工作正常进行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印刷本数</w:t>
            </w:r>
          </w:p>
        </w:tc>
        <w:tc>
          <w:tcPr>
            <w:tcW w:w="4228" w:type="dxa"/>
            <w:vAlign w:val="center"/>
          </w:tcPr>
          <w:p>
            <w:pPr>
              <w:pStyle w:val="13"/>
            </w:pPr>
            <w:r>
              <w:t>印刷本数</w:t>
            </w:r>
          </w:p>
        </w:tc>
        <w:tc>
          <w:tcPr>
            <w:tcW w:w="2114" w:type="dxa"/>
            <w:vAlign w:val="center"/>
          </w:tcPr>
          <w:p>
            <w:pPr>
              <w:pStyle w:val="13"/>
            </w:pPr>
            <w:r>
              <w:t>≤9万本</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印刷合格率</w:t>
            </w:r>
          </w:p>
        </w:tc>
        <w:tc>
          <w:tcPr>
            <w:tcW w:w="4228" w:type="dxa"/>
            <w:vAlign w:val="center"/>
          </w:tcPr>
          <w:p>
            <w:pPr>
              <w:pStyle w:val="13"/>
            </w:pPr>
            <w:r>
              <w:t>合格产品占总产品比例</w:t>
            </w:r>
          </w:p>
        </w:tc>
        <w:tc>
          <w:tcPr>
            <w:tcW w:w="2114" w:type="dxa"/>
            <w:vAlign w:val="center"/>
          </w:tcPr>
          <w:p>
            <w:pPr>
              <w:pStyle w:val="13"/>
            </w:pPr>
            <w:r>
              <w:t>≥90%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完成及时率</w:t>
            </w:r>
          </w:p>
        </w:tc>
        <w:tc>
          <w:tcPr>
            <w:tcW w:w="4228" w:type="dxa"/>
            <w:vAlign w:val="center"/>
          </w:tcPr>
          <w:p>
            <w:pPr>
              <w:pStyle w:val="13"/>
            </w:pPr>
            <w:r>
              <w:t>及时印刷产品占总产品比例</w:t>
            </w:r>
          </w:p>
        </w:tc>
        <w:tc>
          <w:tcPr>
            <w:tcW w:w="2114" w:type="dxa"/>
            <w:vAlign w:val="center"/>
          </w:tcPr>
          <w:p>
            <w:pPr>
              <w:pStyle w:val="13"/>
            </w:pPr>
            <w:r>
              <w:t>≥90%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预算成本</w:t>
            </w:r>
          </w:p>
        </w:tc>
        <w:tc>
          <w:tcPr>
            <w:tcW w:w="4228" w:type="dxa"/>
            <w:vAlign w:val="center"/>
          </w:tcPr>
          <w:p>
            <w:pPr>
              <w:pStyle w:val="13"/>
            </w:pPr>
            <w:r>
              <w:t>控制预算成本</w:t>
            </w:r>
          </w:p>
        </w:tc>
        <w:tc>
          <w:tcPr>
            <w:tcW w:w="2114" w:type="dxa"/>
            <w:vAlign w:val="center"/>
          </w:tcPr>
          <w:p>
            <w:pPr>
              <w:pStyle w:val="13"/>
            </w:pPr>
            <w:r>
              <w:t>≤2.4万元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公共服务水平提升情况</w:t>
            </w:r>
          </w:p>
        </w:tc>
        <w:tc>
          <w:tcPr>
            <w:tcW w:w="4228" w:type="dxa"/>
            <w:vAlign w:val="center"/>
          </w:tcPr>
          <w:p>
            <w:pPr>
              <w:pStyle w:val="13"/>
            </w:pPr>
            <w:r>
              <w:t>有效提升公共服务水平</w:t>
            </w:r>
          </w:p>
        </w:tc>
        <w:tc>
          <w:tcPr>
            <w:tcW w:w="2114" w:type="dxa"/>
            <w:vAlign w:val="center"/>
          </w:tcPr>
          <w:p>
            <w:pPr>
              <w:pStyle w:val="13"/>
            </w:pPr>
            <w:r>
              <w:t>≥90%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w:t>
            </w:r>
          </w:p>
        </w:tc>
        <w:tc>
          <w:tcPr>
            <w:tcW w:w="4228" w:type="dxa"/>
            <w:vAlign w:val="center"/>
          </w:tcPr>
          <w:p>
            <w:pPr>
              <w:pStyle w:val="13"/>
            </w:pPr>
            <w:r>
              <w:t>受益群众满意度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3、公共资源交易中心房租绩效目标表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13010924P00003710331N</w:t>
            </w:r>
          </w:p>
        </w:tc>
        <w:tc>
          <w:tcPr>
            <w:tcW w:w="2114" w:type="dxa"/>
            <w:vAlign w:val="center"/>
          </w:tcPr>
          <w:p>
            <w:pPr>
              <w:pStyle w:val="11"/>
            </w:pPr>
            <w:r>
              <w:t>项目名称</w:t>
            </w:r>
          </w:p>
        </w:tc>
        <w:tc>
          <w:tcPr>
            <w:tcW w:w="6342" w:type="dxa"/>
            <w:gridSpan w:val="3"/>
            <w:vAlign w:val="center"/>
          </w:tcPr>
          <w:p>
            <w:pPr>
              <w:pStyle w:val="13"/>
            </w:pPr>
            <w:r>
              <w:t>公共资源交易中心房租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w:t>
            </w:r>
          </w:p>
        </w:tc>
        <w:tc>
          <w:tcPr>
            <w:tcW w:w="2114" w:type="dxa"/>
            <w:vAlign w:val="center"/>
          </w:tcPr>
          <w:p>
            <w:pPr>
              <w:pStyle w:val="11"/>
            </w:pPr>
            <w:r>
              <w:t>其中：财政    资金</w:t>
            </w:r>
          </w:p>
        </w:tc>
        <w:tc>
          <w:tcPr>
            <w:tcW w:w="2114" w:type="dxa"/>
            <w:vAlign w:val="center"/>
          </w:tcPr>
          <w:p>
            <w:pPr>
              <w:pStyle w:val="13"/>
            </w:pPr>
            <w:r>
              <w:t>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预算资金5万元，用于公共资源交易中心房租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1.通过租赁办公用房，为审批局办理业务提供场所，保障工作正常进行。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房屋租赁面积</w:t>
            </w:r>
          </w:p>
        </w:tc>
        <w:tc>
          <w:tcPr>
            <w:tcW w:w="4228" w:type="dxa"/>
            <w:vAlign w:val="center"/>
          </w:tcPr>
          <w:p>
            <w:pPr>
              <w:pStyle w:val="13"/>
            </w:pPr>
            <w:r>
              <w:t>房屋租赁面积</w:t>
            </w:r>
          </w:p>
        </w:tc>
        <w:tc>
          <w:tcPr>
            <w:tcW w:w="2114" w:type="dxa"/>
            <w:vAlign w:val="center"/>
          </w:tcPr>
          <w:p>
            <w:pPr>
              <w:pStyle w:val="13"/>
            </w:pPr>
            <w:r>
              <w:t>≤1421.46平方米</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租赁合同</w:t>
            </w:r>
          </w:p>
        </w:tc>
        <w:tc>
          <w:tcPr>
            <w:tcW w:w="4228" w:type="dxa"/>
            <w:vAlign w:val="center"/>
          </w:tcPr>
          <w:p>
            <w:pPr>
              <w:pStyle w:val="13"/>
            </w:pPr>
            <w:r>
              <w:t>保质完成</w:t>
            </w:r>
          </w:p>
        </w:tc>
        <w:tc>
          <w:tcPr>
            <w:tcW w:w="2114" w:type="dxa"/>
            <w:vAlign w:val="center"/>
          </w:tcPr>
          <w:p>
            <w:pPr>
              <w:pStyle w:val="13"/>
            </w:pPr>
            <w:r>
              <w:t>保质完成</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支付完成及时率</w:t>
            </w:r>
          </w:p>
        </w:tc>
        <w:tc>
          <w:tcPr>
            <w:tcW w:w="4228" w:type="dxa"/>
            <w:vAlign w:val="center"/>
          </w:tcPr>
          <w:p>
            <w:pPr>
              <w:pStyle w:val="13"/>
            </w:pPr>
            <w:r>
              <w:t>及时支付占实际支付比例</w:t>
            </w:r>
          </w:p>
        </w:tc>
        <w:tc>
          <w:tcPr>
            <w:tcW w:w="2114" w:type="dxa"/>
            <w:vAlign w:val="center"/>
          </w:tcPr>
          <w:p>
            <w:pPr>
              <w:pStyle w:val="13"/>
            </w:pPr>
            <w:r>
              <w:t>按照合同，每半年支付一次</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预算控制数</w:t>
            </w:r>
          </w:p>
        </w:tc>
        <w:tc>
          <w:tcPr>
            <w:tcW w:w="4228" w:type="dxa"/>
            <w:vAlign w:val="center"/>
          </w:tcPr>
          <w:p>
            <w:pPr>
              <w:pStyle w:val="13"/>
            </w:pPr>
            <w:r>
              <w:t>严控预算控制数</w:t>
            </w:r>
          </w:p>
        </w:tc>
        <w:tc>
          <w:tcPr>
            <w:tcW w:w="2114" w:type="dxa"/>
            <w:vAlign w:val="center"/>
          </w:tcPr>
          <w:p>
            <w:pPr>
              <w:pStyle w:val="13"/>
            </w:pPr>
            <w:r>
              <w:t>5万元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保障机关工作正常高效运转</w:t>
            </w:r>
          </w:p>
        </w:tc>
        <w:tc>
          <w:tcPr>
            <w:tcW w:w="4228" w:type="dxa"/>
            <w:vAlign w:val="center"/>
          </w:tcPr>
          <w:p>
            <w:pPr>
              <w:pStyle w:val="13"/>
            </w:pPr>
            <w:r>
              <w:t>保障机关工作正常高效运转</w:t>
            </w:r>
          </w:p>
        </w:tc>
        <w:tc>
          <w:tcPr>
            <w:tcW w:w="2114" w:type="dxa"/>
            <w:vAlign w:val="center"/>
          </w:tcPr>
          <w:p>
            <w:pPr>
              <w:pStyle w:val="13"/>
            </w:pPr>
            <w:r>
              <w:t>有效保障</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调查群众满意度</w:t>
            </w:r>
          </w:p>
        </w:tc>
        <w:tc>
          <w:tcPr>
            <w:tcW w:w="4228" w:type="dxa"/>
            <w:vAlign w:val="center"/>
          </w:tcPr>
          <w:p>
            <w:pPr>
              <w:pStyle w:val="13"/>
            </w:pPr>
            <w:r>
              <w:t>对新办公楼的使用表示满意的群众人数/调查群众总数</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4、劳务派遣人员经费绩效目标表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13010924P00000211078L</w:t>
            </w:r>
          </w:p>
        </w:tc>
        <w:tc>
          <w:tcPr>
            <w:tcW w:w="2114" w:type="dxa"/>
            <w:vAlign w:val="center"/>
          </w:tcPr>
          <w:p>
            <w:pPr>
              <w:pStyle w:val="11"/>
            </w:pPr>
            <w:r>
              <w:t>项目名称</w:t>
            </w:r>
          </w:p>
        </w:tc>
        <w:tc>
          <w:tcPr>
            <w:tcW w:w="6342" w:type="dxa"/>
            <w:gridSpan w:val="3"/>
            <w:vAlign w:val="center"/>
          </w:tcPr>
          <w:p>
            <w:pPr>
              <w:pStyle w:val="13"/>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239.08</w:t>
            </w:r>
          </w:p>
        </w:tc>
        <w:tc>
          <w:tcPr>
            <w:tcW w:w="2114" w:type="dxa"/>
            <w:vAlign w:val="center"/>
          </w:tcPr>
          <w:p>
            <w:pPr>
              <w:pStyle w:val="11"/>
            </w:pPr>
            <w:r>
              <w:t>其中：财政    资金</w:t>
            </w:r>
          </w:p>
        </w:tc>
        <w:tc>
          <w:tcPr>
            <w:tcW w:w="2114" w:type="dxa"/>
            <w:vAlign w:val="center"/>
          </w:tcPr>
          <w:p>
            <w:pPr>
              <w:pStyle w:val="13"/>
            </w:pPr>
            <w:r>
              <w:t>239.08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1.通过劳务派遣制人员，更好更高效的办理业务，为人民群众提供便利，办事速度加快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支撑人数</w:t>
            </w:r>
          </w:p>
        </w:tc>
        <w:tc>
          <w:tcPr>
            <w:tcW w:w="4228" w:type="dxa"/>
            <w:vAlign w:val="center"/>
          </w:tcPr>
          <w:p>
            <w:pPr>
              <w:pStyle w:val="13"/>
            </w:pPr>
            <w:r>
              <w:t>支撑人数</w:t>
            </w:r>
          </w:p>
        </w:tc>
        <w:tc>
          <w:tcPr>
            <w:tcW w:w="2114" w:type="dxa"/>
            <w:vAlign w:val="center"/>
          </w:tcPr>
          <w:p>
            <w:pPr>
              <w:pStyle w:val="13"/>
            </w:pPr>
            <w:r>
              <w:t>≥56人</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补助资金发放完成率（%）</w:t>
            </w:r>
          </w:p>
        </w:tc>
        <w:tc>
          <w:tcPr>
            <w:tcW w:w="4228" w:type="dxa"/>
            <w:vAlign w:val="center"/>
          </w:tcPr>
          <w:p>
            <w:pPr>
              <w:pStyle w:val="13"/>
            </w:pPr>
            <w:r>
              <w:t>补助资金发放完成率（%）</w:t>
            </w:r>
          </w:p>
        </w:tc>
        <w:tc>
          <w:tcPr>
            <w:tcW w:w="2114" w:type="dxa"/>
            <w:vAlign w:val="center"/>
          </w:tcPr>
          <w:p>
            <w:pPr>
              <w:pStyle w:val="13"/>
            </w:pPr>
            <w:r>
              <w:t>≥90百分比</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支付及时率</w:t>
            </w:r>
          </w:p>
        </w:tc>
        <w:tc>
          <w:tcPr>
            <w:tcW w:w="4228" w:type="dxa"/>
            <w:vAlign w:val="center"/>
          </w:tcPr>
          <w:p>
            <w:pPr>
              <w:pStyle w:val="13"/>
            </w:pPr>
            <w:r>
              <w:t>支付及时率</w:t>
            </w:r>
          </w:p>
        </w:tc>
        <w:tc>
          <w:tcPr>
            <w:tcW w:w="2114" w:type="dxa"/>
            <w:vAlign w:val="center"/>
          </w:tcPr>
          <w:p>
            <w:pPr>
              <w:pStyle w:val="13"/>
            </w:pPr>
            <w:r>
              <w:t>≥90百分比</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控制在预算内</w:t>
            </w:r>
          </w:p>
        </w:tc>
        <w:tc>
          <w:tcPr>
            <w:tcW w:w="4228" w:type="dxa"/>
            <w:vAlign w:val="center"/>
          </w:tcPr>
          <w:p>
            <w:pPr>
              <w:pStyle w:val="13"/>
            </w:pPr>
            <w:r>
              <w:t>控制在预算内</w:t>
            </w:r>
          </w:p>
        </w:tc>
        <w:tc>
          <w:tcPr>
            <w:tcW w:w="2114" w:type="dxa"/>
            <w:vAlign w:val="center"/>
          </w:tcPr>
          <w:p>
            <w:pPr>
              <w:pStyle w:val="13"/>
            </w:pPr>
            <w:r>
              <w:t>≤239.08万元</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保障正常办公</w:t>
            </w:r>
          </w:p>
        </w:tc>
        <w:tc>
          <w:tcPr>
            <w:tcW w:w="4228" w:type="dxa"/>
            <w:vAlign w:val="center"/>
          </w:tcPr>
          <w:p>
            <w:pPr>
              <w:pStyle w:val="13"/>
            </w:pPr>
            <w:r>
              <w:t>保障正常办公</w:t>
            </w:r>
          </w:p>
        </w:tc>
        <w:tc>
          <w:tcPr>
            <w:tcW w:w="2114" w:type="dxa"/>
            <w:vAlign w:val="center"/>
          </w:tcPr>
          <w:p>
            <w:pPr>
              <w:pStyle w:val="13"/>
            </w:pPr>
            <w:r>
              <w:t>有效保障</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对象满意度</w:t>
            </w:r>
          </w:p>
        </w:tc>
        <w:tc>
          <w:tcPr>
            <w:tcW w:w="4228" w:type="dxa"/>
            <w:vAlign w:val="center"/>
          </w:tcPr>
          <w:p>
            <w:pPr>
              <w:pStyle w:val="13"/>
            </w:pPr>
            <w:r>
              <w:t>对象满意度</w:t>
            </w:r>
          </w:p>
        </w:tc>
        <w:tc>
          <w:tcPr>
            <w:tcW w:w="2114" w:type="dxa"/>
            <w:vAlign w:val="center"/>
          </w:tcPr>
          <w:p>
            <w:pPr>
              <w:pStyle w:val="13"/>
            </w:pPr>
            <w:r>
              <w:t>≥90百分比</w:t>
            </w:r>
          </w:p>
        </w:tc>
        <w:tc>
          <w:tcPr>
            <w:tcW w:w="2114" w:type="dxa"/>
            <w:vAlign w:val="center"/>
          </w:tcPr>
          <w:p>
            <w:pPr>
              <w:pStyle w:val="13"/>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5、政务服务中心运行维护费绩效目标表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13010924P00003710327G</w:t>
            </w:r>
          </w:p>
        </w:tc>
        <w:tc>
          <w:tcPr>
            <w:tcW w:w="2114" w:type="dxa"/>
            <w:vAlign w:val="center"/>
          </w:tcPr>
          <w:p>
            <w:pPr>
              <w:pStyle w:val="11"/>
            </w:pPr>
            <w:r>
              <w:t>项目名称</w:t>
            </w:r>
          </w:p>
        </w:tc>
        <w:tc>
          <w:tcPr>
            <w:tcW w:w="6342" w:type="dxa"/>
            <w:gridSpan w:val="3"/>
            <w:vAlign w:val="center"/>
          </w:tcPr>
          <w:p>
            <w:pPr>
              <w:pStyle w:val="13"/>
            </w:pPr>
            <w:r>
              <w:t>政务服务中心运行维护费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9.25</w:t>
            </w:r>
          </w:p>
        </w:tc>
        <w:tc>
          <w:tcPr>
            <w:tcW w:w="2114" w:type="dxa"/>
            <w:vAlign w:val="center"/>
          </w:tcPr>
          <w:p>
            <w:pPr>
              <w:pStyle w:val="11"/>
            </w:pPr>
            <w:r>
              <w:t>其中：财政    资金</w:t>
            </w:r>
          </w:p>
        </w:tc>
        <w:tc>
          <w:tcPr>
            <w:tcW w:w="2114" w:type="dxa"/>
            <w:vAlign w:val="center"/>
          </w:tcPr>
          <w:p>
            <w:pPr>
              <w:pStyle w:val="13"/>
            </w:pPr>
            <w:r>
              <w:t>9.25</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预算资金9.252万元，用于政务服务中心运行维护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1.通过政务服务中心运行维护费更好地完成工作业务，为人民群众更加便捷高效地办事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维护覆盖情况</w:t>
            </w:r>
          </w:p>
        </w:tc>
        <w:tc>
          <w:tcPr>
            <w:tcW w:w="4228" w:type="dxa"/>
            <w:vAlign w:val="center"/>
          </w:tcPr>
          <w:p>
            <w:pPr>
              <w:pStyle w:val="13"/>
            </w:pPr>
            <w:r>
              <w:t>全面覆盖</w:t>
            </w:r>
          </w:p>
        </w:tc>
        <w:tc>
          <w:tcPr>
            <w:tcW w:w="2114" w:type="dxa"/>
            <w:vAlign w:val="center"/>
          </w:tcPr>
          <w:p>
            <w:pPr>
              <w:pStyle w:val="13"/>
            </w:pPr>
            <w:r>
              <w:t>全面覆盖</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完成率</w:t>
            </w:r>
          </w:p>
        </w:tc>
        <w:tc>
          <w:tcPr>
            <w:tcW w:w="4228" w:type="dxa"/>
            <w:vAlign w:val="center"/>
          </w:tcPr>
          <w:p>
            <w:pPr>
              <w:pStyle w:val="13"/>
            </w:pPr>
            <w:r>
              <w:t>完成率</w:t>
            </w:r>
          </w:p>
        </w:tc>
        <w:tc>
          <w:tcPr>
            <w:tcW w:w="2114" w:type="dxa"/>
            <w:vAlign w:val="center"/>
          </w:tcPr>
          <w:p>
            <w:pPr>
              <w:pStyle w:val="13"/>
            </w:pPr>
            <w:r>
              <w:t>≥90%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及时率</w:t>
            </w:r>
          </w:p>
        </w:tc>
        <w:tc>
          <w:tcPr>
            <w:tcW w:w="4228" w:type="dxa"/>
            <w:vAlign w:val="center"/>
          </w:tcPr>
          <w:p>
            <w:pPr>
              <w:pStyle w:val="13"/>
            </w:pPr>
            <w:r>
              <w:t>及时率</w:t>
            </w:r>
          </w:p>
        </w:tc>
        <w:tc>
          <w:tcPr>
            <w:tcW w:w="2114" w:type="dxa"/>
            <w:vAlign w:val="center"/>
          </w:tcPr>
          <w:p>
            <w:pPr>
              <w:pStyle w:val="13"/>
            </w:pPr>
            <w:r>
              <w:t>≥90%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预算控制数</w:t>
            </w:r>
          </w:p>
        </w:tc>
        <w:tc>
          <w:tcPr>
            <w:tcW w:w="4228" w:type="dxa"/>
            <w:vAlign w:val="center"/>
          </w:tcPr>
          <w:p>
            <w:pPr>
              <w:pStyle w:val="13"/>
            </w:pPr>
            <w:r>
              <w:t>严控预算资金数</w:t>
            </w:r>
          </w:p>
        </w:tc>
        <w:tc>
          <w:tcPr>
            <w:tcW w:w="2114" w:type="dxa"/>
            <w:vAlign w:val="center"/>
          </w:tcPr>
          <w:p>
            <w:pPr>
              <w:pStyle w:val="13"/>
            </w:pPr>
            <w:r>
              <w:t>≤9.26万元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保障政务服务执行，有效提升政务服务能力</w:t>
            </w:r>
          </w:p>
        </w:tc>
        <w:tc>
          <w:tcPr>
            <w:tcW w:w="4228" w:type="dxa"/>
            <w:vAlign w:val="center"/>
          </w:tcPr>
          <w:p>
            <w:pPr>
              <w:pStyle w:val="13"/>
            </w:pPr>
            <w:r>
              <w:t>保障政务服务执行，有效提升政务服务能力</w:t>
            </w:r>
          </w:p>
        </w:tc>
        <w:tc>
          <w:tcPr>
            <w:tcW w:w="2114" w:type="dxa"/>
            <w:vAlign w:val="center"/>
          </w:tcPr>
          <w:p>
            <w:pPr>
              <w:pStyle w:val="13"/>
            </w:pPr>
            <w:r>
              <w:t>较上年提升</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调查群众满意度</w:t>
            </w:r>
          </w:p>
        </w:tc>
        <w:tc>
          <w:tcPr>
            <w:tcW w:w="4228" w:type="dxa"/>
            <w:vAlign w:val="center"/>
          </w:tcPr>
          <w:p>
            <w:pPr>
              <w:pStyle w:val="13"/>
            </w:pPr>
            <w:r>
              <w:t>对社会信用体系表示满意的群众人数/调查群众总数</w:t>
            </w:r>
          </w:p>
        </w:tc>
        <w:tc>
          <w:tcPr>
            <w:tcW w:w="2114" w:type="dxa"/>
            <w:vAlign w:val="center"/>
          </w:tcPr>
          <w:p>
            <w:pPr>
              <w:pStyle w:val="13"/>
            </w:pPr>
            <w:r>
              <w:t>≥90%</w:t>
            </w:r>
          </w:p>
        </w:tc>
        <w:tc>
          <w:tcPr>
            <w:tcW w:w="2114" w:type="dxa"/>
            <w:vAlign w:val="center"/>
          </w:tcPr>
          <w:p>
            <w:pPr>
              <w:pStyle w:val="13"/>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6、租赁办公用房费用绩效目标表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13010924P000037103259</w:t>
            </w:r>
          </w:p>
        </w:tc>
        <w:tc>
          <w:tcPr>
            <w:tcW w:w="2114" w:type="dxa"/>
            <w:vAlign w:val="center"/>
          </w:tcPr>
          <w:p>
            <w:pPr>
              <w:pStyle w:val="11"/>
            </w:pPr>
            <w:r>
              <w:t>项目名称</w:t>
            </w:r>
          </w:p>
        </w:tc>
        <w:tc>
          <w:tcPr>
            <w:tcW w:w="6342" w:type="dxa"/>
            <w:gridSpan w:val="3"/>
            <w:vAlign w:val="center"/>
          </w:tcPr>
          <w:p>
            <w:pPr>
              <w:pStyle w:val="13"/>
            </w:pPr>
            <w:r>
              <w:t>租赁办公用房费用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56.00</w:t>
            </w:r>
          </w:p>
        </w:tc>
        <w:tc>
          <w:tcPr>
            <w:tcW w:w="2114" w:type="dxa"/>
            <w:vAlign w:val="center"/>
          </w:tcPr>
          <w:p>
            <w:pPr>
              <w:pStyle w:val="11"/>
            </w:pPr>
            <w:r>
              <w:t>其中：财政    资金</w:t>
            </w:r>
          </w:p>
        </w:tc>
        <w:tc>
          <w:tcPr>
            <w:tcW w:w="2114" w:type="dxa"/>
            <w:vAlign w:val="center"/>
          </w:tcPr>
          <w:p>
            <w:pPr>
              <w:pStyle w:val="13"/>
            </w:pPr>
            <w:r>
              <w:t>56.00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预算资金56万，用于租赁办公用房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1.通过租赁办公用房，为审批局办理业务提供场所，保障工作正常进行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房屋租赁面积</w:t>
            </w:r>
          </w:p>
        </w:tc>
        <w:tc>
          <w:tcPr>
            <w:tcW w:w="4228" w:type="dxa"/>
            <w:vAlign w:val="center"/>
          </w:tcPr>
          <w:p>
            <w:pPr>
              <w:pStyle w:val="13"/>
            </w:pPr>
            <w:r>
              <w:t>房屋租赁面积</w:t>
            </w:r>
          </w:p>
        </w:tc>
        <w:tc>
          <w:tcPr>
            <w:tcW w:w="2114" w:type="dxa"/>
            <w:vAlign w:val="center"/>
          </w:tcPr>
          <w:p>
            <w:pPr>
              <w:pStyle w:val="13"/>
            </w:pPr>
            <w:r>
              <w:t>≥2600平方米</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租赁合同</w:t>
            </w:r>
          </w:p>
        </w:tc>
        <w:tc>
          <w:tcPr>
            <w:tcW w:w="4228" w:type="dxa"/>
            <w:vAlign w:val="center"/>
          </w:tcPr>
          <w:p>
            <w:pPr>
              <w:pStyle w:val="13"/>
            </w:pPr>
            <w:r>
              <w:t>保质完成</w:t>
            </w:r>
          </w:p>
        </w:tc>
        <w:tc>
          <w:tcPr>
            <w:tcW w:w="2114" w:type="dxa"/>
            <w:vAlign w:val="center"/>
          </w:tcPr>
          <w:p>
            <w:pPr>
              <w:pStyle w:val="13"/>
            </w:pPr>
            <w:r>
              <w:t>保质完成</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支付完成及时率</w:t>
            </w:r>
          </w:p>
        </w:tc>
        <w:tc>
          <w:tcPr>
            <w:tcW w:w="4228" w:type="dxa"/>
            <w:vAlign w:val="center"/>
          </w:tcPr>
          <w:p>
            <w:pPr>
              <w:pStyle w:val="13"/>
            </w:pPr>
            <w:r>
              <w:t>及时支付占实际支付比例</w:t>
            </w:r>
          </w:p>
        </w:tc>
        <w:tc>
          <w:tcPr>
            <w:tcW w:w="2114" w:type="dxa"/>
            <w:vAlign w:val="center"/>
          </w:tcPr>
          <w:p>
            <w:pPr>
              <w:pStyle w:val="13"/>
            </w:pPr>
            <w:r>
              <w:t>按照合同，每半年支付一次</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预算控制数</w:t>
            </w:r>
          </w:p>
        </w:tc>
        <w:tc>
          <w:tcPr>
            <w:tcW w:w="4228" w:type="dxa"/>
            <w:vAlign w:val="center"/>
          </w:tcPr>
          <w:p>
            <w:pPr>
              <w:pStyle w:val="13"/>
            </w:pPr>
            <w:r>
              <w:t>严控预算控制数</w:t>
            </w:r>
          </w:p>
        </w:tc>
        <w:tc>
          <w:tcPr>
            <w:tcW w:w="2114" w:type="dxa"/>
            <w:vAlign w:val="center"/>
          </w:tcPr>
          <w:p>
            <w:pPr>
              <w:pStyle w:val="13"/>
            </w:pPr>
            <w:r>
              <w:t>56万元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保障机关工作正常高效运转</w:t>
            </w:r>
          </w:p>
        </w:tc>
        <w:tc>
          <w:tcPr>
            <w:tcW w:w="4228" w:type="dxa"/>
            <w:vAlign w:val="center"/>
          </w:tcPr>
          <w:p>
            <w:pPr>
              <w:pStyle w:val="13"/>
            </w:pPr>
            <w:r>
              <w:t>保障机关工作正常高效运转</w:t>
            </w:r>
          </w:p>
        </w:tc>
        <w:tc>
          <w:tcPr>
            <w:tcW w:w="2114" w:type="dxa"/>
            <w:vAlign w:val="center"/>
          </w:tcPr>
          <w:p>
            <w:pPr>
              <w:pStyle w:val="13"/>
            </w:pPr>
            <w:r>
              <w:t>有效保障</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调查群众满意度</w:t>
            </w:r>
          </w:p>
        </w:tc>
        <w:tc>
          <w:tcPr>
            <w:tcW w:w="4228" w:type="dxa"/>
            <w:vAlign w:val="center"/>
          </w:tcPr>
          <w:p>
            <w:pPr>
              <w:pStyle w:val="13"/>
            </w:pPr>
            <w:r>
              <w:t>对新办公楼的使用表示满意的群众人数/调查群众总数</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431石家庄市藁城区行政审批局</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石家庄市藁城区行政审批局（含所属单位）上年末固定资产金额为225.66万元（详见下表）。本年度拟购置固定资产总额为5.75万元，已按要求列入政府采购预算，详见政府采购预算表。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431石家庄市藁城区行政审批局</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225.66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56</w:t>
            </w:r>
          </w:p>
        </w:tc>
        <w:tc>
          <w:tcPr>
            <w:tcW w:w="4933" w:type="dxa"/>
            <w:vAlign w:val="center"/>
          </w:tcPr>
          <w:p>
            <w:pPr>
              <w:pStyle w:val="12"/>
            </w:pPr>
            <w:r>
              <w:t>225.66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87F3115"/>
    <w:rsid w:val="363B2703"/>
    <w:rsid w:val="45B01F2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2024-02-29T10:51:01Z</dcterms:created>
  <dcterms:modified xsi:type="dcterms:W3CDTF">2024-02-29T02:51:01Z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2024-02-29T10:51:02Z</dcterms:created>
  <dcterms:modified xsi:type="dcterms:W3CDTF">2024-02-29T02:51:02Z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2024-02-29T10:51:03Z</dcterms:created>
  <dcterms:modified xsi:type="dcterms:W3CDTF">2024-02-29T02:51:03Z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2024-02-29T10:50:58Z</dcterms:created>
  <dcterms:modified xsi:type="dcterms:W3CDTF">2024-02-29T02:50:58Z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2024-02-29T10:50:58Z</dcterms:created>
  <dcterms:modified xsi:type="dcterms:W3CDTF">2024-02-29T02:50:58Z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2024-02-29T10:50:58Z</dcterms:created>
  <dcterms:modified xsi:type="dcterms:W3CDTF">2024-02-29T02:50:58Z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2024-02-29T10:50:59Z</dcterms:created>
  <dcterms:modified xsi:type="dcterms:W3CDTF">2024-02-29T02:50:59Z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2024-02-29T10:50:57Z</dcterms:created>
  <dcterms:modified xsi:type="dcterms:W3CDTF">2024-02-29T02:50:56Z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2024-02-29T10:50:59Z</dcterms:created>
  <dcterms:modified xsi:type="dcterms:W3CDTF">2024-02-29T02:50:59Z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2024-02-29T10:51:00Z</dcterms:created>
  <dcterms:modified xsi:type="dcterms:W3CDTF">2024-02-29T02:51:00Z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d5c6c94b-d2bd-46ff-b71d-0f0a76e8d59a}">
  <ds:schemaRefs/>
</ds:datastoreItem>
</file>

<file path=customXml/itemProps11.xml><?xml version="1.0" encoding="utf-8"?>
<ds:datastoreItem xmlns:ds="http://schemas.openxmlformats.org/officeDocument/2006/customXml" ds:itemID="{1fba5c19-2df0-49bd-b8b0-3c5f7f1fae82}">
  <ds:schemaRefs/>
</ds:datastoreItem>
</file>

<file path=customXml/itemProps12.xml><?xml version="1.0" encoding="utf-8"?>
<ds:datastoreItem xmlns:ds="http://schemas.openxmlformats.org/officeDocument/2006/customXml" ds:itemID="{578a1b54-eb1c-43e4-a9b5-7d7e7a1ae2fc}">
  <ds:schemaRefs/>
</ds:datastoreItem>
</file>

<file path=customXml/itemProps13.xml><?xml version="1.0" encoding="utf-8"?>
<ds:datastoreItem xmlns:ds="http://schemas.openxmlformats.org/officeDocument/2006/customXml" ds:itemID="{229cc1b5-7f6c-4cb8-8893-76affd7186a0}">
  <ds:schemaRefs/>
</ds:datastoreItem>
</file>

<file path=customXml/itemProps14.xml><?xml version="1.0" encoding="utf-8"?>
<ds:datastoreItem xmlns:ds="http://schemas.openxmlformats.org/officeDocument/2006/customXml" ds:itemID="{05d03bd5-f7c6-4551-a2c1-6a8ce2fde2bd}">
  <ds:schemaRefs/>
</ds:datastoreItem>
</file>

<file path=customXml/itemProps15.xml><?xml version="1.0" encoding="utf-8"?>
<ds:datastoreItem xmlns:ds="http://schemas.openxmlformats.org/officeDocument/2006/customXml" ds:itemID="{6dce1fcf-3f93-40ce-8c02-dd5ff0eb3ba1}">
  <ds:schemaRefs/>
</ds:datastoreItem>
</file>

<file path=customXml/itemProps16.xml><?xml version="1.0" encoding="utf-8"?>
<ds:datastoreItem xmlns:ds="http://schemas.openxmlformats.org/officeDocument/2006/customXml" ds:itemID="{2f4a71a6-d716-479c-8b8b-f73e26eeb168}">
  <ds:schemaRefs/>
</ds:datastoreItem>
</file>

<file path=customXml/itemProps17.xml><?xml version="1.0" encoding="utf-8"?>
<ds:datastoreItem xmlns:ds="http://schemas.openxmlformats.org/officeDocument/2006/customXml" ds:itemID="{75f40b2b-ce36-4c91-9326-9e64d6da81de}">
  <ds:schemaRefs/>
</ds:datastoreItem>
</file>

<file path=customXml/itemProps18.xml><?xml version="1.0" encoding="utf-8"?>
<ds:datastoreItem xmlns:ds="http://schemas.openxmlformats.org/officeDocument/2006/customXml" ds:itemID="{b80efd7f-4e6e-49a2-aea3-7652dad95f3a}">
  <ds:schemaRefs/>
</ds:datastoreItem>
</file>

<file path=customXml/itemProps19.xml><?xml version="1.0" encoding="utf-8"?>
<ds:datastoreItem xmlns:ds="http://schemas.openxmlformats.org/officeDocument/2006/customXml" ds:itemID="{c6f5e97d-47f8-47ec-9913-ffb6de9f8d0c}">
  <ds:schemaRefs/>
</ds:datastoreItem>
</file>

<file path=customXml/itemProps2.xml><?xml version="1.0" encoding="utf-8"?>
<ds:datastoreItem xmlns:ds="http://schemas.openxmlformats.org/officeDocument/2006/customXml" ds:itemID="{7aee71ac-55ae-477a-a1a5-c2245bb304c8}">
  <ds:schemaRefs/>
</ds:datastoreItem>
</file>

<file path=customXml/itemProps20.xml><?xml version="1.0" encoding="utf-8"?>
<ds:datastoreItem xmlns:ds="http://schemas.openxmlformats.org/officeDocument/2006/customXml" ds:itemID="{ee3e37f6-e80e-437a-b73c-cf5e813fc5ef}">
  <ds:schemaRefs/>
</ds:datastoreItem>
</file>

<file path=customXml/itemProps21.xml><?xml version="1.0" encoding="utf-8"?>
<ds:datastoreItem xmlns:ds="http://schemas.openxmlformats.org/officeDocument/2006/customXml" ds:itemID="{6e892205-3b61-40d6-9eac-b2127f641590}">
  <ds:schemaRefs/>
</ds:datastoreItem>
</file>

<file path=customXml/itemProps3.xml><?xml version="1.0" encoding="utf-8"?>
<ds:datastoreItem xmlns:ds="http://schemas.openxmlformats.org/officeDocument/2006/customXml" ds:itemID="{d86cdfd6-1c6e-4cb7-886d-a938f9255f22}">
  <ds:schemaRefs/>
</ds:datastoreItem>
</file>

<file path=customXml/itemProps4.xml><?xml version="1.0" encoding="utf-8"?>
<ds:datastoreItem xmlns:ds="http://schemas.openxmlformats.org/officeDocument/2006/customXml" ds:itemID="{61782627-f4d6-4e96-a16f-ad6563081103}">
  <ds:schemaRefs/>
</ds:datastoreItem>
</file>

<file path=customXml/itemProps5.xml><?xml version="1.0" encoding="utf-8"?>
<ds:datastoreItem xmlns:ds="http://schemas.openxmlformats.org/officeDocument/2006/customXml" ds:itemID="{10e441c6-e9c6-4ae0-8a6f-f4b5f09af50f}">
  <ds:schemaRefs/>
</ds:datastoreItem>
</file>

<file path=customXml/itemProps6.xml><?xml version="1.0" encoding="utf-8"?>
<ds:datastoreItem xmlns:ds="http://schemas.openxmlformats.org/officeDocument/2006/customXml" ds:itemID="{f90335f2-e1d3-40c5-958e-02df5b787eaa}">
  <ds:schemaRefs/>
</ds:datastoreItem>
</file>

<file path=customXml/itemProps7.xml><?xml version="1.0" encoding="utf-8"?>
<ds:datastoreItem xmlns:ds="http://schemas.openxmlformats.org/officeDocument/2006/customXml" ds:itemID="{7674da4e-5310-4ffa-a67c-cf19b5db1c51}">
  <ds:schemaRefs/>
</ds:datastoreItem>
</file>

<file path=customXml/itemProps8.xml><?xml version="1.0" encoding="utf-8"?>
<ds:datastoreItem xmlns:ds="http://schemas.openxmlformats.org/officeDocument/2006/customXml" ds:itemID="{efc137d7-8693-418f-8e2b-3f7f5dfae41b}">
  <ds:schemaRefs/>
</ds:datastoreItem>
</file>

<file path=customXml/itemProps9.xml><?xml version="1.0" encoding="utf-8"?>
<ds:datastoreItem xmlns:ds="http://schemas.openxmlformats.org/officeDocument/2006/customXml" ds:itemID="{885e5dec-6ff5-4875-aacd-1530b5e964eb}">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2024-02-29T10:51:00Z</dcterms:created>
  <dc:creator>Administrator</dc:creator>
  <cp:lastModifiedBy>Administrator</cp:lastModifiedBy>
  <dcterms:modified xsi:type="dcterms:W3CDTF">2024-03-05T03:35:33Z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