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1577.33</w:t>
            </w:r>
          </w:p>
        </w:tc>
        <w:tc>
          <w:tcPr>
            <w:tcW w:w="4535" w:type="dxa"/>
            <w:vAlign w:val="center"/>
          </w:tcPr>
          <w:p>
            <w:pPr>
              <w:pStyle w:val="13"/>
            </w:pPr>
            <w:r>
              <w:t>一、一般公共服务支出</w:t>
            </w:r>
          </w:p>
        </w:tc>
        <w:tc>
          <w:tcPr>
            <w:tcW w:w="2126" w:type="dxa"/>
            <w:vAlign w:val="center"/>
          </w:tcPr>
          <w:p>
            <w:pPr>
              <w:pStyle w:val="12"/>
            </w:pPr>
            <w:r>
              <w:t>1423.63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1577.33</w:t>
            </w:r>
          </w:p>
        </w:tc>
        <w:tc>
          <w:tcPr>
            <w:tcW w:w="4535" w:type="dxa"/>
            <w:vAlign w:val="center"/>
          </w:tcPr>
          <w:p>
            <w:pPr>
              <w:pStyle w:val="15"/>
            </w:pPr>
            <w:r>
              <w:t>本年支出合计</w:t>
            </w:r>
          </w:p>
        </w:tc>
        <w:tc>
          <w:tcPr>
            <w:tcW w:w="2126" w:type="dxa"/>
            <w:vAlign w:val="center"/>
          </w:tcPr>
          <w:p>
            <w:pPr>
              <w:pStyle w:val="16"/>
            </w:pPr>
            <w:r>
              <w:t>1931.48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354.15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1931.48</w:t>
            </w:r>
          </w:p>
        </w:tc>
        <w:tc>
          <w:tcPr>
            <w:tcW w:w="4535" w:type="dxa"/>
            <w:vAlign w:val="center"/>
          </w:tcPr>
          <w:p>
            <w:pPr>
              <w:pStyle w:val="15"/>
            </w:pPr>
            <w:r>
              <w:t>支出总计</w:t>
            </w:r>
          </w:p>
        </w:tc>
        <w:tc>
          <w:tcPr>
            <w:tcW w:w="2126" w:type="dxa"/>
            <w:vAlign w:val="center"/>
          </w:tcPr>
          <w:p>
            <w:pPr>
              <w:pStyle w:val="16"/>
            </w:pPr>
            <w:r>
              <w:t>1931.48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1931.48</w:t>
            </w:r>
          </w:p>
        </w:tc>
        <w:tc>
          <w:tcPr>
            <w:tcW w:w="1134" w:type="dxa"/>
            <w:vAlign w:val="center"/>
          </w:tcPr>
          <w:p>
            <w:pPr>
              <w:pStyle w:val="16"/>
            </w:pPr>
            <w:r>
              <w:t>1577.33</w:t>
            </w:r>
          </w:p>
        </w:tc>
        <w:tc>
          <w:tcPr>
            <w:tcW w:w="1134" w:type="dxa"/>
            <w:vAlign w:val="center"/>
          </w:tcPr>
          <w:p>
            <w:pPr>
              <w:pStyle w:val="16"/>
            </w:pPr>
            <w:r>
              <w:t>1577.33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1423.63</w:t>
            </w:r>
          </w:p>
        </w:tc>
        <w:tc>
          <w:tcPr>
            <w:tcW w:w="1134" w:type="dxa"/>
            <w:vAlign w:val="center"/>
          </w:tcPr>
          <w:p>
            <w:pPr>
              <w:pStyle w:val="12"/>
            </w:pPr>
            <w:r>
              <w:t>1423.63</w:t>
            </w:r>
          </w:p>
        </w:tc>
        <w:tc>
          <w:tcPr>
            <w:tcW w:w="1134" w:type="dxa"/>
            <w:vAlign w:val="center"/>
          </w:tcPr>
          <w:p>
            <w:pPr>
              <w:pStyle w:val="12"/>
            </w:pPr>
            <w:r>
              <w:t>1423.63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1423.63</w:t>
            </w:r>
          </w:p>
        </w:tc>
        <w:tc>
          <w:tcPr>
            <w:tcW w:w="1134" w:type="dxa"/>
            <w:vAlign w:val="center"/>
          </w:tcPr>
          <w:p>
            <w:pPr>
              <w:pStyle w:val="12"/>
            </w:pPr>
            <w:r>
              <w:t>1423.63</w:t>
            </w:r>
          </w:p>
        </w:tc>
        <w:tc>
          <w:tcPr>
            <w:tcW w:w="1134" w:type="dxa"/>
            <w:vAlign w:val="center"/>
          </w:tcPr>
          <w:p>
            <w:pPr>
              <w:pStyle w:val="12"/>
            </w:pPr>
            <w:r>
              <w:t>1423.63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1134.62</w:t>
            </w:r>
          </w:p>
        </w:tc>
        <w:tc>
          <w:tcPr>
            <w:tcW w:w="1134" w:type="dxa"/>
            <w:vAlign w:val="center"/>
          </w:tcPr>
          <w:p>
            <w:pPr>
              <w:pStyle w:val="12"/>
            </w:pPr>
            <w:r>
              <w:t>1134.62</w:t>
            </w:r>
          </w:p>
        </w:tc>
        <w:tc>
          <w:tcPr>
            <w:tcW w:w="1134" w:type="dxa"/>
            <w:vAlign w:val="center"/>
          </w:tcPr>
          <w:p>
            <w:pPr>
              <w:pStyle w:val="12"/>
            </w:pPr>
            <w:r>
              <w:t>1134.62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289.01</w:t>
            </w:r>
          </w:p>
        </w:tc>
        <w:tc>
          <w:tcPr>
            <w:tcW w:w="1134" w:type="dxa"/>
            <w:vAlign w:val="center"/>
          </w:tcPr>
          <w:p>
            <w:pPr>
              <w:pStyle w:val="12"/>
            </w:pPr>
            <w:r>
              <w:t>289.01</w:t>
            </w:r>
          </w:p>
        </w:tc>
        <w:tc>
          <w:tcPr>
            <w:tcW w:w="1134" w:type="dxa"/>
            <w:vAlign w:val="center"/>
          </w:tcPr>
          <w:p>
            <w:pPr>
              <w:pStyle w:val="12"/>
            </w:pPr>
            <w:r>
              <w:t>289.01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9</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427.00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427.00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184.00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63.85</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r>
              <w:t>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57.15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57.15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57.15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1931.48</w:t>
            </w:r>
          </w:p>
        </w:tc>
        <w:tc>
          <w:tcPr>
            <w:tcW w:w="1361" w:type="dxa"/>
            <w:vAlign w:val="center"/>
          </w:tcPr>
          <w:p>
            <w:pPr>
              <w:pStyle w:val="16"/>
            </w:pPr>
            <w:r>
              <w:t>1134.62</w:t>
            </w:r>
          </w:p>
        </w:tc>
        <w:tc>
          <w:tcPr>
            <w:tcW w:w="1361" w:type="dxa"/>
            <w:vAlign w:val="center"/>
          </w:tcPr>
          <w:p>
            <w:pPr>
              <w:pStyle w:val="16"/>
            </w:pPr>
            <w:r>
              <w:t>796.86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1423.63</w:t>
            </w:r>
          </w:p>
        </w:tc>
        <w:tc>
          <w:tcPr>
            <w:tcW w:w="1361" w:type="dxa"/>
            <w:vAlign w:val="center"/>
          </w:tcPr>
          <w:p>
            <w:pPr>
              <w:pStyle w:val="12"/>
            </w:pPr>
            <w:r>
              <w:t>1134.62</w:t>
            </w:r>
          </w:p>
        </w:tc>
        <w:tc>
          <w:tcPr>
            <w:tcW w:w="1361" w:type="dxa"/>
            <w:vAlign w:val="center"/>
          </w:tcPr>
          <w:p>
            <w:pPr>
              <w:pStyle w:val="12"/>
            </w:pPr>
            <w:r>
              <w:t>289.01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1423.63</w:t>
            </w:r>
          </w:p>
        </w:tc>
        <w:tc>
          <w:tcPr>
            <w:tcW w:w="1361" w:type="dxa"/>
            <w:vAlign w:val="center"/>
          </w:tcPr>
          <w:p>
            <w:pPr>
              <w:pStyle w:val="12"/>
            </w:pPr>
            <w:r>
              <w:t>1134.62</w:t>
            </w:r>
          </w:p>
        </w:tc>
        <w:tc>
          <w:tcPr>
            <w:tcW w:w="1361" w:type="dxa"/>
            <w:vAlign w:val="center"/>
          </w:tcPr>
          <w:p>
            <w:pPr>
              <w:pStyle w:val="12"/>
            </w:pPr>
            <w:r>
              <w:t>289.01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1134.62</w:t>
            </w:r>
          </w:p>
        </w:tc>
        <w:tc>
          <w:tcPr>
            <w:tcW w:w="1361" w:type="dxa"/>
            <w:vAlign w:val="center"/>
          </w:tcPr>
          <w:p>
            <w:pPr>
              <w:pStyle w:val="12"/>
            </w:pPr>
            <w:r>
              <w:t>1134.62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289.01</w:t>
            </w:r>
          </w:p>
        </w:tc>
        <w:tc>
          <w:tcPr>
            <w:tcW w:w="1361" w:type="dxa"/>
            <w:vAlign w:val="center"/>
          </w:tcPr>
          <w:p>
            <w:pPr>
              <w:pStyle w:val="12"/>
            </w:pPr>
          </w:p>
        </w:tc>
        <w:tc>
          <w:tcPr>
            <w:tcW w:w="1361" w:type="dxa"/>
            <w:vAlign w:val="center"/>
          </w:tcPr>
          <w:p>
            <w:pPr>
              <w:pStyle w:val="12"/>
            </w:pPr>
            <w:r>
              <w:t>289.01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427.00</w:t>
            </w:r>
          </w:p>
        </w:tc>
        <w:tc>
          <w:tcPr>
            <w:tcW w:w="1361" w:type="dxa"/>
            <w:vAlign w:val="center"/>
          </w:tcPr>
          <w:p>
            <w:pPr>
              <w:pStyle w:val="12"/>
            </w:pPr>
          </w:p>
        </w:tc>
        <w:tc>
          <w:tcPr>
            <w:tcW w:w="1361" w:type="dxa"/>
            <w:vAlign w:val="center"/>
          </w:tcPr>
          <w:p>
            <w:pPr>
              <w:pStyle w:val="12"/>
            </w:pPr>
            <w:r>
              <w:t>427.00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427.00</w:t>
            </w:r>
          </w:p>
        </w:tc>
        <w:tc>
          <w:tcPr>
            <w:tcW w:w="1361" w:type="dxa"/>
            <w:vAlign w:val="center"/>
          </w:tcPr>
          <w:p>
            <w:pPr>
              <w:pStyle w:val="12"/>
            </w:pPr>
          </w:p>
        </w:tc>
        <w:tc>
          <w:tcPr>
            <w:tcW w:w="1361" w:type="dxa"/>
            <w:vAlign w:val="center"/>
          </w:tcPr>
          <w:p>
            <w:pPr>
              <w:pStyle w:val="12"/>
            </w:pPr>
            <w:r>
              <w:t>427.00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184.00</w:t>
            </w:r>
          </w:p>
        </w:tc>
        <w:tc>
          <w:tcPr>
            <w:tcW w:w="1361" w:type="dxa"/>
            <w:vAlign w:val="center"/>
          </w:tcPr>
          <w:p>
            <w:pPr>
              <w:pStyle w:val="12"/>
            </w:pPr>
          </w:p>
        </w:tc>
        <w:tc>
          <w:tcPr>
            <w:tcW w:w="1361" w:type="dxa"/>
            <w:vAlign w:val="center"/>
          </w:tcPr>
          <w:p>
            <w:pPr>
              <w:pStyle w:val="12"/>
            </w:pPr>
            <w:r>
              <w:t>184.00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243.00</w:t>
            </w:r>
          </w:p>
        </w:tc>
        <w:tc>
          <w:tcPr>
            <w:tcW w:w="1361" w:type="dxa"/>
            <w:vAlign w:val="center"/>
          </w:tcPr>
          <w:p>
            <w:pPr>
              <w:pStyle w:val="12"/>
            </w:pPr>
          </w:p>
        </w:tc>
        <w:tc>
          <w:tcPr>
            <w:tcW w:w="1361" w:type="dxa"/>
            <w:vAlign w:val="center"/>
          </w:tcPr>
          <w:p>
            <w:pPr>
              <w:pStyle w:val="12"/>
            </w:pPr>
            <w:r>
              <w:t>243.00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63.85</w:t>
            </w:r>
          </w:p>
        </w:tc>
        <w:tc>
          <w:tcPr>
            <w:tcW w:w="1361" w:type="dxa"/>
            <w:vAlign w:val="center"/>
          </w:tcPr>
          <w:p>
            <w:pPr>
              <w:pStyle w:val="12"/>
            </w:pPr>
          </w:p>
        </w:tc>
        <w:tc>
          <w:tcPr>
            <w:tcW w:w="1361" w:type="dxa"/>
            <w:vAlign w:val="center"/>
          </w:tcPr>
          <w:p>
            <w:pPr>
              <w:pStyle w:val="12"/>
            </w:pPr>
            <w:r>
              <w:t>63.85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r>
              <w:t>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57.15</w:t>
            </w:r>
          </w:p>
        </w:tc>
        <w:tc>
          <w:tcPr>
            <w:tcW w:w="1361" w:type="dxa"/>
            <w:vAlign w:val="center"/>
          </w:tcPr>
          <w:p>
            <w:pPr>
              <w:pStyle w:val="12"/>
            </w:pPr>
          </w:p>
        </w:tc>
        <w:tc>
          <w:tcPr>
            <w:tcW w:w="1361" w:type="dxa"/>
            <w:vAlign w:val="center"/>
          </w:tcPr>
          <w:p>
            <w:pPr>
              <w:pStyle w:val="12"/>
            </w:pPr>
            <w:r>
              <w:t>57.15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57.15</w:t>
            </w:r>
          </w:p>
        </w:tc>
        <w:tc>
          <w:tcPr>
            <w:tcW w:w="1361" w:type="dxa"/>
            <w:vAlign w:val="center"/>
          </w:tcPr>
          <w:p>
            <w:pPr>
              <w:pStyle w:val="12"/>
            </w:pPr>
          </w:p>
        </w:tc>
        <w:tc>
          <w:tcPr>
            <w:tcW w:w="1361" w:type="dxa"/>
            <w:vAlign w:val="center"/>
          </w:tcPr>
          <w:p>
            <w:pPr>
              <w:pStyle w:val="12"/>
            </w:pPr>
            <w:r>
              <w:t>57.15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1577.33</w:t>
            </w:r>
          </w:p>
        </w:tc>
        <w:tc>
          <w:tcPr>
            <w:tcW w:w="3402" w:type="dxa"/>
            <w:vAlign w:val="center"/>
          </w:tcPr>
          <w:p>
            <w:pPr>
              <w:pStyle w:val="13"/>
            </w:pPr>
            <w:r>
              <w:t>一、一般公共服务支出</w:t>
            </w:r>
          </w:p>
        </w:tc>
        <w:tc>
          <w:tcPr>
            <w:tcW w:w="1474" w:type="dxa"/>
            <w:vAlign w:val="center"/>
          </w:tcPr>
          <w:p>
            <w:pPr>
              <w:pStyle w:val="12"/>
            </w:pPr>
            <w:r>
              <w:t>1423.63</w:t>
            </w:r>
          </w:p>
        </w:tc>
        <w:tc>
          <w:tcPr>
            <w:tcW w:w="1474" w:type="dxa"/>
            <w:vAlign w:val="center"/>
          </w:tcPr>
          <w:p>
            <w:pPr>
              <w:pStyle w:val="12"/>
            </w:pPr>
            <w:r>
              <w:t>1423.63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17.00</w:t>
            </w:r>
          </w:p>
        </w:tc>
        <w:tc>
          <w:tcPr>
            <w:tcW w:w="1474" w:type="dxa"/>
            <w:vAlign w:val="center"/>
          </w:tcPr>
          <w:p>
            <w:pPr>
              <w:pStyle w:val="12"/>
            </w:pPr>
            <w:r>
              <w:t>17.00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427.00</w:t>
            </w:r>
          </w:p>
        </w:tc>
        <w:tc>
          <w:tcPr>
            <w:tcW w:w="1474" w:type="dxa"/>
            <w:vAlign w:val="center"/>
          </w:tcPr>
          <w:p>
            <w:pPr>
              <w:pStyle w:val="12"/>
            </w:pPr>
            <w:r>
              <w:t>427.00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63.85</w:t>
            </w:r>
          </w:p>
        </w:tc>
        <w:tc>
          <w:tcPr>
            <w:tcW w:w="1474" w:type="dxa"/>
            <w:vAlign w:val="center"/>
          </w:tcPr>
          <w:p>
            <w:pPr>
              <w:pStyle w:val="12"/>
            </w:pPr>
            <w:r>
              <w:t>63.85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1577.33</w:t>
            </w:r>
          </w:p>
        </w:tc>
        <w:tc>
          <w:tcPr>
            <w:tcW w:w="3402" w:type="dxa"/>
            <w:vAlign w:val="center"/>
          </w:tcPr>
          <w:p>
            <w:pPr>
              <w:pStyle w:val="15"/>
            </w:pPr>
            <w:r>
              <w:t>本年支出合计</w:t>
            </w:r>
          </w:p>
        </w:tc>
        <w:tc>
          <w:tcPr>
            <w:tcW w:w="1474" w:type="dxa"/>
            <w:vAlign w:val="center"/>
          </w:tcPr>
          <w:p>
            <w:pPr>
              <w:pStyle w:val="16"/>
            </w:pPr>
            <w:r>
              <w:t>1931.48</w:t>
            </w:r>
          </w:p>
        </w:tc>
        <w:tc>
          <w:tcPr>
            <w:tcW w:w="1474" w:type="dxa"/>
            <w:vAlign w:val="center"/>
          </w:tcPr>
          <w:p>
            <w:pPr>
              <w:pStyle w:val="16"/>
            </w:pPr>
            <w:r>
              <w:t>1931.48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354.15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354.15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1931.48</w:t>
            </w:r>
          </w:p>
        </w:tc>
        <w:tc>
          <w:tcPr>
            <w:tcW w:w="3402" w:type="dxa"/>
            <w:vAlign w:val="center"/>
          </w:tcPr>
          <w:p>
            <w:pPr>
              <w:pStyle w:val="15"/>
            </w:pPr>
            <w:r>
              <w:t>支出总计</w:t>
            </w:r>
          </w:p>
        </w:tc>
        <w:tc>
          <w:tcPr>
            <w:tcW w:w="1474" w:type="dxa"/>
            <w:vAlign w:val="center"/>
          </w:tcPr>
          <w:p>
            <w:pPr>
              <w:pStyle w:val="16"/>
            </w:pPr>
            <w:r>
              <w:t>1931.48</w:t>
            </w:r>
          </w:p>
        </w:tc>
        <w:tc>
          <w:tcPr>
            <w:tcW w:w="1474" w:type="dxa"/>
            <w:vAlign w:val="center"/>
          </w:tcPr>
          <w:p>
            <w:pPr>
              <w:pStyle w:val="16"/>
            </w:pPr>
            <w:r>
              <w:t>1931.48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1931.48</w:t>
            </w:r>
          </w:p>
        </w:tc>
        <w:tc>
          <w:tcPr>
            <w:tcW w:w="2551" w:type="dxa"/>
            <w:vAlign w:val="center"/>
          </w:tcPr>
          <w:p>
            <w:pPr>
              <w:pStyle w:val="16"/>
            </w:pPr>
            <w:r>
              <w:t>1134.62</w:t>
            </w:r>
          </w:p>
        </w:tc>
        <w:tc>
          <w:tcPr>
            <w:tcW w:w="2551" w:type="dxa"/>
            <w:vAlign w:val="center"/>
          </w:tcPr>
          <w:p>
            <w:pPr>
              <w:pStyle w:val="16"/>
            </w:pPr>
            <w:r>
              <w:t>796.86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1423.63</w:t>
            </w:r>
          </w:p>
        </w:tc>
        <w:tc>
          <w:tcPr>
            <w:tcW w:w="2551" w:type="dxa"/>
            <w:vAlign w:val="center"/>
          </w:tcPr>
          <w:p>
            <w:pPr>
              <w:pStyle w:val="12"/>
            </w:pPr>
            <w:r>
              <w:t>1134.62</w:t>
            </w:r>
          </w:p>
        </w:tc>
        <w:tc>
          <w:tcPr>
            <w:tcW w:w="2551" w:type="dxa"/>
            <w:vAlign w:val="center"/>
          </w:tcPr>
          <w:p>
            <w:pPr>
              <w:pStyle w:val="12"/>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1423.63</w:t>
            </w:r>
          </w:p>
        </w:tc>
        <w:tc>
          <w:tcPr>
            <w:tcW w:w="2551" w:type="dxa"/>
            <w:vAlign w:val="center"/>
          </w:tcPr>
          <w:p>
            <w:pPr>
              <w:pStyle w:val="12"/>
            </w:pPr>
            <w:r>
              <w:t>1134.62</w:t>
            </w:r>
          </w:p>
        </w:tc>
        <w:tc>
          <w:tcPr>
            <w:tcW w:w="2551" w:type="dxa"/>
            <w:vAlign w:val="center"/>
          </w:tcPr>
          <w:p>
            <w:pPr>
              <w:pStyle w:val="12"/>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1134.62</w:t>
            </w:r>
          </w:p>
        </w:tc>
        <w:tc>
          <w:tcPr>
            <w:tcW w:w="2551" w:type="dxa"/>
            <w:vAlign w:val="center"/>
          </w:tcPr>
          <w:p>
            <w:pPr>
              <w:pStyle w:val="12"/>
            </w:pPr>
            <w:r>
              <w:t>1134.62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289.01</w:t>
            </w:r>
          </w:p>
        </w:tc>
        <w:tc>
          <w:tcPr>
            <w:tcW w:w="2551" w:type="dxa"/>
            <w:vAlign w:val="center"/>
          </w:tcPr>
          <w:p>
            <w:pPr>
              <w:pStyle w:val="12"/>
            </w:pPr>
          </w:p>
        </w:tc>
        <w:tc>
          <w:tcPr>
            <w:tcW w:w="2551" w:type="dxa"/>
            <w:vAlign w:val="center"/>
          </w:tcPr>
          <w:p>
            <w:pPr>
              <w:pStyle w:val="12"/>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427.00</w:t>
            </w:r>
          </w:p>
        </w:tc>
        <w:tc>
          <w:tcPr>
            <w:tcW w:w="2551" w:type="dxa"/>
            <w:vAlign w:val="center"/>
          </w:tcPr>
          <w:p>
            <w:pPr>
              <w:pStyle w:val="12"/>
            </w:pPr>
          </w:p>
        </w:tc>
        <w:tc>
          <w:tcPr>
            <w:tcW w:w="2551" w:type="dxa"/>
            <w:vAlign w:val="center"/>
          </w:tcPr>
          <w:p>
            <w:pPr>
              <w:pStyle w:val="12"/>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427.00</w:t>
            </w:r>
          </w:p>
        </w:tc>
        <w:tc>
          <w:tcPr>
            <w:tcW w:w="2551" w:type="dxa"/>
            <w:vAlign w:val="center"/>
          </w:tcPr>
          <w:p>
            <w:pPr>
              <w:pStyle w:val="12"/>
            </w:pPr>
          </w:p>
        </w:tc>
        <w:tc>
          <w:tcPr>
            <w:tcW w:w="2551" w:type="dxa"/>
            <w:vAlign w:val="center"/>
          </w:tcPr>
          <w:p>
            <w:pPr>
              <w:pStyle w:val="12"/>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184.00</w:t>
            </w:r>
          </w:p>
        </w:tc>
        <w:tc>
          <w:tcPr>
            <w:tcW w:w="2551" w:type="dxa"/>
            <w:vAlign w:val="center"/>
          </w:tcPr>
          <w:p>
            <w:pPr>
              <w:pStyle w:val="12"/>
            </w:pPr>
          </w:p>
        </w:tc>
        <w:tc>
          <w:tcPr>
            <w:tcW w:w="2551" w:type="dxa"/>
            <w:vAlign w:val="center"/>
          </w:tcPr>
          <w:p>
            <w:pPr>
              <w:pStyle w:val="12"/>
            </w:pPr>
            <w:r>
              <w:t>184.00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243.00</w:t>
            </w:r>
          </w:p>
        </w:tc>
        <w:tc>
          <w:tcPr>
            <w:tcW w:w="2551" w:type="dxa"/>
            <w:vAlign w:val="center"/>
          </w:tcPr>
          <w:p>
            <w:pPr>
              <w:pStyle w:val="12"/>
            </w:pPr>
          </w:p>
        </w:tc>
        <w:tc>
          <w:tcPr>
            <w:tcW w:w="2551" w:type="dxa"/>
            <w:vAlign w:val="center"/>
          </w:tcPr>
          <w:p>
            <w:pPr>
              <w:pStyle w:val="12"/>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63.85</w:t>
            </w:r>
          </w:p>
        </w:tc>
        <w:tc>
          <w:tcPr>
            <w:tcW w:w="2551" w:type="dxa"/>
            <w:vAlign w:val="center"/>
          </w:tcPr>
          <w:p>
            <w:pPr>
              <w:pStyle w:val="12"/>
            </w:pPr>
          </w:p>
        </w:tc>
        <w:tc>
          <w:tcPr>
            <w:tcW w:w="2551" w:type="dxa"/>
            <w:vAlign w:val="center"/>
          </w:tcPr>
          <w:p>
            <w:pPr>
              <w:pStyle w:val="12"/>
            </w:pPr>
            <w:r>
              <w:t>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6.70</w:t>
            </w:r>
          </w:p>
        </w:tc>
        <w:tc>
          <w:tcPr>
            <w:tcW w:w="2551" w:type="dxa"/>
            <w:vAlign w:val="center"/>
          </w:tcPr>
          <w:p>
            <w:pPr>
              <w:pStyle w:val="12"/>
            </w:pPr>
          </w:p>
        </w:tc>
        <w:tc>
          <w:tcPr>
            <w:tcW w:w="2551" w:type="dxa"/>
            <w:vAlign w:val="center"/>
          </w:tcPr>
          <w:p>
            <w:pPr>
              <w:pStyle w:val="12"/>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6.70</w:t>
            </w:r>
          </w:p>
        </w:tc>
        <w:tc>
          <w:tcPr>
            <w:tcW w:w="2551" w:type="dxa"/>
            <w:vAlign w:val="center"/>
          </w:tcPr>
          <w:p>
            <w:pPr>
              <w:pStyle w:val="12"/>
            </w:pPr>
          </w:p>
        </w:tc>
        <w:tc>
          <w:tcPr>
            <w:tcW w:w="2551" w:type="dxa"/>
            <w:vAlign w:val="center"/>
          </w:tcPr>
          <w:p>
            <w:pPr>
              <w:pStyle w:val="12"/>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57.15</w:t>
            </w:r>
          </w:p>
        </w:tc>
        <w:tc>
          <w:tcPr>
            <w:tcW w:w="2551" w:type="dxa"/>
            <w:vAlign w:val="center"/>
          </w:tcPr>
          <w:p>
            <w:pPr>
              <w:pStyle w:val="12"/>
            </w:pPr>
          </w:p>
        </w:tc>
        <w:tc>
          <w:tcPr>
            <w:tcW w:w="2551" w:type="dxa"/>
            <w:vAlign w:val="center"/>
          </w:tcPr>
          <w:p>
            <w:pPr>
              <w:pStyle w:val="12"/>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57.15</w:t>
            </w:r>
          </w:p>
        </w:tc>
        <w:tc>
          <w:tcPr>
            <w:tcW w:w="2551" w:type="dxa"/>
            <w:vAlign w:val="center"/>
          </w:tcPr>
          <w:p>
            <w:pPr>
              <w:pStyle w:val="12"/>
            </w:pPr>
          </w:p>
        </w:tc>
        <w:tc>
          <w:tcPr>
            <w:tcW w:w="2551" w:type="dxa"/>
            <w:vAlign w:val="center"/>
          </w:tcPr>
          <w:p>
            <w:pPr>
              <w:pStyle w:val="12"/>
            </w:pPr>
            <w:r>
              <w:t>57.15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1134.62</w:t>
            </w:r>
          </w:p>
        </w:tc>
        <w:tc>
          <w:tcPr>
            <w:tcW w:w="2551" w:type="dxa"/>
            <w:vAlign w:val="center"/>
          </w:tcPr>
          <w:p>
            <w:pPr>
              <w:pStyle w:val="16"/>
            </w:pPr>
            <w:r>
              <w:t>969.12</w:t>
            </w:r>
          </w:p>
        </w:tc>
        <w:tc>
          <w:tcPr>
            <w:tcW w:w="2551" w:type="dxa"/>
            <w:vAlign w:val="center"/>
          </w:tcPr>
          <w:p>
            <w:pPr>
              <w:pStyle w:val="16"/>
            </w:pPr>
            <w:r>
              <w:t>165.50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880.20</w:t>
            </w:r>
          </w:p>
        </w:tc>
        <w:tc>
          <w:tcPr>
            <w:tcW w:w="2551" w:type="dxa"/>
            <w:vAlign w:val="center"/>
          </w:tcPr>
          <w:p>
            <w:pPr>
              <w:pStyle w:val="12"/>
            </w:pPr>
            <w:r>
              <w:t>880.20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191.53</w:t>
            </w:r>
          </w:p>
        </w:tc>
        <w:tc>
          <w:tcPr>
            <w:tcW w:w="2551" w:type="dxa"/>
            <w:vAlign w:val="center"/>
          </w:tcPr>
          <w:p>
            <w:pPr>
              <w:pStyle w:val="12"/>
            </w:pPr>
            <w:r>
              <w:t>191.53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203.31</w:t>
            </w:r>
          </w:p>
        </w:tc>
        <w:tc>
          <w:tcPr>
            <w:tcW w:w="2551" w:type="dxa"/>
            <w:vAlign w:val="center"/>
          </w:tcPr>
          <w:p>
            <w:pPr>
              <w:pStyle w:val="12"/>
            </w:pPr>
            <w:r>
              <w:t>203.31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86.42</w:t>
            </w:r>
          </w:p>
        </w:tc>
        <w:tc>
          <w:tcPr>
            <w:tcW w:w="2551" w:type="dxa"/>
            <w:vAlign w:val="center"/>
          </w:tcPr>
          <w:p>
            <w:pPr>
              <w:pStyle w:val="12"/>
            </w:pPr>
            <w:r>
              <w:t>86.42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123.06</w:t>
            </w:r>
          </w:p>
        </w:tc>
        <w:tc>
          <w:tcPr>
            <w:tcW w:w="2551" w:type="dxa"/>
            <w:vAlign w:val="center"/>
          </w:tcPr>
          <w:p>
            <w:pPr>
              <w:pStyle w:val="12"/>
            </w:pPr>
            <w:r>
              <w:t>123.06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101.12</w:t>
            </w:r>
          </w:p>
        </w:tc>
        <w:tc>
          <w:tcPr>
            <w:tcW w:w="2551" w:type="dxa"/>
            <w:vAlign w:val="center"/>
          </w:tcPr>
          <w:p>
            <w:pPr>
              <w:pStyle w:val="12"/>
            </w:pPr>
            <w:r>
              <w:t>101.12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25.53</w:t>
            </w:r>
          </w:p>
        </w:tc>
        <w:tc>
          <w:tcPr>
            <w:tcW w:w="2551" w:type="dxa"/>
            <w:vAlign w:val="center"/>
          </w:tcPr>
          <w:p>
            <w:pPr>
              <w:pStyle w:val="12"/>
            </w:pPr>
            <w:r>
              <w:t>25.53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38.98</w:t>
            </w:r>
          </w:p>
        </w:tc>
        <w:tc>
          <w:tcPr>
            <w:tcW w:w="2551" w:type="dxa"/>
            <w:vAlign w:val="center"/>
          </w:tcPr>
          <w:p>
            <w:pPr>
              <w:pStyle w:val="12"/>
            </w:pPr>
            <w:r>
              <w:t>38.98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77.25</w:t>
            </w:r>
          </w:p>
        </w:tc>
        <w:tc>
          <w:tcPr>
            <w:tcW w:w="2551" w:type="dxa"/>
            <w:vAlign w:val="center"/>
          </w:tcPr>
          <w:p>
            <w:pPr>
              <w:pStyle w:val="12"/>
            </w:pPr>
            <w:r>
              <w:t>77.25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164.50</w:t>
            </w:r>
          </w:p>
        </w:tc>
        <w:tc>
          <w:tcPr>
            <w:tcW w:w="2551" w:type="dxa"/>
            <w:vAlign w:val="center"/>
          </w:tcPr>
          <w:p>
            <w:pPr>
              <w:pStyle w:val="12"/>
            </w:pPr>
          </w:p>
        </w:tc>
        <w:tc>
          <w:tcPr>
            <w:tcW w:w="2551" w:type="dxa"/>
            <w:vAlign w:val="center"/>
          </w:tcPr>
          <w:p>
            <w:pPr>
              <w:pStyle w:val="12"/>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17.20</w:t>
            </w:r>
          </w:p>
        </w:tc>
        <w:tc>
          <w:tcPr>
            <w:tcW w:w="2551" w:type="dxa"/>
            <w:vAlign w:val="center"/>
          </w:tcPr>
          <w:p>
            <w:pPr>
              <w:pStyle w:val="12"/>
            </w:pPr>
          </w:p>
        </w:tc>
        <w:tc>
          <w:tcPr>
            <w:tcW w:w="2551" w:type="dxa"/>
            <w:vAlign w:val="center"/>
          </w:tcPr>
          <w:p>
            <w:pPr>
              <w:pStyle w:val="12"/>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23.86</w:t>
            </w:r>
          </w:p>
        </w:tc>
        <w:tc>
          <w:tcPr>
            <w:tcW w:w="2551" w:type="dxa"/>
            <w:vAlign w:val="center"/>
          </w:tcPr>
          <w:p>
            <w:pPr>
              <w:pStyle w:val="12"/>
            </w:pPr>
          </w:p>
        </w:tc>
        <w:tc>
          <w:tcPr>
            <w:tcW w:w="2551" w:type="dxa"/>
            <w:vAlign w:val="center"/>
          </w:tcPr>
          <w:p>
            <w:pPr>
              <w:pStyle w:val="12"/>
            </w:pPr>
            <w:r>
              <w:t>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30225</w:t>
            </w:r>
          </w:p>
        </w:tc>
        <w:tc>
          <w:tcPr>
            <w:tcW w:w="4535" w:type="dxa"/>
            <w:vAlign w:val="center"/>
          </w:tcPr>
          <w:p>
            <w:pPr>
              <w:pStyle w:val="13"/>
            </w:pPr>
            <w:r>
              <w:t>专用燃料费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5.87</w:t>
            </w:r>
          </w:p>
        </w:tc>
        <w:tc>
          <w:tcPr>
            <w:tcW w:w="2551" w:type="dxa"/>
            <w:vAlign w:val="center"/>
          </w:tcPr>
          <w:p>
            <w:pPr>
              <w:pStyle w:val="12"/>
            </w:pPr>
          </w:p>
        </w:tc>
        <w:tc>
          <w:tcPr>
            <w:tcW w:w="2551" w:type="dxa"/>
            <w:vAlign w:val="center"/>
          </w:tcPr>
          <w:p>
            <w:pPr>
              <w:pStyle w:val="12"/>
            </w:pPr>
            <w:r>
              <w:t>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4.79</w:t>
            </w:r>
          </w:p>
        </w:tc>
        <w:tc>
          <w:tcPr>
            <w:tcW w:w="2551" w:type="dxa"/>
            <w:vAlign w:val="center"/>
          </w:tcPr>
          <w:p>
            <w:pPr>
              <w:pStyle w:val="12"/>
            </w:pPr>
          </w:p>
        </w:tc>
        <w:tc>
          <w:tcPr>
            <w:tcW w:w="2551" w:type="dxa"/>
            <w:vAlign w:val="center"/>
          </w:tcPr>
          <w:p>
            <w:pPr>
              <w:pStyle w:val="12"/>
            </w:pPr>
            <w: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29.82</w:t>
            </w:r>
          </w:p>
        </w:tc>
        <w:tc>
          <w:tcPr>
            <w:tcW w:w="2551" w:type="dxa"/>
            <w:vAlign w:val="center"/>
          </w:tcPr>
          <w:p>
            <w:pPr>
              <w:pStyle w:val="12"/>
            </w:pPr>
          </w:p>
        </w:tc>
        <w:tc>
          <w:tcPr>
            <w:tcW w:w="2551" w:type="dxa"/>
            <w:vAlign w:val="center"/>
          </w:tcPr>
          <w:p>
            <w:pPr>
              <w:pStyle w:val="12"/>
            </w:pPr>
            <w:r>
              <w:t>29.82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4.76</w:t>
            </w:r>
          </w:p>
        </w:tc>
        <w:tc>
          <w:tcPr>
            <w:tcW w:w="2551" w:type="dxa"/>
            <w:vAlign w:val="center"/>
          </w:tcPr>
          <w:p>
            <w:pPr>
              <w:pStyle w:val="12"/>
            </w:pPr>
          </w:p>
        </w:tc>
        <w:tc>
          <w:tcPr>
            <w:tcW w:w="2551" w:type="dxa"/>
            <w:vAlign w:val="center"/>
          </w:tcPr>
          <w:p>
            <w:pPr>
              <w:pStyle w:val="12"/>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88.92</w:t>
            </w:r>
          </w:p>
        </w:tc>
        <w:tc>
          <w:tcPr>
            <w:tcW w:w="2551" w:type="dxa"/>
            <w:vAlign w:val="center"/>
          </w:tcPr>
          <w:p>
            <w:pPr>
              <w:pStyle w:val="12"/>
            </w:pPr>
            <w:r>
              <w:t>88.92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81.78</w:t>
            </w:r>
          </w:p>
        </w:tc>
        <w:tc>
          <w:tcPr>
            <w:tcW w:w="2551" w:type="dxa"/>
            <w:vAlign w:val="center"/>
          </w:tcPr>
          <w:p>
            <w:pPr>
              <w:pStyle w:val="12"/>
            </w:pPr>
            <w:r>
              <w:t>81.78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7.11</w:t>
            </w:r>
          </w:p>
        </w:tc>
        <w:tc>
          <w:tcPr>
            <w:tcW w:w="2551" w:type="dxa"/>
            <w:vAlign w:val="center"/>
          </w:tcPr>
          <w:p>
            <w:pPr>
              <w:pStyle w:val="12"/>
            </w:pPr>
            <w:r>
              <w:t>7.11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0.02</w:t>
            </w:r>
          </w:p>
        </w:tc>
        <w:tc>
          <w:tcPr>
            <w:tcW w:w="2551" w:type="dxa"/>
            <w:vAlign w:val="center"/>
          </w:tcPr>
          <w:p>
            <w:pPr>
              <w:pStyle w:val="12"/>
            </w:pPr>
            <w:r>
              <w:t>0.02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3105"/>
        <w:gridCol w:w="1463"/>
        <w:gridCol w:w="1643"/>
        <w:gridCol w:w="1643"/>
        <w:gridCol w:w="24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7" w:type="dxa"/>
            <w:gridSpan w:val="3"/>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4064"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119" w:type="dxa"/>
            <w:vMerge w:val="restart"/>
            <w:vAlign w:val="center"/>
          </w:tcPr>
          <w:p>
            <w:pPr>
              <w:pStyle w:val="11"/>
            </w:pPr>
            <w:r>
              <w:t>序号</w:t>
            </w:r>
          </w:p>
        </w:tc>
        <w:tc>
          <w:tcPr>
            <w:tcW w:w="3105" w:type="dxa"/>
            <w:vMerge w:val="restart"/>
            <w:vAlign w:val="center"/>
          </w:tcPr>
          <w:p>
            <w:pPr>
              <w:pStyle w:val="11"/>
            </w:pPr>
            <w:r>
              <w:t>项  目</w:t>
            </w:r>
          </w:p>
        </w:tc>
        <w:tc>
          <w:tcPr>
            <w:tcW w:w="7170"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Merge w:val="continue"/>
          </w:tcPr>
          <w:p/>
        </w:tc>
        <w:tc>
          <w:tcPr>
            <w:tcW w:w="3105" w:type="dxa"/>
            <w:vMerge w:val="continue"/>
          </w:tcPr>
          <w:p/>
        </w:tc>
        <w:tc>
          <w:tcPr>
            <w:tcW w:w="146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242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Align w:val="center"/>
          </w:tcPr>
          <w:p>
            <w:pPr>
              <w:pStyle w:val="11"/>
            </w:pPr>
            <w:r>
              <w:t>栏次</w:t>
            </w:r>
          </w:p>
        </w:tc>
        <w:tc>
          <w:tcPr>
            <w:tcW w:w="3105" w:type="dxa"/>
            <w:vAlign w:val="center"/>
          </w:tcPr>
          <w:p>
            <w:pPr>
              <w:pStyle w:val="11"/>
            </w:pPr>
            <w:r>
              <w:t>1</w:t>
            </w:r>
          </w:p>
        </w:tc>
        <w:tc>
          <w:tcPr>
            <w:tcW w:w="146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242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1</w:t>
            </w:r>
          </w:p>
        </w:tc>
        <w:tc>
          <w:tcPr>
            <w:tcW w:w="3105" w:type="dxa"/>
            <w:vAlign w:val="center"/>
          </w:tcPr>
          <w:p>
            <w:pPr>
              <w:pStyle w:val="13"/>
            </w:pPr>
            <w:r>
              <w:t>合计</w:t>
            </w:r>
          </w:p>
        </w:tc>
        <w:tc>
          <w:tcPr>
            <w:tcW w:w="146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2</w:t>
            </w:r>
          </w:p>
        </w:tc>
        <w:tc>
          <w:tcPr>
            <w:tcW w:w="3105" w:type="dxa"/>
            <w:vAlign w:val="center"/>
          </w:tcPr>
          <w:p>
            <w:pPr>
              <w:pStyle w:val="13"/>
            </w:pPr>
            <w:r>
              <w:t>“三公”经费小计</w:t>
            </w:r>
          </w:p>
        </w:tc>
        <w:tc>
          <w:tcPr>
            <w:tcW w:w="146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3</w:t>
            </w:r>
          </w:p>
        </w:tc>
        <w:tc>
          <w:tcPr>
            <w:tcW w:w="3105" w:type="dxa"/>
            <w:vAlign w:val="center"/>
          </w:tcPr>
          <w:p>
            <w:pPr>
              <w:pStyle w:val="13"/>
            </w:pPr>
            <w:r>
              <w:t>一、因公出国（境）费</w:t>
            </w:r>
          </w:p>
        </w:tc>
        <w:tc>
          <w:tcPr>
            <w:tcW w:w="1463" w:type="dxa"/>
            <w:vAlign w:val="center"/>
          </w:tcPr>
          <w:p>
            <w:pPr>
              <w:pStyle w:val="12"/>
            </w:pPr>
          </w:p>
        </w:tc>
        <w:tc>
          <w:tcPr>
            <w:tcW w:w="1643" w:type="dxa"/>
            <w:vAlign w:val="center"/>
          </w:tcPr>
          <w:p>
            <w:pPr>
              <w:pStyle w:val="12"/>
            </w:pP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4</w:t>
            </w:r>
          </w:p>
        </w:tc>
        <w:tc>
          <w:tcPr>
            <w:tcW w:w="3105" w:type="dxa"/>
            <w:vAlign w:val="center"/>
          </w:tcPr>
          <w:p>
            <w:pPr>
              <w:pStyle w:val="13"/>
            </w:pPr>
            <w:r>
              <w:t xml:space="preserve">    其中：教学科研人员因公出国（境）费</w:t>
            </w:r>
          </w:p>
        </w:tc>
        <w:tc>
          <w:tcPr>
            <w:tcW w:w="1463" w:type="dxa"/>
            <w:vAlign w:val="center"/>
          </w:tcPr>
          <w:p>
            <w:pPr>
              <w:pStyle w:val="12"/>
            </w:pPr>
          </w:p>
        </w:tc>
        <w:tc>
          <w:tcPr>
            <w:tcW w:w="1643" w:type="dxa"/>
            <w:vAlign w:val="center"/>
          </w:tcPr>
          <w:p>
            <w:pPr>
              <w:pStyle w:val="12"/>
            </w:pP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5</w:t>
            </w:r>
          </w:p>
        </w:tc>
        <w:tc>
          <w:tcPr>
            <w:tcW w:w="3105" w:type="dxa"/>
            <w:vAlign w:val="center"/>
          </w:tcPr>
          <w:p>
            <w:pPr>
              <w:pStyle w:val="13"/>
            </w:pPr>
            <w:r>
              <w:t>其他因公出国（境）费</w:t>
            </w:r>
          </w:p>
        </w:tc>
        <w:tc>
          <w:tcPr>
            <w:tcW w:w="1463" w:type="dxa"/>
            <w:vAlign w:val="center"/>
          </w:tcPr>
          <w:p>
            <w:pPr>
              <w:pStyle w:val="12"/>
            </w:pPr>
          </w:p>
        </w:tc>
        <w:tc>
          <w:tcPr>
            <w:tcW w:w="1643" w:type="dxa"/>
            <w:vAlign w:val="center"/>
          </w:tcPr>
          <w:p>
            <w:pPr>
              <w:pStyle w:val="12"/>
            </w:pP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6</w:t>
            </w:r>
          </w:p>
        </w:tc>
        <w:tc>
          <w:tcPr>
            <w:tcW w:w="3105" w:type="dxa"/>
            <w:vAlign w:val="center"/>
          </w:tcPr>
          <w:p>
            <w:pPr>
              <w:pStyle w:val="13"/>
            </w:pPr>
            <w:r>
              <w:t>二、公务用车购置及运维费</w:t>
            </w:r>
          </w:p>
        </w:tc>
        <w:tc>
          <w:tcPr>
            <w:tcW w:w="146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7</w:t>
            </w:r>
          </w:p>
        </w:tc>
        <w:tc>
          <w:tcPr>
            <w:tcW w:w="3105" w:type="dxa"/>
            <w:vAlign w:val="center"/>
          </w:tcPr>
          <w:p>
            <w:pPr>
              <w:pStyle w:val="13"/>
            </w:pPr>
            <w:r>
              <w:t>其中：公务用车购置费</w:t>
            </w:r>
          </w:p>
        </w:tc>
        <w:tc>
          <w:tcPr>
            <w:tcW w:w="1463" w:type="dxa"/>
            <w:vAlign w:val="center"/>
          </w:tcPr>
          <w:p>
            <w:pPr>
              <w:pStyle w:val="12"/>
              <w:rPr>
                <w:rFonts w:hint="eastAsia" w:eastAsia="方正书宋_GBK"/>
                <w:lang w:val="en-US" w:eastAsia="zh-CN"/>
              </w:rPr>
            </w:pPr>
            <w:r>
              <w:rPr>
                <w:rFonts w:hint="eastAsia"/>
                <w:lang w:val="en-US" w:eastAsia="zh-CN"/>
              </w:rPr>
              <w:t>0</w:t>
            </w:r>
          </w:p>
        </w:tc>
        <w:tc>
          <w:tcPr>
            <w:tcW w:w="1643" w:type="dxa"/>
            <w:vAlign w:val="center"/>
          </w:tcPr>
          <w:p>
            <w:pPr>
              <w:pStyle w:val="12"/>
              <w:rPr>
                <w:rFonts w:hint="eastAsia" w:eastAsia="方正书宋_GBK"/>
                <w:lang w:val="en-US" w:eastAsia="zh-CN"/>
              </w:rPr>
            </w:pPr>
            <w:r>
              <w:rPr>
                <w:rFonts w:hint="eastAsia"/>
                <w:lang w:val="en-US" w:eastAsia="zh-CN"/>
              </w:rPr>
              <w:t>0</w:t>
            </w: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8</w:t>
            </w:r>
          </w:p>
        </w:tc>
        <w:tc>
          <w:tcPr>
            <w:tcW w:w="3105" w:type="dxa"/>
            <w:vAlign w:val="center"/>
          </w:tcPr>
          <w:p>
            <w:pPr>
              <w:pStyle w:val="13"/>
            </w:pPr>
            <w:r>
              <w:t>公务用车运行维护费</w:t>
            </w:r>
          </w:p>
        </w:tc>
        <w:tc>
          <w:tcPr>
            <w:tcW w:w="146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rPr>
                <w:rFonts w:hint="default" w:eastAsia="方正书宋_GBK"/>
                <w:lang w:val="en-US" w:eastAsia="zh-CN"/>
              </w:rPr>
            </w:pPr>
            <w:r>
              <w:rPr>
                <w:rFonts w:hint="eastAsia"/>
                <w:lang w:val="en-US" w:eastAsia="zh-CN"/>
              </w:rPr>
              <w:t>4.4</w:t>
            </w:r>
          </w:p>
        </w:tc>
        <w:tc>
          <w:tcPr>
            <w:tcW w:w="1643" w:type="dxa"/>
            <w:vAlign w:val="center"/>
          </w:tcPr>
          <w:p>
            <w:pPr>
              <w:pStyle w:val="12"/>
            </w:pPr>
          </w:p>
        </w:tc>
        <w:tc>
          <w:tcPr>
            <w:tcW w:w="242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19" w:type="dxa"/>
            <w:vAlign w:val="center"/>
          </w:tcPr>
          <w:p>
            <w:pPr>
              <w:pStyle w:val="14"/>
              <w:rPr>
                <w:rFonts w:hint="eastAsia" w:eastAsia="方正书宋_GBK"/>
                <w:lang w:val="en-US" w:eastAsia="zh-CN"/>
              </w:rPr>
            </w:pPr>
            <w:r>
              <w:rPr>
                <w:rFonts w:hint="eastAsia"/>
                <w:lang w:val="en-US" w:eastAsia="zh-CN"/>
              </w:rPr>
              <w:t>9</w:t>
            </w:r>
          </w:p>
        </w:tc>
        <w:tc>
          <w:tcPr>
            <w:tcW w:w="3105" w:type="dxa"/>
            <w:vAlign w:val="center"/>
          </w:tcPr>
          <w:p>
            <w:pPr>
              <w:pStyle w:val="13"/>
            </w:pPr>
            <w:r>
              <w:t>三、公务接待费</w:t>
            </w:r>
          </w:p>
        </w:tc>
        <w:tc>
          <w:tcPr>
            <w:tcW w:w="1463" w:type="dxa"/>
            <w:vAlign w:val="center"/>
          </w:tcPr>
          <w:p>
            <w:pPr>
              <w:pStyle w:val="12"/>
            </w:pPr>
          </w:p>
        </w:tc>
        <w:tc>
          <w:tcPr>
            <w:tcW w:w="1643" w:type="dxa"/>
            <w:vAlign w:val="center"/>
          </w:tcPr>
          <w:p>
            <w:pPr>
              <w:pStyle w:val="12"/>
            </w:pPr>
          </w:p>
        </w:tc>
        <w:tc>
          <w:tcPr>
            <w:tcW w:w="1643" w:type="dxa"/>
            <w:vAlign w:val="center"/>
          </w:tcPr>
          <w:p>
            <w:pPr>
              <w:pStyle w:val="12"/>
            </w:pPr>
          </w:p>
        </w:tc>
        <w:tc>
          <w:tcPr>
            <w:tcW w:w="242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石家庄市藁城区南孟镇人民政府2024年部门预算信息公开情况说明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按照《中华人民共和国预算法》、《地方预决算公开操作规程》和《关于进一步推进预算公开工作的实施意见》规定，现将石家庄市藁城区南孟镇人民政府2024年部门预算公开如下：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根据《石家庄市藁城区南孟镇人民政府职能配置、内设机构和人员编制规定》， 石家庄市藁城区南孟镇人民政府的主要职责是：</w:t>
      </w:r>
    </w:p>
    <w:p>
      <w:pPr>
        <w:pStyle w:val="26"/>
      </w:pPr>
      <w:r>
        <w:t>(一)</w:t>
      </w:r>
      <w:r>
        <w:tab/>
      </w:r>
      <w:r>
        <w:t>政务管理。依法依规履行机关日常管理职责，依法依规履行机关日常管理职责，确保政府工作正常运行。</w:t>
      </w:r>
    </w:p>
    <w:p>
      <w:pPr>
        <w:pStyle w:val="26"/>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pPr>
        <w:pStyle w:val="26"/>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6"/>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26"/>
      </w:pPr>
      <w:r>
        <w:t>(五)</w:t>
      </w:r>
      <w:r>
        <w:tab/>
      </w:r>
      <w:r>
        <w:t>加强土地使用管理。管理土地使用情况管理汇报，依法依规管理土地使用，配合上级土地部门对土地使用监督</w:t>
      </w:r>
    </w:p>
    <w:p>
      <w:pPr>
        <w:pStyle w:val="26"/>
      </w:pPr>
      <w:r>
        <w:t>(六)</w:t>
      </w:r>
      <w:r>
        <w:tab/>
      </w:r>
      <w:r>
        <w:t>环境保护与治理。承担环境保护和治理环境污染，积极配合执法部门依法治理大气、水、土地等污染</w:t>
      </w:r>
    </w:p>
    <w:p>
      <w:pPr>
        <w:pStyle w:val="26"/>
      </w:pPr>
      <w:r>
        <w:t>(七)</w:t>
      </w:r>
      <w:r>
        <w:tab/>
      </w:r>
      <w:r>
        <w:t>食品安全管理。配合执法部门依法进行食品安全管理，对辖区内食品药品等进行监管</w:t>
      </w:r>
    </w:p>
    <w:p>
      <w:pPr>
        <w:pStyle w:val="26"/>
      </w:pPr>
      <w:r>
        <w:t>(八)</w:t>
      </w:r>
      <w:r>
        <w:tab/>
      </w:r>
      <w:r>
        <w:t>社会救助政策及管理</w:t>
      </w:r>
      <w:r>
        <w:tab/>
      </w:r>
      <w:r>
        <w:t>承担社会救助体系建设，负责农村居民最低生活保障、五保供养、医疗救助。完善农村社会救助制度，实施分类救助，应保尽保,动态管理。</w:t>
      </w:r>
    </w:p>
    <w:p>
      <w:pPr>
        <w:pStyle w:val="26"/>
      </w:pPr>
      <w:r>
        <w:t>(九)</w:t>
      </w:r>
      <w:r>
        <w:tab/>
      </w:r>
      <w:r>
        <w:t>预算管理。负责镇财政预算管理与执行，保证镇机关正常运转。</w:t>
      </w:r>
    </w:p>
    <w:p>
      <w:pPr>
        <w:pStyle w:val="26"/>
      </w:pPr>
      <w:r>
        <w:t>(十)</w:t>
      </w:r>
      <w:r>
        <w:tab/>
      </w:r>
      <w:r>
        <w:t>财务管理。负责镇机关收支活动，组织实施乡财务核算及监督工作</w:t>
      </w:r>
      <w:r>
        <w:tab/>
      </w:r>
      <w:r>
        <w:t>以收定支，合理安排支出，严防出现资金支出不规范现象发生。</w:t>
      </w:r>
    </w:p>
    <w:p>
      <w:pPr>
        <w:pStyle w:val="26"/>
      </w:pPr>
      <w:r>
        <w:t>(十一)</w:t>
      </w:r>
      <w:r>
        <w:tab/>
      </w:r>
      <w:r>
        <w:t>村财镇代管。负责村级财务核算及监督工作对村级财务进行规范化管理，严防支出票据不规范现象发生。</w:t>
      </w:r>
    </w:p>
    <w:p>
      <w:pPr>
        <w:pStyle w:val="26"/>
      </w:pPr>
      <w:r>
        <w:t>(十二)</w:t>
      </w:r>
      <w:r>
        <w:tab/>
      </w:r>
      <w:r>
        <w:t>涉农资金。负责涉农资金的落实，将各项涉农资金兑付落实，监督管理资金的合理有效使用。</w:t>
      </w:r>
    </w:p>
    <w:p>
      <w:pPr>
        <w:pStyle w:val="26"/>
      </w:pPr>
      <w:r>
        <w:t>(十三)</w:t>
      </w:r>
      <w:r>
        <w:tab/>
      </w:r>
      <w:r>
        <w:t>国有资产管理。负责管理镇国有资产，加强国有资产管理，严防国有资产流失</w:t>
      </w:r>
    </w:p>
    <w:p>
      <w:pPr>
        <w:pStyle w:val="26"/>
      </w:pPr>
      <w:r>
        <w:t>(十四)</w:t>
      </w:r>
      <w:r>
        <w:tab/>
      </w:r>
      <w:r>
        <w:t>债权债务管理。实施债权债务监督管理实施债权债务监督管理，杜绝增加政府债务。</w:t>
      </w:r>
    </w:p>
    <w:p>
      <w:pPr>
        <w:pStyle w:val="26"/>
      </w:pPr>
      <w:r>
        <w:t>(十五)</w:t>
      </w:r>
      <w:r>
        <w:tab/>
      </w:r>
      <w:r>
        <w:t>农村管理。农村村容村貌维护提升、农村卫生长效管理及新农村建设</w:t>
      </w:r>
    </w:p>
    <w:p>
      <w:pPr>
        <w:pStyle w:val="26"/>
      </w:pPr>
      <w:r>
        <w:t>(十六)</w:t>
      </w:r>
      <w:r>
        <w:tab/>
      </w:r>
      <w:r>
        <w:t>政务管理。落实计生相关法律法规，业务宣传工作，加强计生能力建设,落实计划生育一票否决制保障计生事业顺利发展。</w:t>
      </w:r>
    </w:p>
    <w:p>
      <w:pPr>
        <w:pStyle w:val="26"/>
      </w:pPr>
      <w:r>
        <w:t>(十七)</w:t>
      </w:r>
      <w:r>
        <w:tab/>
      </w:r>
      <w:r>
        <w:t>计生服务。开展计划生育各种知识宣传和咨询服务保障计生事业顺利发展。</w:t>
      </w:r>
    </w:p>
    <w:p>
      <w:pPr>
        <w:pStyle w:val="26"/>
      </w:pPr>
      <w:r>
        <w:t>(十八)</w:t>
      </w:r>
      <w:r>
        <w:tab/>
      </w:r>
      <w:r>
        <w:t>社会管理。综合治理调解矛盾纠纷，搞好普法宣传教育，做好社区矫正人员教育管理和刑释人员帮教工作，保持稳定局面，提高干部群众的法律素质。</w:t>
      </w:r>
    </w:p>
    <w:p>
      <w:pPr>
        <w:pStyle w:val="26"/>
      </w:pPr>
      <w:r>
        <w:t>(十九)</w:t>
      </w:r>
      <w:r>
        <w:tab/>
      </w:r>
      <w:r>
        <w:t>美丽乡村建设。抓好环境整治，搞好重点村的垃圾处理、饮水安全、道路硬化和亮化等，改善农村面貌，提高村民生产生活环境质量。</w:t>
      </w:r>
    </w:p>
    <w:p>
      <w:pPr>
        <w:pStyle w:val="26"/>
      </w:pPr>
      <w:r>
        <w:t>(二十)</w:t>
      </w:r>
      <w:r>
        <w:tab/>
      </w:r>
      <w:r>
        <w:t>安全生产。排查企业安全隐患，抓好安监站规范化建设，完善制度，定期开展安全生产整治活动，通过抓安全生产工作，杜绝辖区各类安全生产事故发生，保证群众生命财产安全</w:t>
      </w:r>
    </w:p>
    <w:p>
      <w:pPr>
        <w:pStyle w:val="26"/>
      </w:pPr>
      <w:r>
        <w:t>(二十一)城市建设。配合有关部门做好城建项目、商业项目及工程的占地拆迁、补偿等工作。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石家庄市藁城区南孟镇人民政府本级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反映本部门当年全部收入。2024年预算收入1931.48万元，其中：一般公共预算收入1931.48万元，基金预算收入0万元，财政专户核拨收入0万元，其他来源收入0万元。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1931.48万元，其中基本支出1134.62万元，包括人员经费969.12万元和日常公用经费165.5万元；项目支出796.86万元，主要是石财预[2022]56号关于提前下达2023年革命老区转移支付预算的通知（康村）100万；石财农【2022】89号关于提前下达2023年省级农村综合改革转移支付预算的通知57.1511万元；石财预[2022]56号关于提前下达2023年革命老区转移支付预算的通知（北堤里）143万元，石财预【2023】23号关于下达2023年革命老区转移支付预算的通知（康村）7万元；石财预【2023】40号关于提前下达2024年革命老区转移支付预算的通知（南孟村）130万元；石财预【2023】23号关于下达2023年革命老区转移支付预算的通知（北堤里）47万元；综合公用经费(土地流转费）41.86万元；公用经费（联防队员工资）25.14万元；学区工会费17万元；政府工会费4万元；原经贸系统关闭企业下放回乡的合同工、副业工涉军人员生活补贴6.312万元；公用经费（机关运转保障）32万元；金五线绿化占地补偿支出6.7万元；农村独生子女费4.7万元；镇政府修缮及其他综合工作经费175万元。其他支出0万元。</w:t>
      </w:r>
    </w:p>
    <w:p>
      <w:pPr>
        <w:pStyle w:val="19"/>
      </w:pPr>
      <w:r>
        <w:t>3、比上年增减情况</w:t>
      </w:r>
    </w:p>
    <w:p>
      <w:pPr>
        <w:pStyle w:val="19"/>
      </w:pPr>
      <w:r>
        <w:t>2024年部门预算收支安排1931.48万元，较2023年增加336.53万元，其中：基本支出增加11.35万元，主要是人员增资；项目支出增加325.18万元，主要是增加革命老区项目资金；其他支出无增减变化。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165.5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4.4万元，其中：因公出国（境）费0万元，与上年持平，无增减变化；公务用车购置及运维费4.4万元（其中：公务用车购置费0万元，与上年持平；公务用车运行维护费4.4万元，与上年持平)；公务接待费0万元，与上年持平。“三公”经费与上年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党的二十大精神，认真落实各级党委、政府的重大决策部署，坚定不移贯彻新发展理念，坚持稳中求进总基调，打造在全市争先进、全区当排头、事事争一流的经济强镇、幸福南孟。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一、加强政务管理</w:t>
      </w:r>
    </w:p>
    <w:p>
      <w:pPr>
        <w:pStyle w:val="23"/>
      </w:pPr>
      <w:r>
        <w:t>绩效目标：保障机关日常运转，各项工作正常开展。</w:t>
      </w:r>
    </w:p>
    <w:p>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90%以上，群众对工作满意度达到90%以上。</w:t>
      </w:r>
    </w:p>
    <w:p>
      <w:pPr>
        <w:pStyle w:val="23"/>
      </w:pPr>
      <w:r>
        <w:t>二、加快建设现代农村</w:t>
      </w:r>
    </w:p>
    <w:p>
      <w:pPr>
        <w:pStyle w:val="23"/>
      </w:pPr>
      <w:r>
        <w:t>绩效目标：全区域、高标准推进农村人居环境整治工作。</w:t>
      </w:r>
    </w:p>
    <w:p>
      <w:pPr>
        <w:pStyle w:val="23"/>
      </w:pPr>
      <w:r>
        <w:t>绩效指标：实施村庄清洁和绿化、美化等专项行动，巩固农村生活垃圾处理成效，提高污水治理水平，加快形成干净、整洁、有序、美观的村庄环境。工作目标完成率90%以上，群众对工作满意度达到90%以上。</w:t>
      </w:r>
    </w:p>
    <w:p>
      <w:pPr>
        <w:pStyle w:val="23"/>
      </w:pPr>
      <w:r>
        <w:t>三、坚持以人民为中心，着力保障和改善民生</w:t>
      </w:r>
    </w:p>
    <w:p>
      <w:pPr>
        <w:pStyle w:val="23"/>
      </w:pPr>
      <w:r>
        <w:t>绩效目标：抓好民生保障及稳定。</w:t>
      </w:r>
    </w:p>
    <w:p>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t>（三）加强绩效运行监控。按要求开展绩效运行监控，全程跟踪预算执行进度，对执行过程中发现的问题及时反馈，制定切实可行举措，确保绩效目标如期保质实现。</w:t>
      </w:r>
    </w:p>
    <w:p>
      <w:pPr>
        <w:pStyle w:val="24"/>
      </w:pPr>
      <w:r>
        <w:t>（四）做好绩效自评。积极开展年度部门预算绩效自评和重点评价工作，在自评中发现问题并及时整改解决，开展重点评价工作，调整优化重大项目支出结构，提高财政资金使用效益。</w:t>
      </w:r>
    </w:p>
    <w:p>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r>
        <w:rPr>
          <w:rFonts w:hint="eastAsia" w:ascii="仿宋" w:hAnsi="仿宋" w:eastAsia="仿宋" w:cs="方正楷体_GBK"/>
          <w:color w:val="000000"/>
          <w:sz w:val="32"/>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1、公用经费（机关运转保障）绩效目标表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13010924P00003910106X</w:t>
            </w:r>
          </w:p>
        </w:tc>
        <w:tc>
          <w:tcPr>
            <w:tcW w:w="2835" w:type="dxa"/>
            <w:vAlign w:val="center"/>
          </w:tcPr>
          <w:p>
            <w:pPr>
              <w:pStyle w:val="11"/>
            </w:pPr>
            <w:r>
              <w:t>项目名称</w:t>
            </w:r>
          </w:p>
        </w:tc>
        <w:tc>
          <w:tcPr>
            <w:tcW w:w="6094" w:type="dxa"/>
            <w:gridSpan w:val="3"/>
            <w:vAlign w:val="center"/>
          </w:tcPr>
          <w:p>
            <w:pPr>
              <w:pStyle w:val="13"/>
            </w:pPr>
            <w:r>
              <w:t>公用经费（机关运转保障）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统筹南孟镇环保、土地、信访、武装,安全生产、食品安全、社会综合治理、伙食补贴等工作经费支出，保障各项工作正常开展。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1.统筹南孟镇环保、土地、信访、武装,安全生产、食品安全、社会综合治理、伙食补贴等工作经费支出，保障各项工作正常开展。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公用经费的项目数量</w:t>
            </w:r>
          </w:p>
        </w:tc>
        <w:tc>
          <w:tcPr>
            <w:tcW w:w="5386" w:type="dxa"/>
            <w:vAlign w:val="center"/>
          </w:tcPr>
          <w:p>
            <w:pPr>
              <w:pStyle w:val="13"/>
            </w:pPr>
            <w:r>
              <w:t>为环保等8项工作顺利开展提供足额资金</w:t>
            </w:r>
          </w:p>
        </w:tc>
        <w:tc>
          <w:tcPr>
            <w:tcW w:w="2268" w:type="dxa"/>
            <w:vAlign w:val="center"/>
          </w:tcPr>
          <w:p>
            <w:pPr>
              <w:pStyle w:val="13"/>
            </w:pPr>
            <w:r>
              <w:t>≥8项</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当年镇政府各项工作完成进度</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按时完成上级安排的环保等8项工作</w:t>
            </w:r>
          </w:p>
        </w:tc>
        <w:tc>
          <w:tcPr>
            <w:tcW w:w="2268" w:type="dxa"/>
            <w:vAlign w:val="center"/>
          </w:tcPr>
          <w:p>
            <w:pPr>
              <w:pStyle w:val="13"/>
            </w:pPr>
            <w:r>
              <w:t>按时完成上级安排的环保等8项工作</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经费标准</w:t>
            </w:r>
          </w:p>
        </w:tc>
        <w:tc>
          <w:tcPr>
            <w:tcW w:w="5386" w:type="dxa"/>
            <w:vAlign w:val="center"/>
          </w:tcPr>
          <w:p>
            <w:pPr>
              <w:pStyle w:val="13"/>
            </w:pPr>
            <w:r>
              <w:t>经费等使用标准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各项工作在全镇形成的重要影响得到认可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13010924P00003910107H</w:t>
            </w:r>
          </w:p>
        </w:tc>
        <w:tc>
          <w:tcPr>
            <w:tcW w:w="2835" w:type="dxa"/>
            <w:vAlign w:val="center"/>
          </w:tcPr>
          <w:p>
            <w:pPr>
              <w:pStyle w:val="11"/>
            </w:pPr>
            <w:r>
              <w:t>项目名称</w:t>
            </w:r>
          </w:p>
        </w:tc>
        <w:tc>
          <w:tcPr>
            <w:tcW w:w="6094" w:type="dxa"/>
            <w:gridSpan w:val="3"/>
            <w:vAlign w:val="center"/>
          </w:tcPr>
          <w:p>
            <w:pPr>
              <w:pStyle w:val="13"/>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25.14</w:t>
            </w:r>
          </w:p>
        </w:tc>
        <w:tc>
          <w:tcPr>
            <w:tcW w:w="2835" w:type="dxa"/>
            <w:vAlign w:val="center"/>
          </w:tcPr>
          <w:p>
            <w:pPr>
              <w:pStyle w:val="11"/>
            </w:pPr>
            <w:r>
              <w:t>其中：财政    资金</w:t>
            </w:r>
          </w:p>
        </w:tc>
        <w:tc>
          <w:tcPr>
            <w:tcW w:w="2551" w:type="dxa"/>
            <w:vAlign w:val="center"/>
          </w:tcPr>
          <w:p>
            <w:pPr>
              <w:pStyle w:val="13"/>
            </w:pPr>
            <w:r>
              <w:t>25.14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确保联防队员工资发放到位，加强巡逻，保障社会治安稳定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1.确保联防队员工资发放到位，加强巡逻，保障社会治安稳定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拨付安保人数</w:t>
            </w:r>
          </w:p>
        </w:tc>
        <w:tc>
          <w:tcPr>
            <w:tcW w:w="5386" w:type="dxa"/>
            <w:vAlign w:val="center"/>
          </w:tcPr>
          <w:p>
            <w:pPr>
              <w:pStyle w:val="13"/>
            </w:pPr>
            <w:r>
              <w:t>联防队员工资发放人数</w:t>
            </w:r>
          </w:p>
        </w:tc>
        <w:tc>
          <w:tcPr>
            <w:tcW w:w="2268" w:type="dxa"/>
            <w:vAlign w:val="center"/>
          </w:tcPr>
          <w:p>
            <w:pPr>
              <w:pStyle w:val="13"/>
            </w:pPr>
            <w:r>
              <w:t>8名</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发放资金效率</w:t>
            </w:r>
          </w:p>
        </w:tc>
        <w:tc>
          <w:tcPr>
            <w:tcW w:w="5386" w:type="dxa"/>
            <w:vAlign w:val="center"/>
          </w:tcPr>
          <w:p>
            <w:pPr>
              <w:pStyle w:val="13"/>
            </w:pPr>
            <w:r>
              <w:t>按照安排资金数量发放经费</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资金及时发放</w:t>
            </w:r>
          </w:p>
        </w:tc>
        <w:tc>
          <w:tcPr>
            <w:tcW w:w="5386" w:type="dxa"/>
            <w:vAlign w:val="center"/>
          </w:tcPr>
          <w:p>
            <w:pPr>
              <w:pStyle w:val="13"/>
            </w:pPr>
            <w:r>
              <w:t>工资及时发放</w:t>
            </w:r>
          </w:p>
        </w:tc>
        <w:tc>
          <w:tcPr>
            <w:tcW w:w="2268" w:type="dxa"/>
            <w:vAlign w:val="center"/>
          </w:tcPr>
          <w:p>
            <w:pPr>
              <w:pStyle w:val="13"/>
            </w:pPr>
            <w:r>
              <w:t>按月发放工资</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工资标准</w:t>
            </w:r>
          </w:p>
        </w:tc>
        <w:tc>
          <w:tcPr>
            <w:tcW w:w="5386" w:type="dxa"/>
            <w:vAlign w:val="center"/>
          </w:tcPr>
          <w:p>
            <w:pPr>
              <w:pStyle w:val="13"/>
            </w:pPr>
            <w:r>
              <w:t>工资标准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工作在全镇形成的重要影响得到认可</w:t>
            </w:r>
          </w:p>
        </w:tc>
        <w:tc>
          <w:tcPr>
            <w:tcW w:w="2268" w:type="dxa"/>
            <w:vAlign w:val="center"/>
          </w:tcPr>
          <w:p>
            <w:pPr>
              <w:pStyle w:val="13"/>
            </w:pPr>
            <w:r>
              <w:t>≥90百分比</w:t>
            </w:r>
          </w:p>
          <w:p>
            <w:pPr>
              <w:pStyle w:val="13"/>
            </w:pP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群众对各项工作的满意度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3、公用经费（土地流转费）绩效目标表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13010924P000039101085</w:t>
            </w:r>
          </w:p>
        </w:tc>
        <w:tc>
          <w:tcPr>
            <w:tcW w:w="2835" w:type="dxa"/>
            <w:vAlign w:val="center"/>
          </w:tcPr>
          <w:p>
            <w:pPr>
              <w:pStyle w:val="11"/>
            </w:pPr>
            <w:r>
              <w:t>项目名称</w:t>
            </w:r>
          </w:p>
        </w:tc>
        <w:tc>
          <w:tcPr>
            <w:tcW w:w="6094" w:type="dxa"/>
            <w:gridSpan w:val="3"/>
            <w:vAlign w:val="center"/>
          </w:tcPr>
          <w:p>
            <w:pPr>
              <w:pStyle w:val="13"/>
            </w:pPr>
            <w:r>
              <w:t>公用经费（土地流转费）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41.86</w:t>
            </w:r>
          </w:p>
        </w:tc>
        <w:tc>
          <w:tcPr>
            <w:tcW w:w="2835" w:type="dxa"/>
            <w:vAlign w:val="center"/>
          </w:tcPr>
          <w:p>
            <w:pPr>
              <w:pStyle w:val="11"/>
            </w:pPr>
            <w:r>
              <w:t>其中：财政    资金</w:t>
            </w:r>
          </w:p>
        </w:tc>
        <w:tc>
          <w:tcPr>
            <w:tcW w:w="2551" w:type="dxa"/>
            <w:vAlign w:val="center"/>
          </w:tcPr>
          <w:p>
            <w:pPr>
              <w:pStyle w:val="13"/>
            </w:pPr>
            <w:r>
              <w:t>41.86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确保土地流转费发放到位，更好的做好相关工作。</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1.确保土地流转费发放到位，更好的做好相关工作。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拨付土地流转费亩数</w:t>
            </w:r>
          </w:p>
        </w:tc>
        <w:tc>
          <w:tcPr>
            <w:tcW w:w="2268" w:type="dxa"/>
            <w:vAlign w:val="center"/>
          </w:tcPr>
          <w:p>
            <w:pPr>
              <w:pStyle w:val="13"/>
            </w:pPr>
            <w:r>
              <w:t>149.5亩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土地流转费足额发放</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w:t>
            </w:r>
          </w:p>
        </w:tc>
        <w:tc>
          <w:tcPr>
            <w:tcW w:w="5386" w:type="dxa"/>
            <w:vAlign w:val="center"/>
          </w:tcPr>
          <w:p>
            <w:pPr>
              <w:pStyle w:val="13"/>
            </w:pPr>
            <w:r>
              <w:t>按照合同签到的拨付时间拨付</w:t>
            </w:r>
          </w:p>
        </w:tc>
        <w:tc>
          <w:tcPr>
            <w:tcW w:w="2268" w:type="dxa"/>
            <w:vAlign w:val="center"/>
          </w:tcPr>
          <w:p>
            <w:pPr>
              <w:pStyle w:val="13"/>
            </w:pPr>
            <w:r>
              <w:t>按照合同签到的拨付时间拨付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土地流转费用</w:t>
            </w:r>
          </w:p>
        </w:tc>
        <w:tc>
          <w:tcPr>
            <w:tcW w:w="5386" w:type="dxa"/>
            <w:vAlign w:val="center"/>
          </w:tcPr>
          <w:p>
            <w:pPr>
              <w:pStyle w:val="13"/>
            </w:pPr>
            <w:r>
              <w:t>土地流转费用</w:t>
            </w:r>
          </w:p>
        </w:tc>
        <w:tc>
          <w:tcPr>
            <w:tcW w:w="2268" w:type="dxa"/>
            <w:vAlign w:val="center"/>
          </w:tcPr>
          <w:p>
            <w:pPr>
              <w:pStyle w:val="13"/>
            </w:pPr>
            <w:r>
              <w:t>按实际执行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拨付工作在全镇形成的重要影响得到广大群众的认可</w:t>
            </w:r>
          </w:p>
        </w:tc>
        <w:tc>
          <w:tcPr>
            <w:tcW w:w="2268" w:type="dxa"/>
            <w:vAlign w:val="center"/>
          </w:tcPr>
          <w:p>
            <w:pPr>
              <w:pStyle w:val="13"/>
            </w:pPr>
            <w:r>
              <w:t>≥90百分比</w:t>
            </w:r>
          </w:p>
          <w:p>
            <w:pPr>
              <w:pStyle w:val="13"/>
            </w:pP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群众对各项工作的满意度</w:t>
            </w:r>
          </w:p>
        </w:tc>
        <w:tc>
          <w:tcPr>
            <w:tcW w:w="2268" w:type="dxa"/>
            <w:vAlign w:val="center"/>
          </w:tcPr>
          <w:p>
            <w:pPr>
              <w:pStyle w:val="13"/>
            </w:pPr>
            <w:r>
              <w:t>≥90百分比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4、金五公路占地补贴绩效目标表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13010924P00003910109Q</w:t>
            </w:r>
          </w:p>
        </w:tc>
        <w:tc>
          <w:tcPr>
            <w:tcW w:w="2835" w:type="dxa"/>
            <w:vAlign w:val="center"/>
          </w:tcPr>
          <w:p>
            <w:pPr>
              <w:pStyle w:val="11"/>
            </w:pPr>
            <w:r>
              <w:t>项目名称</w:t>
            </w:r>
          </w:p>
        </w:tc>
        <w:tc>
          <w:tcPr>
            <w:tcW w:w="6094" w:type="dxa"/>
            <w:gridSpan w:val="3"/>
            <w:vAlign w:val="center"/>
          </w:tcPr>
          <w:p>
            <w:pPr>
              <w:pStyle w:val="13"/>
            </w:pPr>
            <w:r>
              <w:t>金五公路占地补贴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w:t>
            </w:r>
          </w:p>
        </w:tc>
        <w:tc>
          <w:tcPr>
            <w:tcW w:w="2835" w:type="dxa"/>
            <w:vAlign w:val="center"/>
          </w:tcPr>
          <w:p>
            <w:pPr>
              <w:pStyle w:val="11"/>
            </w:pPr>
            <w:r>
              <w:t>其中：财政    资金</w:t>
            </w:r>
          </w:p>
        </w:tc>
        <w:tc>
          <w:tcPr>
            <w:tcW w:w="2551" w:type="dxa"/>
            <w:vAlign w:val="center"/>
          </w:tcPr>
          <w:p>
            <w:pPr>
              <w:pStyle w:val="13"/>
            </w:pPr>
            <w:r>
              <w:t>6.70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预算资金6.7万元，及时拨付金五公路占地补贴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1.预算资金6.7万元，及时拨付金五公路占地补贴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补偿亩数</w:t>
            </w:r>
          </w:p>
        </w:tc>
        <w:tc>
          <w:tcPr>
            <w:tcW w:w="5386" w:type="dxa"/>
            <w:vAlign w:val="center"/>
          </w:tcPr>
          <w:p>
            <w:pPr>
              <w:pStyle w:val="13"/>
            </w:pPr>
            <w:r>
              <w:t>拨付占地补亩数</w:t>
            </w:r>
          </w:p>
        </w:tc>
        <w:tc>
          <w:tcPr>
            <w:tcW w:w="2268" w:type="dxa"/>
            <w:vAlign w:val="center"/>
          </w:tcPr>
          <w:p>
            <w:pPr>
              <w:pStyle w:val="13"/>
            </w:pPr>
            <w:r>
              <w:t>335亩</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p>
            <w:pPr>
              <w:pStyle w:val="13"/>
            </w:pPr>
          </w:p>
        </w:tc>
        <w:tc>
          <w:tcPr>
            <w:tcW w:w="5386" w:type="dxa"/>
            <w:vAlign w:val="center"/>
          </w:tcPr>
          <w:p>
            <w:pPr>
              <w:pStyle w:val="13"/>
            </w:pPr>
            <w:r>
              <w:t>资金发放完成率</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w:t>
            </w:r>
          </w:p>
        </w:tc>
        <w:tc>
          <w:tcPr>
            <w:tcW w:w="5386" w:type="dxa"/>
            <w:vAlign w:val="center"/>
          </w:tcPr>
          <w:p>
            <w:pPr>
              <w:pStyle w:val="13"/>
            </w:pPr>
            <w:r>
              <w:t>资金发放及时</w:t>
            </w:r>
          </w:p>
        </w:tc>
        <w:tc>
          <w:tcPr>
            <w:tcW w:w="2268" w:type="dxa"/>
            <w:vAlign w:val="center"/>
          </w:tcPr>
          <w:p>
            <w:pPr>
              <w:pStyle w:val="13"/>
            </w:pPr>
            <w:r>
              <w:t>按照合同签订的拨付时间及时拨付</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占地补偿标准</w:t>
            </w:r>
          </w:p>
        </w:tc>
        <w:tc>
          <w:tcPr>
            <w:tcW w:w="2268" w:type="dxa"/>
            <w:vAlign w:val="center"/>
          </w:tcPr>
          <w:p>
            <w:pPr>
              <w:pStyle w:val="13"/>
            </w:pPr>
            <w:r>
              <w:t>每亩的占地补偿费800元</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拨付工作在全镇形成的重要影响得到认可</w:t>
            </w:r>
          </w:p>
        </w:tc>
        <w:tc>
          <w:tcPr>
            <w:tcW w:w="2268" w:type="dxa"/>
            <w:vAlign w:val="center"/>
          </w:tcPr>
          <w:p>
            <w:pPr>
              <w:pStyle w:val="13"/>
            </w:pPr>
            <w:r>
              <w:t>≥90百分比</w:t>
            </w:r>
          </w:p>
          <w:p>
            <w:pPr>
              <w:pStyle w:val="13"/>
            </w:pP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≥90是否达到绩效指标值</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13010924P000039101104</w:t>
            </w:r>
          </w:p>
        </w:tc>
        <w:tc>
          <w:tcPr>
            <w:tcW w:w="2835" w:type="dxa"/>
            <w:vAlign w:val="center"/>
          </w:tcPr>
          <w:p>
            <w:pPr>
              <w:pStyle w:val="11"/>
            </w:pPr>
            <w:r>
              <w:t>项目名称</w:t>
            </w:r>
          </w:p>
        </w:tc>
        <w:tc>
          <w:tcPr>
            <w:tcW w:w="6094" w:type="dxa"/>
            <w:gridSpan w:val="3"/>
            <w:vAlign w:val="center"/>
          </w:tcPr>
          <w:p>
            <w:pPr>
              <w:pStyle w:val="13"/>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w:t>
            </w:r>
          </w:p>
        </w:tc>
        <w:tc>
          <w:tcPr>
            <w:tcW w:w="2835" w:type="dxa"/>
            <w:vAlign w:val="center"/>
          </w:tcPr>
          <w:p>
            <w:pPr>
              <w:pStyle w:val="11"/>
            </w:pPr>
            <w:r>
              <w:t>其中：财政    资金</w:t>
            </w:r>
          </w:p>
        </w:tc>
        <w:tc>
          <w:tcPr>
            <w:tcW w:w="2551" w:type="dxa"/>
            <w:vAlign w:val="center"/>
          </w:tcPr>
          <w:p>
            <w:pPr>
              <w:pStyle w:val="13"/>
            </w:pPr>
            <w:r>
              <w:t>4.70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按照相关政策要求为农村独生子女家庭发放补助。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1.按照相关政策要求为农村独生子女家庭发放补助。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拨付独生子女费人数</w:t>
            </w:r>
          </w:p>
        </w:tc>
        <w:tc>
          <w:tcPr>
            <w:tcW w:w="2268" w:type="dxa"/>
            <w:vAlign w:val="center"/>
          </w:tcPr>
          <w:p>
            <w:pPr>
              <w:pStyle w:val="13"/>
            </w:pPr>
            <w:r>
              <w:t>≥2225人</w:t>
            </w:r>
          </w:p>
        </w:tc>
        <w:tc>
          <w:tcPr>
            <w:tcW w:w="1276" w:type="dxa"/>
            <w:vAlign w:val="center"/>
          </w:tcPr>
          <w:p>
            <w:pPr>
              <w:pStyle w:val="13"/>
            </w:pPr>
            <w:r>
              <w:t>独生子女家庭统计表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独生子女费足额发放</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w:t>
            </w:r>
          </w:p>
        </w:tc>
        <w:tc>
          <w:tcPr>
            <w:tcW w:w="5386" w:type="dxa"/>
            <w:vAlign w:val="center"/>
          </w:tcPr>
          <w:p>
            <w:pPr>
              <w:pStyle w:val="13"/>
            </w:pPr>
            <w:r>
              <w:t>发放及时</w:t>
            </w:r>
          </w:p>
        </w:tc>
        <w:tc>
          <w:tcPr>
            <w:tcW w:w="2268" w:type="dxa"/>
            <w:vAlign w:val="center"/>
          </w:tcPr>
          <w:p>
            <w:pPr>
              <w:pStyle w:val="13"/>
            </w:pPr>
            <w:r>
              <w:t>年末发放当年的全部补助款</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农村独生子女费标准</w:t>
            </w:r>
          </w:p>
        </w:tc>
        <w:tc>
          <w:tcPr>
            <w:tcW w:w="2268" w:type="dxa"/>
            <w:vAlign w:val="center"/>
          </w:tcPr>
          <w:p>
            <w:pPr>
              <w:pStyle w:val="13"/>
            </w:pPr>
            <w:r>
              <w:t>10元/每人每月</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拨付工作在全镇形成的重要影响得到群众认可</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6、石财农【2022】89号关于提前下达2023年省级农村综合改革转移支付预算的通知绩效目标表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13010923P00000110009X</w:t>
            </w:r>
          </w:p>
        </w:tc>
        <w:tc>
          <w:tcPr>
            <w:tcW w:w="2835" w:type="dxa"/>
            <w:vAlign w:val="center"/>
          </w:tcPr>
          <w:p>
            <w:pPr>
              <w:pStyle w:val="11"/>
            </w:pPr>
            <w:r>
              <w:t>项目名称</w:t>
            </w:r>
          </w:p>
        </w:tc>
        <w:tc>
          <w:tcPr>
            <w:tcW w:w="6094" w:type="dxa"/>
            <w:gridSpan w:val="3"/>
            <w:vAlign w:val="center"/>
          </w:tcPr>
          <w:p>
            <w:pPr>
              <w:pStyle w:val="13"/>
            </w:pPr>
            <w:r>
              <w:t>石财农【2022】89号关于提前下达2023年省级农村综合改革转移支付预算的通知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57.15</w:t>
            </w:r>
          </w:p>
        </w:tc>
        <w:tc>
          <w:tcPr>
            <w:tcW w:w="2835" w:type="dxa"/>
            <w:vAlign w:val="center"/>
          </w:tcPr>
          <w:p>
            <w:pPr>
              <w:pStyle w:val="11"/>
            </w:pPr>
            <w:r>
              <w:t>其中：财政    资金</w:t>
            </w:r>
          </w:p>
        </w:tc>
        <w:tc>
          <w:tcPr>
            <w:tcW w:w="2551" w:type="dxa"/>
            <w:vAlign w:val="center"/>
          </w:tcPr>
          <w:p>
            <w:pPr>
              <w:pStyle w:val="13"/>
            </w:pPr>
            <w:r>
              <w:t>57.15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石家庄市藁城区南孟镇西只甲村2023年农村综合改革示范村建设项目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1.完成藁城特色农产品电商交易中心项目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参加交易电商涉及村数量</w:t>
            </w:r>
          </w:p>
        </w:tc>
        <w:tc>
          <w:tcPr>
            <w:tcW w:w="5386" w:type="dxa"/>
            <w:vAlign w:val="center"/>
          </w:tcPr>
          <w:p>
            <w:pPr>
              <w:pStyle w:val="13"/>
            </w:pPr>
            <w:r>
              <w:t>参加交易电商涉及村数量</w:t>
            </w:r>
          </w:p>
        </w:tc>
        <w:tc>
          <w:tcPr>
            <w:tcW w:w="2268" w:type="dxa"/>
            <w:vAlign w:val="center"/>
          </w:tcPr>
          <w:p>
            <w:pPr>
              <w:pStyle w:val="13"/>
            </w:pPr>
            <w:r>
              <w:t>14个</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150万元</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拉动地方经济发展</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7、石财预[2022]56号关于提前下达2023年革命老区转移支付预算的通知（北堤里）绩效目标表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13010923P00003910021U</w:t>
            </w:r>
          </w:p>
        </w:tc>
        <w:tc>
          <w:tcPr>
            <w:tcW w:w="2835" w:type="dxa"/>
            <w:vAlign w:val="center"/>
          </w:tcPr>
          <w:p>
            <w:pPr>
              <w:pStyle w:val="11"/>
            </w:pPr>
            <w:r>
              <w:t>项目名称</w:t>
            </w:r>
          </w:p>
        </w:tc>
        <w:tc>
          <w:tcPr>
            <w:tcW w:w="6094" w:type="dxa"/>
            <w:gridSpan w:val="3"/>
            <w:vAlign w:val="center"/>
          </w:tcPr>
          <w:p>
            <w:pPr>
              <w:pStyle w:val="13"/>
            </w:pPr>
            <w:r>
              <w:t>石财预[2022]56号关于提前下达2023年革命老区转移支付预算的通知（北堤里）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143.00</w:t>
            </w:r>
          </w:p>
        </w:tc>
        <w:tc>
          <w:tcPr>
            <w:tcW w:w="2835" w:type="dxa"/>
            <w:vAlign w:val="center"/>
          </w:tcPr>
          <w:p>
            <w:pPr>
              <w:pStyle w:val="11"/>
            </w:pPr>
            <w:r>
              <w:t>其中：财政    资金</w:t>
            </w:r>
          </w:p>
        </w:tc>
        <w:tc>
          <w:tcPr>
            <w:tcW w:w="2551" w:type="dxa"/>
            <w:vAlign w:val="center"/>
          </w:tcPr>
          <w:p>
            <w:pPr>
              <w:pStyle w:val="13"/>
            </w:pPr>
            <w:r>
              <w:t>143.00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主要用于北堤里村道路改造工程，完善该地区路网，降低运输成本，减少交通拥堵及交通事故的发生。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1.预算资金总计143万元，用于北堤里村道路改造工程，完善该地区路网，降低运输成本，减少交通拥堵及交通事故的发生。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专项工程项目完成</w:t>
            </w:r>
          </w:p>
        </w:tc>
        <w:tc>
          <w:tcPr>
            <w:tcW w:w="5386" w:type="dxa"/>
            <w:vAlign w:val="center"/>
          </w:tcPr>
          <w:p>
            <w:pPr>
              <w:pStyle w:val="13"/>
            </w:pPr>
            <w:r>
              <w:t>北堤里村规划改造道路工程面积</w:t>
            </w:r>
          </w:p>
        </w:tc>
        <w:tc>
          <w:tcPr>
            <w:tcW w:w="2268" w:type="dxa"/>
            <w:vAlign w:val="center"/>
          </w:tcPr>
          <w:p>
            <w:pPr>
              <w:pStyle w:val="13"/>
            </w:pPr>
            <w:r>
              <w:t>25850平方米</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保障道路改造工程顺利运行</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按照各时间节点完成道路改造工程</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编制道路改造工程经费标准</w:t>
            </w:r>
          </w:p>
        </w:tc>
        <w:tc>
          <w:tcPr>
            <w:tcW w:w="5386" w:type="dxa"/>
            <w:vAlign w:val="center"/>
          </w:tcPr>
          <w:p>
            <w:pPr>
              <w:pStyle w:val="13"/>
            </w:pPr>
            <w:r>
              <w:t>编制道路改造工程经费标准</w:t>
            </w:r>
          </w:p>
        </w:tc>
        <w:tc>
          <w:tcPr>
            <w:tcW w:w="2268" w:type="dxa"/>
            <w:vAlign w:val="center"/>
          </w:tcPr>
          <w:p>
            <w:pPr>
              <w:pStyle w:val="13"/>
            </w:pPr>
            <w:r>
              <w:t>143万元</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改善道路行驶条件</w:t>
            </w:r>
          </w:p>
        </w:tc>
        <w:tc>
          <w:tcPr>
            <w:tcW w:w="5386" w:type="dxa"/>
            <w:vAlign w:val="center"/>
          </w:tcPr>
          <w:p>
            <w:pPr>
              <w:pStyle w:val="13"/>
            </w:pPr>
            <w:r>
              <w:t>改善道路行驶条件</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群众对道路改造工程结果满意度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8、石财预[2022]56号关于提前下达2023年革命老区转移支付预算的通知（康村）绩效目标表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13010923P00003910022F</w:t>
            </w:r>
          </w:p>
        </w:tc>
        <w:tc>
          <w:tcPr>
            <w:tcW w:w="2835" w:type="dxa"/>
            <w:vAlign w:val="center"/>
          </w:tcPr>
          <w:p>
            <w:pPr>
              <w:pStyle w:val="11"/>
            </w:pPr>
            <w:r>
              <w:t>项目名称</w:t>
            </w:r>
          </w:p>
        </w:tc>
        <w:tc>
          <w:tcPr>
            <w:tcW w:w="6094" w:type="dxa"/>
            <w:gridSpan w:val="3"/>
            <w:vAlign w:val="center"/>
          </w:tcPr>
          <w:p>
            <w:pPr>
              <w:pStyle w:val="13"/>
            </w:pPr>
            <w:r>
              <w:t>石财预[2022]56号关于提前下达2023年革命老区转移支付预算的通知（康村）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主要用于南孟镇康村硬化道路、改造太阳能路灯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1.预算资金总计100万元，用于南孟镇康村硬化道路、改造太阳能路灯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专项工程项目完成</w:t>
            </w:r>
          </w:p>
        </w:tc>
        <w:tc>
          <w:tcPr>
            <w:tcW w:w="5386" w:type="dxa"/>
            <w:vAlign w:val="center"/>
          </w:tcPr>
          <w:p>
            <w:pPr>
              <w:pStyle w:val="13"/>
            </w:pPr>
            <w:r>
              <w:t>康村硬化道路面积</w:t>
            </w:r>
          </w:p>
        </w:tc>
        <w:tc>
          <w:tcPr>
            <w:tcW w:w="2268" w:type="dxa"/>
            <w:vAlign w:val="center"/>
          </w:tcPr>
          <w:p>
            <w:pPr>
              <w:pStyle w:val="13"/>
            </w:pPr>
            <w:r>
              <w:t>17732平米</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太阳能路灯数量</w:t>
            </w:r>
          </w:p>
        </w:tc>
        <w:tc>
          <w:tcPr>
            <w:tcW w:w="5386" w:type="dxa"/>
            <w:vAlign w:val="center"/>
          </w:tcPr>
          <w:p>
            <w:pPr>
              <w:pStyle w:val="13"/>
            </w:pPr>
            <w:r>
              <w:t>改造太阳能灯的数量</w:t>
            </w:r>
          </w:p>
        </w:tc>
        <w:tc>
          <w:tcPr>
            <w:tcW w:w="2268" w:type="dxa"/>
            <w:vAlign w:val="center"/>
          </w:tcPr>
          <w:p>
            <w:pPr>
              <w:pStyle w:val="13"/>
            </w:pPr>
            <w:r>
              <w:t>100盏</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保障道路及太阳能路灯改造工程顺利运行</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按照各时间节点完成改造工程</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改造工作经费</w:t>
            </w:r>
          </w:p>
        </w:tc>
        <w:tc>
          <w:tcPr>
            <w:tcW w:w="5386" w:type="dxa"/>
            <w:vAlign w:val="center"/>
          </w:tcPr>
          <w:p>
            <w:pPr>
              <w:pStyle w:val="13"/>
            </w:pPr>
            <w:r>
              <w:t>改造工程工作经费</w:t>
            </w:r>
          </w:p>
        </w:tc>
        <w:tc>
          <w:tcPr>
            <w:tcW w:w="2268" w:type="dxa"/>
            <w:vAlign w:val="center"/>
          </w:tcPr>
          <w:p>
            <w:pPr>
              <w:pStyle w:val="13"/>
            </w:pPr>
            <w:r>
              <w:t>100万元</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改善道路行驶条件</w:t>
            </w:r>
          </w:p>
        </w:tc>
        <w:tc>
          <w:tcPr>
            <w:tcW w:w="5386" w:type="dxa"/>
            <w:vAlign w:val="center"/>
          </w:tcPr>
          <w:p>
            <w:pPr>
              <w:pStyle w:val="13"/>
            </w:pPr>
            <w:r>
              <w:t>改善道路行驶条件</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群众对改造工程结果满意度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9、石财预【2023】23号关于下达2023年革命老区转移支付预算的通知（北堤里）47万元绩效目标表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13010923P00003910060P</w:t>
            </w:r>
          </w:p>
        </w:tc>
        <w:tc>
          <w:tcPr>
            <w:tcW w:w="2835" w:type="dxa"/>
            <w:vAlign w:val="center"/>
          </w:tcPr>
          <w:p>
            <w:pPr>
              <w:pStyle w:val="11"/>
            </w:pPr>
            <w:r>
              <w:t>项目名称</w:t>
            </w:r>
          </w:p>
        </w:tc>
        <w:tc>
          <w:tcPr>
            <w:tcW w:w="6094" w:type="dxa"/>
            <w:gridSpan w:val="3"/>
            <w:vAlign w:val="center"/>
          </w:tcPr>
          <w:p>
            <w:pPr>
              <w:pStyle w:val="13"/>
            </w:pPr>
            <w:r>
              <w:t>石财预【2023】23号关于下达2023年革命老区转移支付预算的通知（北堤里）47万元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w:t>
            </w:r>
          </w:p>
        </w:tc>
        <w:tc>
          <w:tcPr>
            <w:tcW w:w="2835" w:type="dxa"/>
            <w:vAlign w:val="center"/>
          </w:tcPr>
          <w:p>
            <w:pPr>
              <w:pStyle w:val="11"/>
            </w:pPr>
            <w:r>
              <w:t>其中：财政    资金</w:t>
            </w:r>
          </w:p>
        </w:tc>
        <w:tc>
          <w:tcPr>
            <w:tcW w:w="2551" w:type="dxa"/>
            <w:vAlign w:val="center"/>
          </w:tcPr>
          <w:p>
            <w:pPr>
              <w:pStyle w:val="13"/>
            </w:pPr>
            <w:r>
              <w:t>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柏油路铺设项目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1.完成柏油路铺设项目，资金共47万元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道路里程</w:t>
            </w:r>
          </w:p>
        </w:tc>
        <w:tc>
          <w:tcPr>
            <w:tcW w:w="5386" w:type="dxa"/>
            <w:vAlign w:val="center"/>
          </w:tcPr>
          <w:p>
            <w:pPr>
              <w:pStyle w:val="13"/>
            </w:pPr>
            <w:r>
              <w:t>道路里程</w:t>
            </w:r>
          </w:p>
        </w:tc>
        <w:tc>
          <w:tcPr>
            <w:tcW w:w="2268" w:type="dxa"/>
            <w:vAlign w:val="center"/>
          </w:tcPr>
          <w:p>
            <w:pPr>
              <w:pStyle w:val="13"/>
            </w:pPr>
            <w:r>
              <w:t>857米</w:t>
            </w:r>
          </w:p>
        </w:tc>
        <w:tc>
          <w:tcPr>
            <w:tcW w:w="1276" w:type="dxa"/>
            <w:vAlign w:val="center"/>
          </w:tcPr>
          <w:p>
            <w:pPr>
              <w:pStyle w:val="13"/>
            </w:pPr>
            <w:r>
              <w:t>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通过验收的工程量占建设总量的比率。</w:t>
            </w:r>
          </w:p>
        </w:tc>
        <w:tc>
          <w:tcPr>
            <w:tcW w:w="2268" w:type="dxa"/>
            <w:vAlign w:val="center"/>
          </w:tcPr>
          <w:p>
            <w:pPr>
              <w:pStyle w:val="13"/>
            </w:pPr>
            <w:r>
              <w:t>≥95百分比</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47万元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10、石财预【2023】23号关于下达2023年革命老区转移支付预算的通知（康村）7万元绩效目标表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13010923P00003910061B</w:t>
            </w:r>
          </w:p>
        </w:tc>
        <w:tc>
          <w:tcPr>
            <w:tcW w:w="2835" w:type="dxa"/>
            <w:vAlign w:val="center"/>
          </w:tcPr>
          <w:p>
            <w:pPr>
              <w:pStyle w:val="11"/>
            </w:pPr>
            <w:r>
              <w:t>项目名称</w:t>
            </w:r>
          </w:p>
        </w:tc>
        <w:tc>
          <w:tcPr>
            <w:tcW w:w="6094" w:type="dxa"/>
            <w:gridSpan w:val="3"/>
            <w:vAlign w:val="center"/>
          </w:tcPr>
          <w:p>
            <w:pPr>
              <w:pStyle w:val="13"/>
            </w:pPr>
            <w:r>
              <w:t>石财预【2023】23号关于下达2023年革命老区转移支付预算的通知（康村）7万元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完成柏油路铺设项目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1.完成柏油路铺设项目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铺设公路里程</w:t>
            </w:r>
          </w:p>
        </w:tc>
        <w:tc>
          <w:tcPr>
            <w:tcW w:w="5386" w:type="dxa"/>
            <w:vAlign w:val="center"/>
          </w:tcPr>
          <w:p>
            <w:pPr>
              <w:pStyle w:val="13"/>
            </w:pPr>
            <w:r>
              <w:t>铺设公路里程</w:t>
            </w:r>
          </w:p>
        </w:tc>
        <w:tc>
          <w:tcPr>
            <w:tcW w:w="2268" w:type="dxa"/>
            <w:vAlign w:val="center"/>
          </w:tcPr>
          <w:p>
            <w:pPr>
              <w:pStyle w:val="13"/>
            </w:pPr>
            <w:r>
              <w:t>175米</w:t>
            </w:r>
          </w:p>
        </w:tc>
        <w:tc>
          <w:tcPr>
            <w:tcW w:w="1276" w:type="dxa"/>
            <w:vAlign w:val="center"/>
          </w:tcPr>
          <w:p>
            <w:pPr>
              <w:pStyle w:val="13"/>
            </w:pPr>
            <w:r>
              <w:t>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≥95百分比</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≥95百分比</w:t>
            </w:r>
          </w:p>
        </w:tc>
        <w:tc>
          <w:tcPr>
            <w:tcW w:w="1276" w:type="dxa"/>
            <w:vAlign w:val="center"/>
          </w:tcPr>
          <w:p>
            <w:pPr>
              <w:pStyle w:val="13"/>
            </w:pPr>
            <w:r>
              <w:t>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7万元</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11、石财预【2023】40号关于提前下达2024年革命老区转移支付预算的通知（南孟村）绩效目标表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13010924P00003910124E</w:t>
            </w:r>
          </w:p>
        </w:tc>
        <w:tc>
          <w:tcPr>
            <w:tcW w:w="2835" w:type="dxa"/>
            <w:vAlign w:val="center"/>
          </w:tcPr>
          <w:p>
            <w:pPr>
              <w:pStyle w:val="11"/>
            </w:pPr>
            <w:r>
              <w:t>项目名称</w:t>
            </w:r>
          </w:p>
        </w:tc>
        <w:tc>
          <w:tcPr>
            <w:tcW w:w="6094" w:type="dxa"/>
            <w:gridSpan w:val="3"/>
            <w:vAlign w:val="center"/>
          </w:tcPr>
          <w:p>
            <w:pPr>
              <w:pStyle w:val="13"/>
            </w:pPr>
            <w:r>
              <w:t>石财预【2023】40号关于提前下达2024年革命老区转移支付预算的通知（南孟村）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南孟村修路项目，保障革命老区村内修路工程资金支出。</w:t>
            </w:r>
            <w:r>
              <w:tab/>
            </w:r>
            <w:r>
              <w:tab/>
            </w:r>
            <w:r>
              <w:tab/>
            </w:r>
            <w:r>
              <w:tab/>
            </w:r>
            <w:r>
              <w:tab/>
            </w:r>
            <w:r>
              <w:tab/>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1.南孟村修路项目，保障革命老区村内修路工程资金支出。</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道路铺油面积</w:t>
            </w:r>
          </w:p>
        </w:tc>
        <w:tc>
          <w:tcPr>
            <w:tcW w:w="5386" w:type="dxa"/>
            <w:vAlign w:val="center"/>
          </w:tcPr>
          <w:p>
            <w:pPr>
              <w:pStyle w:val="13"/>
            </w:pPr>
            <w:r>
              <w:t>道路铺油面积</w:t>
            </w:r>
          </w:p>
          <w:p>
            <w:pPr>
              <w:pStyle w:val="13"/>
            </w:pPr>
          </w:p>
        </w:tc>
        <w:tc>
          <w:tcPr>
            <w:tcW w:w="2268" w:type="dxa"/>
            <w:vAlign w:val="center"/>
          </w:tcPr>
          <w:p>
            <w:pPr>
              <w:pStyle w:val="13"/>
            </w:pPr>
            <w:r>
              <w:t>11800平方米</w:t>
            </w:r>
          </w:p>
        </w:tc>
        <w:tc>
          <w:tcPr>
            <w:tcW w:w="1276" w:type="dxa"/>
            <w:vAlign w:val="center"/>
          </w:tcPr>
          <w:p>
            <w:pPr>
              <w:pStyle w:val="13"/>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合格</w:t>
            </w:r>
          </w:p>
        </w:tc>
        <w:tc>
          <w:tcPr>
            <w:tcW w:w="1276" w:type="dxa"/>
            <w:vAlign w:val="center"/>
          </w:tcPr>
          <w:p>
            <w:pPr>
              <w:pStyle w:val="13"/>
            </w:pPr>
            <w:r>
              <w:t>年初工作计划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按合同约定时间完成</w:t>
            </w:r>
          </w:p>
        </w:tc>
        <w:tc>
          <w:tcPr>
            <w:tcW w:w="1276" w:type="dxa"/>
            <w:vAlign w:val="center"/>
          </w:tcPr>
          <w:p>
            <w:pPr>
              <w:pStyle w:val="13"/>
            </w:pPr>
            <w:r>
              <w:t>年初工作计划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预算总成本</w:t>
            </w:r>
          </w:p>
        </w:tc>
        <w:tc>
          <w:tcPr>
            <w:tcW w:w="2268" w:type="dxa"/>
            <w:vAlign w:val="center"/>
          </w:tcPr>
          <w:p>
            <w:pPr>
              <w:pStyle w:val="13"/>
            </w:pPr>
            <w:r>
              <w:t>130万元</w:t>
            </w:r>
          </w:p>
        </w:tc>
        <w:tc>
          <w:tcPr>
            <w:tcW w:w="1276" w:type="dxa"/>
            <w:vAlign w:val="center"/>
          </w:tcPr>
          <w:p>
            <w:pPr>
              <w:pStyle w:val="13"/>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村容村貌面貌提升</w:t>
            </w:r>
          </w:p>
        </w:tc>
        <w:tc>
          <w:tcPr>
            <w:tcW w:w="5386" w:type="dxa"/>
            <w:vAlign w:val="center"/>
          </w:tcPr>
          <w:p>
            <w:pPr>
              <w:pStyle w:val="13"/>
            </w:pPr>
            <w:r>
              <w:t>提高革命老区人民生活水平指数</w:t>
            </w:r>
          </w:p>
        </w:tc>
        <w:tc>
          <w:tcPr>
            <w:tcW w:w="2268" w:type="dxa"/>
            <w:vAlign w:val="center"/>
          </w:tcPr>
          <w:p>
            <w:pPr>
              <w:pStyle w:val="13"/>
            </w:pPr>
            <w:r>
              <w:t>提高革命老区人民生活水平</w:t>
            </w:r>
          </w:p>
        </w:tc>
        <w:tc>
          <w:tcPr>
            <w:tcW w:w="1276" w:type="dxa"/>
            <w:vAlign w:val="center"/>
          </w:tcPr>
          <w:p>
            <w:pPr>
              <w:pStyle w:val="13"/>
            </w:pPr>
            <w:r>
              <w:t>年初工作计划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群众对项目开展所获服务满意度</w:t>
            </w:r>
          </w:p>
        </w:tc>
        <w:tc>
          <w:tcPr>
            <w:tcW w:w="2268" w:type="dxa"/>
            <w:vAlign w:val="center"/>
          </w:tcPr>
          <w:p>
            <w:pPr>
              <w:pStyle w:val="13"/>
            </w:pPr>
            <w:r>
              <w:t>≥90%</w:t>
            </w:r>
          </w:p>
        </w:tc>
        <w:tc>
          <w:tcPr>
            <w:tcW w:w="1276" w:type="dxa"/>
            <w:vAlign w:val="center"/>
          </w:tcPr>
          <w:p>
            <w:pPr>
              <w:pStyle w:val="13"/>
            </w:pPr>
            <w:r>
              <w:t>年初工作计划</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13010924P00003910112B</w:t>
            </w:r>
          </w:p>
        </w:tc>
        <w:tc>
          <w:tcPr>
            <w:tcW w:w="2835" w:type="dxa"/>
            <w:vAlign w:val="center"/>
          </w:tcPr>
          <w:p>
            <w:pPr>
              <w:pStyle w:val="11"/>
            </w:pPr>
            <w:r>
              <w:t>项目名称</w:t>
            </w:r>
          </w:p>
        </w:tc>
        <w:tc>
          <w:tcPr>
            <w:tcW w:w="6094" w:type="dxa"/>
            <w:gridSpan w:val="3"/>
            <w:vAlign w:val="center"/>
          </w:tcPr>
          <w:p>
            <w:pPr>
              <w:pStyle w:val="13"/>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保障工会经费及时足额上缴</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覆盖数</w:t>
            </w:r>
          </w:p>
        </w:tc>
        <w:tc>
          <w:tcPr>
            <w:tcW w:w="5386" w:type="dxa"/>
            <w:vAlign w:val="center"/>
          </w:tcPr>
          <w:p>
            <w:pPr>
              <w:pStyle w:val="13"/>
            </w:pPr>
            <w:r>
              <w:t>覆盖人数</w:t>
            </w:r>
          </w:p>
        </w:tc>
        <w:tc>
          <w:tcPr>
            <w:tcW w:w="2268" w:type="dxa"/>
            <w:vAlign w:val="center"/>
          </w:tcPr>
          <w:p>
            <w:pPr>
              <w:pStyle w:val="13"/>
            </w:pPr>
            <w:r>
              <w:t>240人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上缴资金完成率</w:t>
            </w:r>
          </w:p>
        </w:tc>
        <w:tc>
          <w:tcPr>
            <w:tcW w:w="5386" w:type="dxa"/>
            <w:vAlign w:val="center"/>
          </w:tcPr>
          <w:p>
            <w:pPr>
              <w:pStyle w:val="13"/>
            </w:pPr>
            <w:r>
              <w:t>按照工会安排资金数量上缴工会费</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上缴资金及时</w:t>
            </w:r>
          </w:p>
        </w:tc>
        <w:tc>
          <w:tcPr>
            <w:tcW w:w="5386" w:type="dxa"/>
            <w:vAlign w:val="center"/>
          </w:tcPr>
          <w:p>
            <w:pPr>
              <w:pStyle w:val="13"/>
            </w:pPr>
            <w:r>
              <w:t>上缴资金及时</w:t>
            </w:r>
          </w:p>
        </w:tc>
        <w:tc>
          <w:tcPr>
            <w:tcW w:w="2268" w:type="dxa"/>
            <w:vAlign w:val="center"/>
          </w:tcPr>
          <w:p>
            <w:pPr>
              <w:pStyle w:val="13"/>
            </w:pPr>
            <w:r>
              <w:t>11月</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工会缴费标准</w:t>
            </w:r>
          </w:p>
        </w:tc>
        <w:tc>
          <w:tcPr>
            <w:tcW w:w="5386" w:type="dxa"/>
            <w:vAlign w:val="center"/>
          </w:tcPr>
          <w:p>
            <w:pPr>
              <w:pStyle w:val="13"/>
            </w:pPr>
            <w:r>
              <w:t>工会缴费标准</w:t>
            </w:r>
          </w:p>
        </w:tc>
        <w:tc>
          <w:tcPr>
            <w:tcW w:w="2268" w:type="dxa"/>
            <w:vAlign w:val="center"/>
          </w:tcPr>
          <w:p>
            <w:pPr>
              <w:pStyle w:val="13"/>
            </w:pPr>
            <w:r>
              <w:t>按实际标准执行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对工会工作的满意度</w:t>
            </w:r>
          </w:p>
        </w:tc>
        <w:tc>
          <w:tcPr>
            <w:tcW w:w="2268" w:type="dxa"/>
            <w:vAlign w:val="center"/>
          </w:tcPr>
          <w:p>
            <w:pPr>
              <w:pStyle w:val="13"/>
            </w:pPr>
            <w:r>
              <w:t>≥90百分比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13010924P00003910113Y</w:t>
            </w:r>
          </w:p>
        </w:tc>
        <w:tc>
          <w:tcPr>
            <w:tcW w:w="2835" w:type="dxa"/>
            <w:vAlign w:val="center"/>
          </w:tcPr>
          <w:p>
            <w:pPr>
              <w:pStyle w:val="11"/>
            </w:pPr>
            <w:r>
              <w:t>项目名称</w:t>
            </w:r>
          </w:p>
        </w:tc>
        <w:tc>
          <w:tcPr>
            <w:tcW w:w="6094" w:type="dxa"/>
            <w:gridSpan w:val="3"/>
            <w:vAlign w:val="center"/>
          </w:tcPr>
          <w:p>
            <w:pPr>
              <w:pStyle w:val="13"/>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6.31</w:t>
            </w:r>
          </w:p>
        </w:tc>
        <w:tc>
          <w:tcPr>
            <w:tcW w:w="2835" w:type="dxa"/>
            <w:vAlign w:val="center"/>
          </w:tcPr>
          <w:p>
            <w:pPr>
              <w:pStyle w:val="11"/>
            </w:pPr>
            <w:r>
              <w:t>其中：财政    资金</w:t>
            </w:r>
          </w:p>
        </w:tc>
        <w:tc>
          <w:tcPr>
            <w:tcW w:w="2551" w:type="dxa"/>
            <w:vAlign w:val="center"/>
          </w:tcPr>
          <w:p>
            <w:pPr>
              <w:pStyle w:val="13"/>
            </w:pPr>
            <w:r>
              <w:t>6.31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按照相关政策要发放原经贸系统关闭企业下放回乡的合同工、副业工涉军人员生活补贴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1.按照相关政策要发放原经贸系统关闭企业下放回乡的合同工、副业工涉军人员生活补贴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拨付生活补贴人数</w:t>
            </w:r>
          </w:p>
          <w:p>
            <w:pPr>
              <w:pStyle w:val="13"/>
            </w:pPr>
          </w:p>
        </w:tc>
        <w:tc>
          <w:tcPr>
            <w:tcW w:w="2268" w:type="dxa"/>
            <w:vAlign w:val="center"/>
          </w:tcPr>
          <w:p>
            <w:pPr>
              <w:pStyle w:val="13"/>
            </w:pPr>
            <w:r>
              <w:t>26人</w:t>
            </w:r>
          </w:p>
        </w:tc>
        <w:tc>
          <w:tcPr>
            <w:tcW w:w="1276" w:type="dxa"/>
            <w:vAlign w:val="center"/>
          </w:tcPr>
          <w:p>
            <w:pPr>
              <w:pStyle w:val="13"/>
            </w:pPr>
            <w:r>
              <w:t>人员统计表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生活补贴足额发放</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w:t>
            </w:r>
          </w:p>
        </w:tc>
        <w:tc>
          <w:tcPr>
            <w:tcW w:w="5386" w:type="dxa"/>
            <w:vAlign w:val="center"/>
          </w:tcPr>
          <w:p>
            <w:pPr>
              <w:pStyle w:val="13"/>
            </w:pPr>
            <w:r>
              <w:t>按照时间安排发放，每半年发放一次</w:t>
            </w:r>
          </w:p>
        </w:tc>
        <w:tc>
          <w:tcPr>
            <w:tcW w:w="2268" w:type="dxa"/>
            <w:vAlign w:val="center"/>
          </w:tcPr>
          <w:p>
            <w:pPr>
              <w:pStyle w:val="13"/>
            </w:pPr>
            <w:r>
              <w:t>每半年发放一次</w:t>
            </w:r>
          </w:p>
          <w:p>
            <w:pPr>
              <w:pStyle w:val="13"/>
            </w:pP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生活补贴标准</w:t>
            </w:r>
          </w:p>
        </w:tc>
        <w:tc>
          <w:tcPr>
            <w:tcW w:w="2268" w:type="dxa"/>
            <w:vAlign w:val="center"/>
          </w:tcPr>
          <w:p>
            <w:pPr>
              <w:pStyle w:val="13"/>
            </w:pPr>
            <w:r>
              <w:t>200元/人</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拨付工作在全镇形成的重要影响得到群众认可</w:t>
            </w:r>
          </w:p>
        </w:tc>
        <w:tc>
          <w:tcPr>
            <w:tcW w:w="2268" w:type="dxa"/>
            <w:vAlign w:val="center"/>
          </w:tcPr>
          <w:p>
            <w:pPr>
              <w:pStyle w:val="13"/>
            </w:pPr>
            <w:r>
              <w:t>≥90%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享受补贴人员对发放工作的满意度</w:t>
            </w:r>
          </w:p>
        </w:tc>
        <w:tc>
          <w:tcPr>
            <w:tcW w:w="2268" w:type="dxa"/>
            <w:vAlign w:val="center"/>
          </w:tcPr>
          <w:p>
            <w:pPr>
              <w:pStyle w:val="13"/>
            </w:pPr>
            <w:r>
              <w:t>≥90%</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14、镇政府修缮及其他综合工作经费绩效目标表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13010924P00003910111P</w:t>
            </w:r>
          </w:p>
        </w:tc>
        <w:tc>
          <w:tcPr>
            <w:tcW w:w="2835" w:type="dxa"/>
            <w:vAlign w:val="center"/>
          </w:tcPr>
          <w:p>
            <w:pPr>
              <w:pStyle w:val="11"/>
            </w:pPr>
            <w:r>
              <w:t>项目名称</w:t>
            </w:r>
          </w:p>
        </w:tc>
        <w:tc>
          <w:tcPr>
            <w:tcW w:w="6094" w:type="dxa"/>
            <w:gridSpan w:val="3"/>
            <w:vAlign w:val="center"/>
          </w:tcPr>
          <w:p>
            <w:pPr>
              <w:pStyle w:val="13"/>
            </w:pPr>
            <w:r>
              <w:t>镇政府修缮及其他综合工作经费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175.00</w:t>
            </w:r>
          </w:p>
        </w:tc>
        <w:tc>
          <w:tcPr>
            <w:tcW w:w="2835" w:type="dxa"/>
            <w:vAlign w:val="center"/>
          </w:tcPr>
          <w:p>
            <w:pPr>
              <w:pStyle w:val="11"/>
            </w:pPr>
            <w:r>
              <w:t>其中：财政    资金</w:t>
            </w:r>
          </w:p>
        </w:tc>
        <w:tc>
          <w:tcPr>
            <w:tcW w:w="2551" w:type="dxa"/>
            <w:vAlign w:val="center"/>
          </w:tcPr>
          <w:p>
            <w:pPr>
              <w:pStyle w:val="13"/>
            </w:pPr>
            <w:r>
              <w:t>175.00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南孟镇镇政府修缮及其他综合工作经费支出，保障各项工作正常开展。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1.南孟镇政府修缮及其他综合工作经费支出，保障各项工作正常开展。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日常工作涉及村数</w:t>
            </w:r>
          </w:p>
        </w:tc>
        <w:tc>
          <w:tcPr>
            <w:tcW w:w="5386" w:type="dxa"/>
            <w:vAlign w:val="center"/>
          </w:tcPr>
          <w:p>
            <w:pPr>
              <w:pStyle w:val="13"/>
            </w:pPr>
            <w:r>
              <w:t>14个村环境整治等综合工作</w:t>
            </w:r>
          </w:p>
        </w:tc>
        <w:tc>
          <w:tcPr>
            <w:tcW w:w="2268" w:type="dxa"/>
            <w:vAlign w:val="center"/>
          </w:tcPr>
          <w:p>
            <w:pPr>
              <w:pStyle w:val="13"/>
            </w:pPr>
            <w:r>
              <w:t>14村</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当年镇政府各项工作完成进度</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各项工作保障时间节点</w:t>
            </w:r>
          </w:p>
        </w:tc>
        <w:tc>
          <w:tcPr>
            <w:tcW w:w="2268" w:type="dxa"/>
            <w:vAlign w:val="center"/>
          </w:tcPr>
          <w:p>
            <w:pPr>
              <w:pStyle w:val="13"/>
            </w:pPr>
            <w:r>
              <w:t>按照主管部门工作安排完成任务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经费标准</w:t>
            </w:r>
          </w:p>
        </w:tc>
        <w:tc>
          <w:tcPr>
            <w:tcW w:w="5386" w:type="dxa"/>
            <w:vAlign w:val="center"/>
          </w:tcPr>
          <w:p>
            <w:pPr>
              <w:pStyle w:val="13"/>
            </w:pPr>
            <w:r>
              <w:t>经费等使用标准</w:t>
            </w:r>
          </w:p>
        </w:tc>
        <w:tc>
          <w:tcPr>
            <w:tcW w:w="2268" w:type="dxa"/>
            <w:vAlign w:val="center"/>
          </w:tcPr>
          <w:p>
            <w:pPr>
              <w:pStyle w:val="13"/>
            </w:pPr>
            <w:r>
              <w:t>按实际执行</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各项工作在全镇形成的重要影响得到认可</w:t>
            </w:r>
          </w:p>
        </w:tc>
        <w:tc>
          <w:tcPr>
            <w:tcW w:w="2268" w:type="dxa"/>
            <w:vAlign w:val="center"/>
          </w:tcPr>
          <w:p>
            <w:pPr>
              <w:pStyle w:val="13"/>
            </w:pPr>
            <w:r>
              <w:t>≥90百分比</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群众对当年工作的满意度</w:t>
            </w:r>
          </w:p>
        </w:tc>
        <w:tc>
          <w:tcPr>
            <w:tcW w:w="2268" w:type="dxa"/>
            <w:vAlign w:val="center"/>
          </w:tcPr>
          <w:p>
            <w:pPr>
              <w:pStyle w:val="13"/>
            </w:pPr>
            <w:r>
              <w:t>≥90百分比</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13010924P00003910114J</w:t>
            </w:r>
          </w:p>
        </w:tc>
        <w:tc>
          <w:tcPr>
            <w:tcW w:w="2835" w:type="dxa"/>
            <w:vAlign w:val="center"/>
          </w:tcPr>
          <w:p>
            <w:pPr>
              <w:pStyle w:val="11"/>
            </w:pPr>
            <w:r>
              <w:t>项目名称</w:t>
            </w:r>
          </w:p>
        </w:tc>
        <w:tc>
          <w:tcPr>
            <w:tcW w:w="6094" w:type="dxa"/>
            <w:gridSpan w:val="3"/>
            <w:vAlign w:val="center"/>
          </w:tcPr>
          <w:p>
            <w:pPr>
              <w:pStyle w:val="13"/>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保障工会经费及时足额上缴</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覆盖人数</w:t>
            </w:r>
          </w:p>
        </w:tc>
        <w:tc>
          <w:tcPr>
            <w:tcW w:w="5386" w:type="dxa"/>
            <w:vAlign w:val="center"/>
          </w:tcPr>
          <w:p>
            <w:pPr>
              <w:pStyle w:val="13"/>
            </w:pPr>
            <w:r>
              <w:t>覆盖人数</w:t>
            </w:r>
          </w:p>
        </w:tc>
        <w:tc>
          <w:tcPr>
            <w:tcW w:w="2268" w:type="dxa"/>
            <w:vAlign w:val="center"/>
          </w:tcPr>
          <w:p>
            <w:pPr>
              <w:pStyle w:val="13"/>
            </w:pPr>
            <w:r>
              <w:t>55人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上缴资金完成率</w:t>
            </w:r>
          </w:p>
        </w:tc>
        <w:tc>
          <w:tcPr>
            <w:tcW w:w="5386" w:type="dxa"/>
            <w:vAlign w:val="center"/>
          </w:tcPr>
          <w:p>
            <w:pPr>
              <w:pStyle w:val="13"/>
            </w:pPr>
            <w:r>
              <w:t>按照工会安排资金数量上缴工会费</w:t>
            </w:r>
            <w:r>
              <w:tab/>
            </w:r>
          </w:p>
          <w:p>
            <w:pPr>
              <w:pStyle w:val="13"/>
            </w:pP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上缴资金及时</w:t>
            </w:r>
          </w:p>
        </w:tc>
        <w:tc>
          <w:tcPr>
            <w:tcW w:w="5386" w:type="dxa"/>
            <w:vAlign w:val="center"/>
          </w:tcPr>
          <w:p>
            <w:pPr>
              <w:pStyle w:val="13"/>
            </w:pPr>
            <w:r>
              <w:t>按照区工会安排时间进度上缴工会费</w:t>
            </w:r>
          </w:p>
        </w:tc>
        <w:tc>
          <w:tcPr>
            <w:tcW w:w="2268" w:type="dxa"/>
            <w:vAlign w:val="center"/>
          </w:tcPr>
          <w:p>
            <w:pPr>
              <w:pStyle w:val="13"/>
            </w:pPr>
            <w:r>
              <w:t>11月</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工会缴费标准</w:t>
            </w:r>
          </w:p>
        </w:tc>
        <w:tc>
          <w:tcPr>
            <w:tcW w:w="5386" w:type="dxa"/>
            <w:vAlign w:val="center"/>
          </w:tcPr>
          <w:p>
            <w:pPr>
              <w:pStyle w:val="13"/>
            </w:pPr>
            <w:r>
              <w:t>按要求执行工会缴费标准</w:t>
            </w:r>
          </w:p>
        </w:tc>
        <w:tc>
          <w:tcPr>
            <w:tcW w:w="2268" w:type="dxa"/>
            <w:vAlign w:val="center"/>
          </w:tcPr>
          <w:p>
            <w:pPr>
              <w:pStyle w:val="13"/>
            </w:pPr>
            <w:r>
              <w:t>按实际标准执行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对工会工作的满意度</w:t>
            </w:r>
          </w:p>
        </w:tc>
        <w:tc>
          <w:tcPr>
            <w:tcW w:w="2268" w:type="dxa"/>
            <w:vAlign w:val="center"/>
          </w:tcPr>
          <w:p>
            <w:pPr>
              <w:pStyle w:val="13"/>
            </w:pPr>
            <w:r>
              <w:t>≥90百分比</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130.00</w:t>
            </w:r>
          </w:p>
        </w:tc>
        <w:tc>
          <w:tcPr>
            <w:tcW w:w="964" w:type="dxa"/>
            <w:vAlign w:val="center"/>
          </w:tcPr>
          <w:p>
            <w:pPr>
              <w:pStyle w:val="16"/>
            </w:pPr>
            <w:r>
              <w:t>130.00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石家庄市藁城区南孟镇人民政府本级小计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130.00</w:t>
            </w:r>
          </w:p>
        </w:tc>
        <w:tc>
          <w:tcPr>
            <w:tcW w:w="964" w:type="dxa"/>
            <w:vAlign w:val="center"/>
          </w:tcPr>
          <w:p>
            <w:pPr>
              <w:pStyle w:val="16"/>
            </w:pPr>
            <w:r>
              <w:t>130.00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石财预【2023】40号关于提前下达2024年革命老区转移支付预算的通知（南孟村）</w:t>
            </w:r>
          </w:p>
        </w:tc>
        <w:tc>
          <w:tcPr>
            <w:tcW w:w="964" w:type="dxa"/>
            <w:vAlign w:val="center"/>
          </w:tcPr>
          <w:p>
            <w:pPr>
              <w:pStyle w:val="12"/>
            </w:pPr>
            <w:r>
              <w:t>130.00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130.00</w:t>
            </w:r>
          </w:p>
        </w:tc>
        <w:tc>
          <w:tcPr>
            <w:tcW w:w="964" w:type="dxa"/>
            <w:vAlign w:val="center"/>
          </w:tcPr>
          <w:p>
            <w:pPr>
              <w:pStyle w:val="12"/>
            </w:pPr>
            <w:r>
              <w:t>130.00</w:t>
            </w:r>
          </w:p>
        </w:tc>
        <w:tc>
          <w:tcPr>
            <w:tcW w:w="964" w:type="dxa"/>
            <w:vAlign w:val="center"/>
          </w:tcPr>
          <w:p>
            <w:pPr>
              <w:pStyle w:val="12"/>
            </w:pPr>
            <w:r>
              <w:t>130.00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石家庄市藁城区南孟镇人民政府（含所属单位）上年末固定资产金额为1112.63万元（详见下表）。本年度拟购置固定资产总额为2.00万元，已按要求列入政府采购预算，详见政府采购预算表。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813石家庄市藁城区南孟镇人民政府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2989</w:t>
            </w:r>
          </w:p>
        </w:tc>
        <w:tc>
          <w:tcPr>
            <w:tcW w:w="2835" w:type="dxa"/>
            <w:vAlign w:val="center"/>
          </w:tcPr>
          <w:p>
            <w:pPr>
              <w:pStyle w:val="12"/>
            </w:pPr>
            <w:r>
              <w:t>815.49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600</w:t>
            </w:r>
          </w:p>
        </w:tc>
        <w:tc>
          <w:tcPr>
            <w:tcW w:w="2835" w:type="dxa"/>
            <w:vAlign w:val="center"/>
          </w:tcPr>
          <w:p>
            <w:pPr>
              <w:pStyle w:val="12"/>
            </w:pPr>
            <w:r>
              <w:t>61.63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309</w:t>
            </w:r>
          </w:p>
        </w:tc>
        <w:tc>
          <w:tcPr>
            <w:tcW w:w="2835" w:type="dxa"/>
            <w:vAlign w:val="center"/>
          </w:tcPr>
          <w:p>
            <w:pPr>
              <w:pStyle w:val="12"/>
            </w:pPr>
            <w:r>
              <w:t>267.56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FA7507"/>
    <w:multiLevelType w:val="singleLevel"/>
    <w:tmpl w:val="4AFA750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1D12B3"/>
    <w:rsid w:val="179F6D4E"/>
    <w:rsid w:val="57617962"/>
    <w:rsid w:val="713D18F2"/>
    <w:rsid w:val="71A41A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2024-02-29T11:08:43Z</dcterms:created>
  <dcterms:modified xsi:type="dcterms:W3CDTF">2024-02-29T03:08:43Z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2024-02-29T11:08:50Z</dcterms:created>
  <dcterms:modified xsi:type="dcterms:W3CDTF">2024-02-29T03:08:50Z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2024-02-29T11:08:49Z</dcterms:created>
  <dcterms:modified xsi:type="dcterms:W3CDTF">2024-02-29T03:08:49Z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2024-02-29T11:08:49Z</dcterms:created>
  <dcterms:modified xsi:type="dcterms:W3CDTF">2024-02-29T03:08:49Z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2024-02-29T11:08:41Z</dcterms:created>
  <dcterms:modified xsi:type="dcterms:W3CDTF">2024-02-29T03:08:41Z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2024-02-29T11:08:48Z</dcterms:created>
  <dcterms:modified xsi:type="dcterms:W3CDTF">2024-02-29T03:08:48Z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2024-02-29T11:08:48Z</dcterms:created>
  <dcterms:modified xsi:type="dcterms:W3CDTF">2024-02-29T03:08:48Z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2024-02-29T11:08:47Z</dcterms:created>
  <dcterms:modified xsi:type="dcterms:W3CDTF">2024-02-29T03:08:47Z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2024-02-29T11:08:47Z</dcterms:created>
  <dcterms:modified xsi:type="dcterms:W3CDTF">2024-02-29T03:08:47Z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2024-02-29T11:08:46Z</dcterms:created>
  <dcterms:modified xsi:type="dcterms:W3CDTF">2024-02-29T03:08:46Z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2024-02-29T11:08:46Z</dcterms:created>
  <dcterms:modified xsi:type="dcterms:W3CDTF">2024-02-29T03:08:45Z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2024-02-29T11:08:42Z</dcterms:created>
  <dcterms:modified xsi:type="dcterms:W3CDTF">2024-02-29T03:08:42Z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2024-02-29T11:08:45Z</dcterms:created>
  <dcterms:modified xsi:type="dcterms:W3CDTF">2024-02-29T03:08:45Z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2024-02-29T11:08:44Z</dcterms:created>
  <dcterms:modified xsi:type="dcterms:W3CDTF">2024-02-29T03:08:44Z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2024-02-29T11:08:44Z</dcterms:created>
  <dcterms:modified xsi:type="dcterms:W3CDTF">2024-02-29T03:08:44Z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2024-02-29T11:08:43Z</dcterms:created>
  <dcterms:modified xsi:type="dcterms:W3CDTF">2024-02-29T03:08:43Z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2024-02-29T11:08:40Z</dcterms:created>
  <dcterms:modified xsi:type="dcterms:W3CDTF">2024-02-29T03:08:39Z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2024-02-29T11:08:41Z</dcterms:created>
  <dcterms:modified xsi:type="dcterms:W3CDTF">2024-02-29T03:08:41Z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2024-02-29T11:08:51Z</dcterms:created>
  <dcterms:modified xsi:type="dcterms:W3CDTF">2024-02-29T03:08:51Z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0d1e9a2-c104-4ade-a5ff-93a584b1aa80}">
  <ds:schemaRefs/>
</ds:datastoreItem>
</file>

<file path=customXml/itemProps10.xml><?xml version="1.0" encoding="utf-8"?>
<ds:datastoreItem xmlns:ds="http://schemas.openxmlformats.org/officeDocument/2006/customXml" ds:itemID="{8a74a055-1935-4905-98e3-6ffeea462a97}">
  <ds:schemaRefs/>
</ds:datastoreItem>
</file>

<file path=customXml/itemProps11.xml><?xml version="1.0" encoding="utf-8"?>
<ds:datastoreItem xmlns:ds="http://schemas.openxmlformats.org/officeDocument/2006/customXml" ds:itemID="{d2b172d6-44cf-411b-979e-6bc45d264871}">
  <ds:schemaRefs/>
</ds:datastoreItem>
</file>

<file path=customXml/itemProps12.xml><?xml version="1.0" encoding="utf-8"?>
<ds:datastoreItem xmlns:ds="http://schemas.openxmlformats.org/officeDocument/2006/customXml" ds:itemID="{847b4837-d602-466d-9deb-1f744df8e714}">
  <ds:schemaRefs/>
</ds:datastoreItem>
</file>

<file path=customXml/itemProps13.xml><?xml version="1.0" encoding="utf-8"?>
<ds:datastoreItem xmlns:ds="http://schemas.openxmlformats.org/officeDocument/2006/customXml" ds:itemID="{29a4b91f-d144-4264-a2da-4d115facd61c}">
  <ds:schemaRefs/>
</ds:datastoreItem>
</file>

<file path=customXml/itemProps14.xml><?xml version="1.0" encoding="utf-8"?>
<ds:datastoreItem xmlns:ds="http://schemas.openxmlformats.org/officeDocument/2006/customXml" ds:itemID="{6fbba062-3952-4011-9a46-e060502c81d3}">
  <ds:schemaRefs/>
</ds:datastoreItem>
</file>

<file path=customXml/itemProps15.xml><?xml version="1.0" encoding="utf-8"?>
<ds:datastoreItem xmlns:ds="http://schemas.openxmlformats.org/officeDocument/2006/customXml" ds:itemID="{95ca3358-ed58-49b3-aa62-2ed233577e95}">
  <ds:schemaRefs/>
</ds:datastoreItem>
</file>

<file path=customXml/itemProps16.xml><?xml version="1.0" encoding="utf-8"?>
<ds:datastoreItem xmlns:ds="http://schemas.openxmlformats.org/officeDocument/2006/customXml" ds:itemID="{9b96ba2a-400c-4db9-84f3-72c3487fa640}">
  <ds:schemaRefs/>
</ds:datastoreItem>
</file>

<file path=customXml/itemProps17.xml><?xml version="1.0" encoding="utf-8"?>
<ds:datastoreItem xmlns:ds="http://schemas.openxmlformats.org/officeDocument/2006/customXml" ds:itemID="{8af463bd-c5ae-4390-8f9d-c5d29af96ec3}">
  <ds:schemaRefs/>
</ds:datastoreItem>
</file>

<file path=customXml/itemProps18.xml><?xml version="1.0" encoding="utf-8"?>
<ds:datastoreItem xmlns:ds="http://schemas.openxmlformats.org/officeDocument/2006/customXml" ds:itemID="{d78a263f-9347-4488-948c-62058284e6fc}">
  <ds:schemaRefs/>
</ds:datastoreItem>
</file>

<file path=customXml/itemProps19.xml><?xml version="1.0" encoding="utf-8"?>
<ds:datastoreItem xmlns:ds="http://schemas.openxmlformats.org/officeDocument/2006/customXml" ds:itemID="{1a7babde-9eb5-4011-9fbf-8b3e4e535ec2}">
  <ds:schemaRefs/>
</ds:datastoreItem>
</file>

<file path=customXml/itemProps2.xml><?xml version="1.0" encoding="utf-8"?>
<ds:datastoreItem xmlns:ds="http://schemas.openxmlformats.org/officeDocument/2006/customXml" ds:itemID="{1242bc70-d730-4e01-a47b-79b96707ddda}">
  <ds:schemaRefs/>
</ds:datastoreItem>
</file>

<file path=customXml/itemProps20.xml><?xml version="1.0" encoding="utf-8"?>
<ds:datastoreItem xmlns:ds="http://schemas.openxmlformats.org/officeDocument/2006/customXml" ds:itemID="{fa50579c-ba8d-40d6-ac84-03cdf94986cc}">
  <ds:schemaRefs/>
</ds:datastoreItem>
</file>

<file path=customXml/itemProps21.xml><?xml version="1.0" encoding="utf-8"?>
<ds:datastoreItem xmlns:ds="http://schemas.openxmlformats.org/officeDocument/2006/customXml" ds:itemID="{385c034a-d1f0-4a52-a5fb-1a8c389398f1}">
  <ds:schemaRefs/>
</ds:datastoreItem>
</file>

<file path=customXml/itemProps22.xml><?xml version="1.0" encoding="utf-8"?>
<ds:datastoreItem xmlns:ds="http://schemas.openxmlformats.org/officeDocument/2006/customXml" ds:itemID="{2b11a7f7-169d-443a-b9a3-14562b5fc08d}">
  <ds:schemaRefs/>
</ds:datastoreItem>
</file>

<file path=customXml/itemProps23.xml><?xml version="1.0" encoding="utf-8"?>
<ds:datastoreItem xmlns:ds="http://schemas.openxmlformats.org/officeDocument/2006/customXml" ds:itemID="{4e2f47c7-fd56-4196-807c-5b26c22299b7}">
  <ds:schemaRefs/>
</ds:datastoreItem>
</file>

<file path=customXml/itemProps24.xml><?xml version="1.0" encoding="utf-8"?>
<ds:datastoreItem xmlns:ds="http://schemas.openxmlformats.org/officeDocument/2006/customXml" ds:itemID="{25109131-8bbc-456a-bff6-36f1bff5f7ab}">
  <ds:schemaRefs/>
</ds:datastoreItem>
</file>

<file path=customXml/itemProps25.xml><?xml version="1.0" encoding="utf-8"?>
<ds:datastoreItem xmlns:ds="http://schemas.openxmlformats.org/officeDocument/2006/customXml" ds:itemID="{46cf40d0-b831-4445-b7f6-c9ed9d1ddfa9}">
  <ds:schemaRefs/>
</ds:datastoreItem>
</file>

<file path=customXml/itemProps26.xml><?xml version="1.0" encoding="utf-8"?>
<ds:datastoreItem xmlns:ds="http://schemas.openxmlformats.org/officeDocument/2006/customXml" ds:itemID="{7b1c1588-5cfb-4b3d-bf9d-6eeb8dcbc27f}">
  <ds:schemaRefs/>
</ds:datastoreItem>
</file>

<file path=customXml/itemProps27.xml><?xml version="1.0" encoding="utf-8"?>
<ds:datastoreItem xmlns:ds="http://schemas.openxmlformats.org/officeDocument/2006/customXml" ds:itemID="{a3a32602-2b14-48c6-89cb-48ba2cc83707}">
  <ds:schemaRefs/>
</ds:datastoreItem>
</file>

<file path=customXml/itemProps28.xml><?xml version="1.0" encoding="utf-8"?>
<ds:datastoreItem xmlns:ds="http://schemas.openxmlformats.org/officeDocument/2006/customXml" ds:itemID="{fb0f7f0c-3b61-409c-9432-a3ea69aab676}">
  <ds:schemaRefs/>
</ds:datastoreItem>
</file>

<file path=customXml/itemProps29.xml><?xml version="1.0" encoding="utf-8"?>
<ds:datastoreItem xmlns:ds="http://schemas.openxmlformats.org/officeDocument/2006/customXml" ds:itemID="{329bcf36-0423-46e3-ac33-06cce0abc5a4}">
  <ds:schemaRefs/>
</ds:datastoreItem>
</file>

<file path=customXml/itemProps3.xml><?xml version="1.0" encoding="utf-8"?>
<ds:datastoreItem xmlns:ds="http://schemas.openxmlformats.org/officeDocument/2006/customXml" ds:itemID="{6a798092-1d64-41cb-980c-88edb35aa991}">
  <ds:schemaRefs/>
</ds:datastoreItem>
</file>

<file path=customXml/itemProps30.xml><?xml version="1.0" encoding="utf-8"?>
<ds:datastoreItem xmlns:ds="http://schemas.openxmlformats.org/officeDocument/2006/customXml" ds:itemID="{6ae3e4ac-133d-4b0a-a0c4-0f21ced76b4e}">
  <ds:schemaRefs/>
</ds:datastoreItem>
</file>

<file path=customXml/itemProps31.xml><?xml version="1.0" encoding="utf-8"?>
<ds:datastoreItem xmlns:ds="http://schemas.openxmlformats.org/officeDocument/2006/customXml" ds:itemID="{1a9156f7-8663-4892-bae0-010ab7302034}">
  <ds:schemaRefs/>
</ds:datastoreItem>
</file>

<file path=customXml/itemProps32.xml><?xml version="1.0" encoding="utf-8"?>
<ds:datastoreItem xmlns:ds="http://schemas.openxmlformats.org/officeDocument/2006/customXml" ds:itemID="{26108a08-6f72-4aac-bc1c-91e1cfb6e6b0}">
  <ds:schemaRefs/>
</ds:datastoreItem>
</file>

<file path=customXml/itemProps33.xml><?xml version="1.0" encoding="utf-8"?>
<ds:datastoreItem xmlns:ds="http://schemas.openxmlformats.org/officeDocument/2006/customXml" ds:itemID="{be10b15c-ce10-48cb-8a29-0a7234550c16}">
  <ds:schemaRefs/>
</ds:datastoreItem>
</file>

<file path=customXml/itemProps34.xml><?xml version="1.0" encoding="utf-8"?>
<ds:datastoreItem xmlns:ds="http://schemas.openxmlformats.org/officeDocument/2006/customXml" ds:itemID="{f38a322d-39ff-4d73-b7ac-bd675ba0b199}">
  <ds:schemaRefs/>
</ds:datastoreItem>
</file>

<file path=customXml/itemProps35.xml><?xml version="1.0" encoding="utf-8"?>
<ds:datastoreItem xmlns:ds="http://schemas.openxmlformats.org/officeDocument/2006/customXml" ds:itemID="{136eef58-9316-4a89-b339-2d5a1c7a0c77}">
  <ds:schemaRefs/>
</ds:datastoreItem>
</file>

<file path=customXml/itemProps36.xml><?xml version="1.0" encoding="utf-8"?>
<ds:datastoreItem xmlns:ds="http://schemas.openxmlformats.org/officeDocument/2006/customXml" ds:itemID="{ba0680ae-e6df-4341-bf47-dabaf567cc9b}">
  <ds:schemaRefs/>
</ds:datastoreItem>
</file>

<file path=customXml/itemProps37.xml><?xml version="1.0" encoding="utf-8"?>
<ds:datastoreItem xmlns:ds="http://schemas.openxmlformats.org/officeDocument/2006/customXml" ds:itemID="{62638cea-72db-4089-bdb3-eb6351e60f15}">
  <ds:schemaRefs/>
</ds:datastoreItem>
</file>

<file path=customXml/itemProps38.xml><?xml version="1.0" encoding="utf-8"?>
<ds:datastoreItem xmlns:ds="http://schemas.openxmlformats.org/officeDocument/2006/customXml" ds:itemID="{e827ece8-08eb-4acb-98ac-75f0cf11538c}">
  <ds:schemaRefs/>
</ds:datastoreItem>
</file>

<file path=customXml/itemProps4.xml><?xml version="1.0" encoding="utf-8"?>
<ds:datastoreItem xmlns:ds="http://schemas.openxmlformats.org/officeDocument/2006/customXml" ds:itemID="{e695d39e-a3c0-42a6-8422-68d35afc9802}">
  <ds:schemaRefs/>
</ds:datastoreItem>
</file>

<file path=customXml/itemProps5.xml><?xml version="1.0" encoding="utf-8"?>
<ds:datastoreItem xmlns:ds="http://schemas.openxmlformats.org/officeDocument/2006/customXml" ds:itemID="{bcb63d1f-0552-4dce-b6f1-1948f67cc857}">
  <ds:schemaRefs/>
</ds:datastoreItem>
</file>

<file path=customXml/itemProps6.xml><?xml version="1.0" encoding="utf-8"?>
<ds:datastoreItem xmlns:ds="http://schemas.openxmlformats.org/officeDocument/2006/customXml" ds:itemID="{b4e174be-a90b-4ead-bc63-7a3e03380d76}">
  <ds:schemaRefs/>
</ds:datastoreItem>
</file>

<file path=customXml/itemProps7.xml><?xml version="1.0" encoding="utf-8"?>
<ds:datastoreItem xmlns:ds="http://schemas.openxmlformats.org/officeDocument/2006/customXml" ds:itemID="{9eced9e3-92fb-4162-848b-9a69d24bc2f8}">
  <ds:schemaRefs/>
</ds:datastoreItem>
</file>

<file path=customXml/itemProps8.xml><?xml version="1.0" encoding="utf-8"?>
<ds:datastoreItem xmlns:ds="http://schemas.openxmlformats.org/officeDocument/2006/customXml" ds:itemID="{a9ae64cc-23e9-4345-900c-30cea204bbb8}">
  <ds:schemaRefs/>
</ds:datastoreItem>
</file>

<file path=customXml/itemProps9.xml><?xml version="1.0" encoding="utf-8"?>
<ds:datastoreItem xmlns:ds="http://schemas.openxmlformats.org/officeDocument/2006/customXml" ds:itemID="{d2aa4d24-4008-4303-8e89-6a419e9caedf}">
  <ds:schemaRefs/>
</ds:datastoreItem>
</file>

<file path=docProps/app.xml><?xml version="1.0" encoding="utf-8"?>
<Properties xmlns="http://schemas.openxmlformats.org/officeDocument/2006/extended-properties" xmlns:vt="http://schemas.openxmlformats.org/officeDocument/2006/docPropsVTypes">
  <Pages>54</Pages>
  <Words>14292</Words>
  <Characters>16963</Characters>
  <TotalTime>0</TotalTime>
  <ScaleCrop>false</ScaleCrop>
  <LinksUpToDate>false</LinksUpToDate>
  <CharactersWithSpaces>17480</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LENOVO</dc:creator>
  <cp:lastModifiedBy>LENOVO</cp:lastModifiedBy>
  <dcterms:modified xsi:type="dcterms:W3CDTF">2024-03-05T00:35:31Z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174288C1DA044A819D5416DDE08CFFE3</vt:lpwstr>
  </property>
</Properties>
</file>