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一、石家庄市藁城区兴安镇人民政府本级收支预算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一、石家庄市藁城区兴安镇人民政府本级收支预算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803001石家庄市藁城区兴安镇人民政府本级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3603.01</w:t>
            </w:r>
          </w:p>
        </w:tc>
        <w:tc>
          <w:tcPr>
            <w:tcW w:w="4535" w:type="dxa"/>
            <w:vAlign w:val="center"/>
          </w:tcPr>
          <w:p>
            <w:pPr>
              <w:pStyle w:val="12"/>
            </w:pPr>
            <w:r>
              <w:t>一、一般公共服务支出</w:t>
            </w:r>
          </w:p>
        </w:tc>
        <w:tc>
          <w:tcPr>
            <w:tcW w:w="2126" w:type="dxa"/>
            <w:vAlign w:val="center"/>
          </w:tcPr>
          <w:p>
            <w:pPr>
              <w:pStyle w:val="11"/>
            </w:pPr>
            <w:r>
              <w:t>1605.06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1816.00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140.07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3603.01</w:t>
            </w:r>
          </w:p>
        </w:tc>
        <w:tc>
          <w:tcPr>
            <w:tcW w:w="4535" w:type="dxa"/>
            <w:vAlign w:val="center"/>
          </w:tcPr>
          <w:p>
            <w:pPr>
              <w:pStyle w:val="14"/>
            </w:pPr>
            <w:r>
              <w:t>本年支出合计</w:t>
            </w:r>
          </w:p>
        </w:tc>
        <w:tc>
          <w:tcPr>
            <w:tcW w:w="2126" w:type="dxa"/>
            <w:vAlign w:val="center"/>
          </w:tcPr>
          <w:p>
            <w:pPr>
              <w:pStyle w:val="15"/>
            </w:pPr>
            <w:r>
              <w:t>3603.01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3603.01</w:t>
            </w:r>
          </w:p>
        </w:tc>
        <w:tc>
          <w:tcPr>
            <w:tcW w:w="4535" w:type="dxa"/>
            <w:vAlign w:val="center"/>
          </w:tcPr>
          <w:p>
            <w:pPr>
              <w:pStyle w:val="14"/>
            </w:pPr>
            <w:r>
              <w:t>支出总计</w:t>
            </w:r>
          </w:p>
        </w:tc>
        <w:tc>
          <w:tcPr>
            <w:tcW w:w="2126" w:type="dxa"/>
            <w:vAlign w:val="center"/>
          </w:tcPr>
          <w:p>
            <w:pPr>
              <w:pStyle w:val="15"/>
            </w:pPr>
            <w:r>
              <w:t>3603.01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803001石家庄市藁城区兴安镇人民政府本级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3603.01</w:t>
            </w:r>
          </w:p>
        </w:tc>
        <w:tc>
          <w:tcPr>
            <w:tcW w:w="1134" w:type="dxa"/>
            <w:vAlign w:val="center"/>
          </w:tcPr>
          <w:p>
            <w:pPr>
              <w:pStyle w:val="15"/>
            </w:pPr>
            <w:r>
              <w:t>3603.01</w:t>
            </w:r>
          </w:p>
        </w:tc>
        <w:tc>
          <w:tcPr>
            <w:tcW w:w="1134" w:type="dxa"/>
            <w:vAlign w:val="center"/>
          </w:tcPr>
          <w:p>
            <w:pPr>
              <w:pStyle w:val="15"/>
            </w:pPr>
            <w:r>
              <w:t>3603.01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1605.06</w:t>
            </w:r>
          </w:p>
        </w:tc>
        <w:tc>
          <w:tcPr>
            <w:tcW w:w="1134" w:type="dxa"/>
            <w:vAlign w:val="center"/>
          </w:tcPr>
          <w:p>
            <w:pPr>
              <w:pStyle w:val="11"/>
            </w:pPr>
            <w:r>
              <w:t>1605.06</w:t>
            </w:r>
          </w:p>
        </w:tc>
        <w:tc>
          <w:tcPr>
            <w:tcW w:w="1134" w:type="dxa"/>
            <w:vAlign w:val="center"/>
          </w:tcPr>
          <w:p>
            <w:pPr>
              <w:pStyle w:val="11"/>
            </w:pPr>
            <w:r>
              <w:t>1605.06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1605.06</w:t>
            </w:r>
          </w:p>
        </w:tc>
        <w:tc>
          <w:tcPr>
            <w:tcW w:w="1134" w:type="dxa"/>
            <w:vAlign w:val="center"/>
          </w:tcPr>
          <w:p>
            <w:pPr>
              <w:pStyle w:val="11"/>
            </w:pPr>
            <w:r>
              <w:t>1605.06</w:t>
            </w:r>
          </w:p>
        </w:tc>
        <w:tc>
          <w:tcPr>
            <w:tcW w:w="1134" w:type="dxa"/>
            <w:vAlign w:val="center"/>
          </w:tcPr>
          <w:p>
            <w:pPr>
              <w:pStyle w:val="11"/>
            </w:pPr>
            <w:r>
              <w:t>1605.06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1346.58</w:t>
            </w:r>
          </w:p>
        </w:tc>
        <w:tc>
          <w:tcPr>
            <w:tcW w:w="1134" w:type="dxa"/>
            <w:vAlign w:val="center"/>
          </w:tcPr>
          <w:p>
            <w:pPr>
              <w:pStyle w:val="11"/>
            </w:pPr>
            <w:r>
              <w:t>1346.58</w:t>
            </w:r>
          </w:p>
        </w:tc>
        <w:tc>
          <w:tcPr>
            <w:tcW w:w="1134" w:type="dxa"/>
            <w:vAlign w:val="center"/>
          </w:tcPr>
          <w:p>
            <w:pPr>
              <w:pStyle w:val="11"/>
            </w:pPr>
            <w:r>
              <w:t>1346.58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258.48</w:t>
            </w:r>
          </w:p>
        </w:tc>
        <w:tc>
          <w:tcPr>
            <w:tcW w:w="1134" w:type="dxa"/>
            <w:vAlign w:val="center"/>
          </w:tcPr>
          <w:p>
            <w:pPr>
              <w:pStyle w:val="11"/>
            </w:pPr>
            <w:r>
              <w:t>258.48</w:t>
            </w:r>
          </w:p>
        </w:tc>
        <w:tc>
          <w:tcPr>
            <w:tcW w:w="1134" w:type="dxa"/>
            <w:vAlign w:val="center"/>
          </w:tcPr>
          <w:p>
            <w:pPr>
              <w:pStyle w:val="11"/>
            </w:pPr>
            <w:r>
              <w:t>258.48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17.52</w:t>
            </w:r>
          </w:p>
        </w:tc>
        <w:tc>
          <w:tcPr>
            <w:tcW w:w="1134" w:type="dxa"/>
            <w:vAlign w:val="center"/>
          </w:tcPr>
          <w:p>
            <w:pPr>
              <w:pStyle w:val="11"/>
            </w:pPr>
            <w:r>
              <w:t>17.52</w:t>
            </w:r>
          </w:p>
        </w:tc>
        <w:tc>
          <w:tcPr>
            <w:tcW w:w="1134" w:type="dxa"/>
            <w:vAlign w:val="center"/>
          </w:tcPr>
          <w:p>
            <w:pPr>
              <w:pStyle w:val="11"/>
            </w:pPr>
            <w:r>
              <w:t>17.52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17.52</w:t>
            </w:r>
          </w:p>
        </w:tc>
        <w:tc>
          <w:tcPr>
            <w:tcW w:w="1134" w:type="dxa"/>
            <w:vAlign w:val="center"/>
          </w:tcPr>
          <w:p>
            <w:pPr>
              <w:pStyle w:val="11"/>
            </w:pPr>
            <w:r>
              <w:t>17.52</w:t>
            </w:r>
          </w:p>
        </w:tc>
        <w:tc>
          <w:tcPr>
            <w:tcW w:w="1134" w:type="dxa"/>
            <w:vAlign w:val="center"/>
          </w:tcPr>
          <w:p>
            <w:pPr>
              <w:pStyle w:val="11"/>
            </w:pPr>
            <w:r>
              <w:t>17.52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17.52</w:t>
            </w:r>
          </w:p>
        </w:tc>
        <w:tc>
          <w:tcPr>
            <w:tcW w:w="1134" w:type="dxa"/>
            <w:vAlign w:val="center"/>
          </w:tcPr>
          <w:p>
            <w:pPr>
              <w:pStyle w:val="11"/>
            </w:pPr>
            <w:r>
              <w:t>17.52</w:t>
            </w:r>
          </w:p>
        </w:tc>
        <w:tc>
          <w:tcPr>
            <w:tcW w:w="1134" w:type="dxa"/>
            <w:vAlign w:val="center"/>
          </w:tcPr>
          <w:p>
            <w:pPr>
              <w:pStyle w:val="11"/>
            </w:pPr>
            <w:r>
              <w:t>17.52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16.86</w:t>
            </w:r>
          </w:p>
        </w:tc>
        <w:tc>
          <w:tcPr>
            <w:tcW w:w="1134" w:type="dxa"/>
            <w:vAlign w:val="center"/>
          </w:tcPr>
          <w:p>
            <w:pPr>
              <w:pStyle w:val="11"/>
            </w:pPr>
            <w:r>
              <w:t>16.86</w:t>
            </w:r>
          </w:p>
        </w:tc>
        <w:tc>
          <w:tcPr>
            <w:tcW w:w="1134" w:type="dxa"/>
            <w:vAlign w:val="center"/>
          </w:tcPr>
          <w:p>
            <w:pPr>
              <w:pStyle w:val="11"/>
            </w:pPr>
            <w:r>
              <w:t>16.86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6.86</w:t>
            </w:r>
          </w:p>
        </w:tc>
        <w:tc>
          <w:tcPr>
            <w:tcW w:w="1134" w:type="dxa"/>
            <w:vAlign w:val="center"/>
          </w:tcPr>
          <w:p>
            <w:pPr>
              <w:pStyle w:val="11"/>
            </w:pPr>
            <w:r>
              <w:t>6.86</w:t>
            </w:r>
          </w:p>
        </w:tc>
        <w:tc>
          <w:tcPr>
            <w:tcW w:w="1134" w:type="dxa"/>
            <w:vAlign w:val="center"/>
          </w:tcPr>
          <w:p>
            <w:pPr>
              <w:pStyle w:val="11"/>
            </w:pPr>
            <w:r>
              <w:t>6.86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2080806</w:t>
            </w:r>
          </w:p>
        </w:tc>
        <w:tc>
          <w:tcPr>
            <w:tcW w:w="1559" w:type="dxa"/>
            <w:vAlign w:val="center"/>
          </w:tcPr>
          <w:p>
            <w:pPr>
              <w:pStyle w:val="12"/>
            </w:pPr>
            <w:r>
              <w:t>农村籍退役士兵老年生活补助</w:t>
            </w:r>
          </w:p>
        </w:tc>
        <w:tc>
          <w:tcPr>
            <w:tcW w:w="1134" w:type="dxa"/>
            <w:vAlign w:val="center"/>
          </w:tcPr>
          <w:p>
            <w:pPr>
              <w:pStyle w:val="11"/>
            </w:pPr>
            <w:r>
              <w:t>6.86</w:t>
            </w:r>
          </w:p>
        </w:tc>
        <w:tc>
          <w:tcPr>
            <w:tcW w:w="1134" w:type="dxa"/>
            <w:vAlign w:val="center"/>
          </w:tcPr>
          <w:p>
            <w:pPr>
              <w:pStyle w:val="11"/>
            </w:pPr>
            <w:r>
              <w:t>6.86</w:t>
            </w:r>
          </w:p>
        </w:tc>
        <w:tc>
          <w:tcPr>
            <w:tcW w:w="1134" w:type="dxa"/>
            <w:vAlign w:val="center"/>
          </w:tcPr>
          <w:p>
            <w:pPr>
              <w:pStyle w:val="11"/>
            </w:pPr>
            <w:r>
              <w:t>6.86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20820</w:t>
            </w:r>
          </w:p>
        </w:tc>
        <w:tc>
          <w:tcPr>
            <w:tcW w:w="1559" w:type="dxa"/>
            <w:vAlign w:val="center"/>
          </w:tcPr>
          <w:p>
            <w:pPr>
              <w:pStyle w:val="12"/>
            </w:pPr>
            <w:r>
              <w:t>临时救助</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2082001</w:t>
            </w:r>
          </w:p>
        </w:tc>
        <w:tc>
          <w:tcPr>
            <w:tcW w:w="1559" w:type="dxa"/>
            <w:vAlign w:val="center"/>
          </w:tcPr>
          <w:p>
            <w:pPr>
              <w:pStyle w:val="12"/>
            </w:pPr>
            <w:r>
              <w:t>临时救助支出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1816.00</w:t>
            </w:r>
          </w:p>
        </w:tc>
        <w:tc>
          <w:tcPr>
            <w:tcW w:w="1134" w:type="dxa"/>
            <w:vAlign w:val="center"/>
          </w:tcPr>
          <w:p>
            <w:pPr>
              <w:pStyle w:val="11"/>
            </w:pPr>
            <w:r>
              <w:t>1816.00</w:t>
            </w:r>
          </w:p>
        </w:tc>
        <w:tc>
          <w:tcPr>
            <w:tcW w:w="1134" w:type="dxa"/>
            <w:vAlign w:val="center"/>
          </w:tcPr>
          <w:p>
            <w:pPr>
              <w:pStyle w:val="11"/>
            </w:pPr>
            <w:r>
              <w:t>1816.00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1816.00</w:t>
            </w:r>
          </w:p>
        </w:tc>
        <w:tc>
          <w:tcPr>
            <w:tcW w:w="1134" w:type="dxa"/>
            <w:vAlign w:val="center"/>
          </w:tcPr>
          <w:p>
            <w:pPr>
              <w:pStyle w:val="11"/>
            </w:pPr>
            <w:r>
              <w:t>1816.00</w:t>
            </w:r>
          </w:p>
        </w:tc>
        <w:tc>
          <w:tcPr>
            <w:tcW w:w="1134" w:type="dxa"/>
            <w:vAlign w:val="center"/>
          </w:tcPr>
          <w:p>
            <w:pPr>
              <w:pStyle w:val="11"/>
            </w:pPr>
            <w:r>
              <w:t>1816.00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2110307</w:t>
            </w:r>
          </w:p>
        </w:tc>
        <w:tc>
          <w:tcPr>
            <w:tcW w:w="1559" w:type="dxa"/>
            <w:vAlign w:val="center"/>
          </w:tcPr>
          <w:p>
            <w:pPr>
              <w:pStyle w:val="12"/>
            </w:pPr>
            <w:r>
              <w:t>土壤</w:t>
            </w:r>
          </w:p>
        </w:tc>
        <w:tc>
          <w:tcPr>
            <w:tcW w:w="1134" w:type="dxa"/>
            <w:vAlign w:val="center"/>
          </w:tcPr>
          <w:p>
            <w:pPr>
              <w:pStyle w:val="11"/>
            </w:pPr>
            <w:r>
              <w:t>1816.00</w:t>
            </w:r>
          </w:p>
        </w:tc>
        <w:tc>
          <w:tcPr>
            <w:tcW w:w="1134" w:type="dxa"/>
            <w:vAlign w:val="center"/>
          </w:tcPr>
          <w:p>
            <w:pPr>
              <w:pStyle w:val="11"/>
            </w:pPr>
            <w:r>
              <w:t>1816.00</w:t>
            </w:r>
          </w:p>
        </w:tc>
        <w:tc>
          <w:tcPr>
            <w:tcW w:w="1134" w:type="dxa"/>
            <w:vAlign w:val="center"/>
          </w:tcPr>
          <w:p>
            <w:pPr>
              <w:pStyle w:val="11"/>
            </w:pPr>
            <w:r>
              <w:t>1816.00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140.07</w:t>
            </w:r>
          </w:p>
        </w:tc>
        <w:tc>
          <w:tcPr>
            <w:tcW w:w="1134" w:type="dxa"/>
            <w:vAlign w:val="center"/>
          </w:tcPr>
          <w:p>
            <w:pPr>
              <w:pStyle w:val="11"/>
            </w:pPr>
            <w:r>
              <w:t>140.07</w:t>
            </w:r>
          </w:p>
        </w:tc>
        <w:tc>
          <w:tcPr>
            <w:tcW w:w="1134" w:type="dxa"/>
            <w:vAlign w:val="center"/>
          </w:tcPr>
          <w:p>
            <w:pPr>
              <w:pStyle w:val="11"/>
            </w:pPr>
            <w:r>
              <w:t>140.07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140.07</w:t>
            </w:r>
          </w:p>
        </w:tc>
        <w:tc>
          <w:tcPr>
            <w:tcW w:w="1134" w:type="dxa"/>
            <w:vAlign w:val="center"/>
          </w:tcPr>
          <w:p>
            <w:pPr>
              <w:pStyle w:val="11"/>
            </w:pPr>
            <w:r>
              <w:t>140.07</w:t>
            </w:r>
          </w:p>
        </w:tc>
        <w:tc>
          <w:tcPr>
            <w:tcW w:w="1134" w:type="dxa"/>
            <w:vAlign w:val="center"/>
          </w:tcPr>
          <w:p>
            <w:pPr>
              <w:pStyle w:val="11"/>
            </w:pPr>
            <w:r>
              <w:t>140.07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140.07</w:t>
            </w:r>
          </w:p>
        </w:tc>
        <w:tc>
          <w:tcPr>
            <w:tcW w:w="1134" w:type="dxa"/>
            <w:vAlign w:val="center"/>
          </w:tcPr>
          <w:p>
            <w:pPr>
              <w:pStyle w:val="11"/>
            </w:pPr>
            <w:r>
              <w:t>140.07</w:t>
            </w:r>
          </w:p>
        </w:tc>
        <w:tc>
          <w:tcPr>
            <w:tcW w:w="1134" w:type="dxa"/>
            <w:vAlign w:val="center"/>
          </w:tcPr>
          <w:p>
            <w:pPr>
              <w:pStyle w:val="11"/>
            </w:pPr>
            <w:r>
              <w:t>140.07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803001石家庄市藁城区兴安镇人民政府本级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3603.01</w:t>
            </w:r>
          </w:p>
        </w:tc>
        <w:tc>
          <w:tcPr>
            <w:tcW w:w="1361" w:type="dxa"/>
            <w:vAlign w:val="center"/>
          </w:tcPr>
          <w:p>
            <w:pPr>
              <w:pStyle w:val="15"/>
            </w:pPr>
            <w:r>
              <w:t>1346.58</w:t>
            </w:r>
          </w:p>
        </w:tc>
        <w:tc>
          <w:tcPr>
            <w:tcW w:w="1361" w:type="dxa"/>
            <w:vAlign w:val="center"/>
          </w:tcPr>
          <w:p>
            <w:pPr>
              <w:pStyle w:val="15"/>
            </w:pPr>
            <w:r>
              <w:t>2256.43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1605.06</w:t>
            </w:r>
          </w:p>
        </w:tc>
        <w:tc>
          <w:tcPr>
            <w:tcW w:w="1361" w:type="dxa"/>
            <w:vAlign w:val="center"/>
          </w:tcPr>
          <w:p>
            <w:pPr>
              <w:pStyle w:val="11"/>
            </w:pPr>
            <w:r>
              <w:t>1346.58</w:t>
            </w:r>
          </w:p>
        </w:tc>
        <w:tc>
          <w:tcPr>
            <w:tcW w:w="1361" w:type="dxa"/>
            <w:vAlign w:val="center"/>
          </w:tcPr>
          <w:p>
            <w:pPr>
              <w:pStyle w:val="11"/>
            </w:pPr>
            <w:r>
              <w:t>258.48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1605.06</w:t>
            </w:r>
          </w:p>
        </w:tc>
        <w:tc>
          <w:tcPr>
            <w:tcW w:w="1361" w:type="dxa"/>
            <w:vAlign w:val="center"/>
          </w:tcPr>
          <w:p>
            <w:pPr>
              <w:pStyle w:val="11"/>
            </w:pPr>
            <w:r>
              <w:t>1346.58</w:t>
            </w:r>
          </w:p>
        </w:tc>
        <w:tc>
          <w:tcPr>
            <w:tcW w:w="1361" w:type="dxa"/>
            <w:vAlign w:val="center"/>
          </w:tcPr>
          <w:p>
            <w:pPr>
              <w:pStyle w:val="11"/>
            </w:pPr>
            <w:r>
              <w:t>258.48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1346.58</w:t>
            </w:r>
          </w:p>
        </w:tc>
        <w:tc>
          <w:tcPr>
            <w:tcW w:w="1361" w:type="dxa"/>
            <w:vAlign w:val="center"/>
          </w:tcPr>
          <w:p>
            <w:pPr>
              <w:pStyle w:val="11"/>
            </w:pPr>
            <w:r>
              <w:t>1346.58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258.48</w:t>
            </w:r>
          </w:p>
        </w:tc>
        <w:tc>
          <w:tcPr>
            <w:tcW w:w="1361" w:type="dxa"/>
            <w:vAlign w:val="center"/>
          </w:tcPr>
          <w:p>
            <w:pPr>
              <w:pStyle w:val="11"/>
            </w:pPr>
          </w:p>
        </w:tc>
        <w:tc>
          <w:tcPr>
            <w:tcW w:w="1361" w:type="dxa"/>
            <w:vAlign w:val="center"/>
          </w:tcPr>
          <w:p>
            <w:pPr>
              <w:pStyle w:val="11"/>
            </w:pPr>
            <w:r>
              <w:t>258.48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17.52</w:t>
            </w:r>
          </w:p>
        </w:tc>
        <w:tc>
          <w:tcPr>
            <w:tcW w:w="1361" w:type="dxa"/>
            <w:vAlign w:val="center"/>
          </w:tcPr>
          <w:p>
            <w:pPr>
              <w:pStyle w:val="11"/>
            </w:pPr>
          </w:p>
        </w:tc>
        <w:tc>
          <w:tcPr>
            <w:tcW w:w="1361" w:type="dxa"/>
            <w:vAlign w:val="center"/>
          </w:tcPr>
          <w:p>
            <w:pPr>
              <w:pStyle w:val="11"/>
            </w:pPr>
            <w:r>
              <w:t>17.52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17.52</w:t>
            </w:r>
          </w:p>
        </w:tc>
        <w:tc>
          <w:tcPr>
            <w:tcW w:w="1361" w:type="dxa"/>
            <w:vAlign w:val="center"/>
          </w:tcPr>
          <w:p>
            <w:pPr>
              <w:pStyle w:val="11"/>
            </w:pPr>
          </w:p>
        </w:tc>
        <w:tc>
          <w:tcPr>
            <w:tcW w:w="1361" w:type="dxa"/>
            <w:vAlign w:val="center"/>
          </w:tcPr>
          <w:p>
            <w:pPr>
              <w:pStyle w:val="11"/>
            </w:pPr>
            <w:r>
              <w:t>17.52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17.52</w:t>
            </w:r>
          </w:p>
        </w:tc>
        <w:tc>
          <w:tcPr>
            <w:tcW w:w="1361" w:type="dxa"/>
            <w:vAlign w:val="center"/>
          </w:tcPr>
          <w:p>
            <w:pPr>
              <w:pStyle w:val="11"/>
            </w:pPr>
          </w:p>
        </w:tc>
        <w:tc>
          <w:tcPr>
            <w:tcW w:w="1361" w:type="dxa"/>
            <w:vAlign w:val="center"/>
          </w:tcPr>
          <w:p>
            <w:pPr>
              <w:pStyle w:val="11"/>
            </w:pPr>
            <w:r>
              <w:t>17.52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16.86</w:t>
            </w:r>
          </w:p>
        </w:tc>
        <w:tc>
          <w:tcPr>
            <w:tcW w:w="1361" w:type="dxa"/>
            <w:vAlign w:val="center"/>
          </w:tcPr>
          <w:p>
            <w:pPr>
              <w:pStyle w:val="11"/>
            </w:pPr>
          </w:p>
        </w:tc>
        <w:tc>
          <w:tcPr>
            <w:tcW w:w="1361" w:type="dxa"/>
            <w:vAlign w:val="center"/>
          </w:tcPr>
          <w:p>
            <w:pPr>
              <w:pStyle w:val="11"/>
            </w:pPr>
            <w:r>
              <w:t>16.86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6.86</w:t>
            </w:r>
          </w:p>
        </w:tc>
        <w:tc>
          <w:tcPr>
            <w:tcW w:w="1361" w:type="dxa"/>
            <w:vAlign w:val="center"/>
          </w:tcPr>
          <w:p>
            <w:pPr>
              <w:pStyle w:val="11"/>
            </w:pPr>
          </w:p>
        </w:tc>
        <w:tc>
          <w:tcPr>
            <w:tcW w:w="1361" w:type="dxa"/>
            <w:vAlign w:val="center"/>
          </w:tcPr>
          <w:p>
            <w:pPr>
              <w:pStyle w:val="11"/>
            </w:pPr>
            <w:r>
              <w:t>6.86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2080806</w:t>
            </w:r>
          </w:p>
        </w:tc>
        <w:tc>
          <w:tcPr>
            <w:tcW w:w="4535" w:type="dxa"/>
            <w:vAlign w:val="center"/>
          </w:tcPr>
          <w:p>
            <w:pPr>
              <w:pStyle w:val="12"/>
            </w:pPr>
            <w:r>
              <w:t>农村籍退役士兵老年生活补助</w:t>
            </w:r>
          </w:p>
        </w:tc>
        <w:tc>
          <w:tcPr>
            <w:tcW w:w="1361" w:type="dxa"/>
            <w:vAlign w:val="center"/>
          </w:tcPr>
          <w:p>
            <w:pPr>
              <w:pStyle w:val="11"/>
            </w:pPr>
            <w:r>
              <w:t>6.86</w:t>
            </w:r>
          </w:p>
        </w:tc>
        <w:tc>
          <w:tcPr>
            <w:tcW w:w="1361" w:type="dxa"/>
            <w:vAlign w:val="center"/>
          </w:tcPr>
          <w:p>
            <w:pPr>
              <w:pStyle w:val="11"/>
            </w:pPr>
          </w:p>
        </w:tc>
        <w:tc>
          <w:tcPr>
            <w:tcW w:w="1361" w:type="dxa"/>
            <w:vAlign w:val="center"/>
          </w:tcPr>
          <w:p>
            <w:pPr>
              <w:pStyle w:val="11"/>
            </w:pPr>
            <w:r>
              <w:t>6.86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20820</w:t>
            </w:r>
          </w:p>
        </w:tc>
        <w:tc>
          <w:tcPr>
            <w:tcW w:w="4535" w:type="dxa"/>
            <w:vAlign w:val="center"/>
          </w:tcPr>
          <w:p>
            <w:pPr>
              <w:pStyle w:val="12"/>
            </w:pPr>
            <w:r>
              <w:t>临时救助</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2082001</w:t>
            </w:r>
          </w:p>
        </w:tc>
        <w:tc>
          <w:tcPr>
            <w:tcW w:w="4535" w:type="dxa"/>
            <w:vAlign w:val="center"/>
          </w:tcPr>
          <w:p>
            <w:pPr>
              <w:pStyle w:val="12"/>
            </w:pPr>
            <w:r>
              <w:t>临时救助支出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1816.00</w:t>
            </w:r>
          </w:p>
        </w:tc>
        <w:tc>
          <w:tcPr>
            <w:tcW w:w="1361" w:type="dxa"/>
            <w:vAlign w:val="center"/>
          </w:tcPr>
          <w:p>
            <w:pPr>
              <w:pStyle w:val="11"/>
            </w:pPr>
          </w:p>
        </w:tc>
        <w:tc>
          <w:tcPr>
            <w:tcW w:w="1361" w:type="dxa"/>
            <w:vAlign w:val="center"/>
          </w:tcPr>
          <w:p>
            <w:pPr>
              <w:pStyle w:val="11"/>
            </w:pPr>
            <w:r>
              <w:t>1816.00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1816.00</w:t>
            </w:r>
          </w:p>
        </w:tc>
        <w:tc>
          <w:tcPr>
            <w:tcW w:w="1361" w:type="dxa"/>
            <w:vAlign w:val="center"/>
          </w:tcPr>
          <w:p>
            <w:pPr>
              <w:pStyle w:val="11"/>
            </w:pPr>
          </w:p>
        </w:tc>
        <w:tc>
          <w:tcPr>
            <w:tcW w:w="1361" w:type="dxa"/>
            <w:vAlign w:val="center"/>
          </w:tcPr>
          <w:p>
            <w:pPr>
              <w:pStyle w:val="11"/>
            </w:pPr>
            <w:r>
              <w:t>1816.00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2110307</w:t>
            </w:r>
          </w:p>
        </w:tc>
        <w:tc>
          <w:tcPr>
            <w:tcW w:w="4535" w:type="dxa"/>
            <w:vAlign w:val="center"/>
          </w:tcPr>
          <w:p>
            <w:pPr>
              <w:pStyle w:val="12"/>
            </w:pPr>
            <w:r>
              <w:t>土壤</w:t>
            </w:r>
          </w:p>
        </w:tc>
        <w:tc>
          <w:tcPr>
            <w:tcW w:w="1361" w:type="dxa"/>
            <w:vAlign w:val="center"/>
          </w:tcPr>
          <w:p>
            <w:pPr>
              <w:pStyle w:val="11"/>
            </w:pPr>
            <w:r>
              <w:t>1816.00</w:t>
            </w:r>
          </w:p>
        </w:tc>
        <w:tc>
          <w:tcPr>
            <w:tcW w:w="1361" w:type="dxa"/>
            <w:vAlign w:val="center"/>
          </w:tcPr>
          <w:p>
            <w:pPr>
              <w:pStyle w:val="11"/>
            </w:pPr>
          </w:p>
        </w:tc>
        <w:tc>
          <w:tcPr>
            <w:tcW w:w="1361" w:type="dxa"/>
            <w:vAlign w:val="center"/>
          </w:tcPr>
          <w:p>
            <w:pPr>
              <w:pStyle w:val="11"/>
            </w:pPr>
            <w:r>
              <w:t>1816.00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140.07</w:t>
            </w:r>
          </w:p>
        </w:tc>
        <w:tc>
          <w:tcPr>
            <w:tcW w:w="1361" w:type="dxa"/>
            <w:vAlign w:val="center"/>
          </w:tcPr>
          <w:p>
            <w:pPr>
              <w:pStyle w:val="11"/>
            </w:pPr>
          </w:p>
        </w:tc>
        <w:tc>
          <w:tcPr>
            <w:tcW w:w="1361" w:type="dxa"/>
            <w:vAlign w:val="center"/>
          </w:tcPr>
          <w:p>
            <w:pPr>
              <w:pStyle w:val="11"/>
            </w:pPr>
            <w:r>
              <w:t>140.07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140.07</w:t>
            </w:r>
          </w:p>
        </w:tc>
        <w:tc>
          <w:tcPr>
            <w:tcW w:w="1361" w:type="dxa"/>
            <w:vAlign w:val="center"/>
          </w:tcPr>
          <w:p>
            <w:pPr>
              <w:pStyle w:val="11"/>
            </w:pPr>
          </w:p>
        </w:tc>
        <w:tc>
          <w:tcPr>
            <w:tcW w:w="1361" w:type="dxa"/>
            <w:vAlign w:val="center"/>
          </w:tcPr>
          <w:p>
            <w:pPr>
              <w:pStyle w:val="11"/>
            </w:pPr>
            <w:r>
              <w:t>140.07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140.07</w:t>
            </w:r>
          </w:p>
        </w:tc>
        <w:tc>
          <w:tcPr>
            <w:tcW w:w="1361" w:type="dxa"/>
            <w:vAlign w:val="center"/>
          </w:tcPr>
          <w:p>
            <w:pPr>
              <w:pStyle w:val="11"/>
            </w:pPr>
          </w:p>
        </w:tc>
        <w:tc>
          <w:tcPr>
            <w:tcW w:w="1361" w:type="dxa"/>
            <w:vAlign w:val="center"/>
          </w:tcPr>
          <w:p>
            <w:pPr>
              <w:pStyle w:val="11"/>
            </w:pPr>
            <w:r>
              <w:t>140.07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803001石家庄市藁城区兴安镇人民政府本级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3603.01</w:t>
            </w:r>
          </w:p>
        </w:tc>
        <w:tc>
          <w:tcPr>
            <w:tcW w:w="3402" w:type="dxa"/>
            <w:vAlign w:val="center"/>
          </w:tcPr>
          <w:p>
            <w:pPr>
              <w:pStyle w:val="12"/>
            </w:pPr>
            <w:r>
              <w:t>一、一般公共服务支出</w:t>
            </w:r>
          </w:p>
        </w:tc>
        <w:tc>
          <w:tcPr>
            <w:tcW w:w="1474" w:type="dxa"/>
            <w:vAlign w:val="center"/>
          </w:tcPr>
          <w:p>
            <w:pPr>
              <w:pStyle w:val="11"/>
            </w:pPr>
            <w:r>
              <w:t>1605.06</w:t>
            </w:r>
          </w:p>
        </w:tc>
        <w:tc>
          <w:tcPr>
            <w:tcW w:w="1474" w:type="dxa"/>
            <w:vAlign w:val="center"/>
          </w:tcPr>
          <w:p>
            <w:pPr>
              <w:pStyle w:val="11"/>
            </w:pPr>
            <w:r>
              <w:t>1605.06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17.52</w:t>
            </w:r>
          </w:p>
        </w:tc>
        <w:tc>
          <w:tcPr>
            <w:tcW w:w="1474" w:type="dxa"/>
            <w:vAlign w:val="center"/>
          </w:tcPr>
          <w:p>
            <w:pPr>
              <w:pStyle w:val="11"/>
            </w:pPr>
            <w:r>
              <w:t>17.52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16.86</w:t>
            </w:r>
          </w:p>
        </w:tc>
        <w:tc>
          <w:tcPr>
            <w:tcW w:w="1474" w:type="dxa"/>
            <w:vAlign w:val="center"/>
          </w:tcPr>
          <w:p>
            <w:pPr>
              <w:pStyle w:val="11"/>
            </w:pPr>
            <w:r>
              <w:t>16.86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7.50</w:t>
            </w:r>
          </w:p>
        </w:tc>
        <w:tc>
          <w:tcPr>
            <w:tcW w:w="1474" w:type="dxa"/>
            <w:vAlign w:val="center"/>
          </w:tcPr>
          <w:p>
            <w:pPr>
              <w:pStyle w:val="11"/>
            </w:pPr>
            <w:r>
              <w:t>7.50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1816.00</w:t>
            </w:r>
          </w:p>
        </w:tc>
        <w:tc>
          <w:tcPr>
            <w:tcW w:w="1474" w:type="dxa"/>
            <w:vAlign w:val="center"/>
          </w:tcPr>
          <w:p>
            <w:pPr>
              <w:pStyle w:val="11"/>
            </w:pPr>
            <w:r>
              <w:t>1816.00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140.07</w:t>
            </w:r>
          </w:p>
        </w:tc>
        <w:tc>
          <w:tcPr>
            <w:tcW w:w="1474" w:type="dxa"/>
            <w:vAlign w:val="center"/>
          </w:tcPr>
          <w:p>
            <w:pPr>
              <w:pStyle w:val="11"/>
            </w:pPr>
            <w:r>
              <w:t>140.07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3603.01</w:t>
            </w:r>
          </w:p>
        </w:tc>
        <w:tc>
          <w:tcPr>
            <w:tcW w:w="3402" w:type="dxa"/>
            <w:vAlign w:val="center"/>
          </w:tcPr>
          <w:p>
            <w:pPr>
              <w:pStyle w:val="14"/>
            </w:pPr>
            <w:r>
              <w:t>本年支出合计</w:t>
            </w:r>
          </w:p>
        </w:tc>
        <w:tc>
          <w:tcPr>
            <w:tcW w:w="1474" w:type="dxa"/>
            <w:vAlign w:val="center"/>
          </w:tcPr>
          <w:p>
            <w:pPr>
              <w:pStyle w:val="15"/>
            </w:pPr>
            <w:r>
              <w:t>3603.01</w:t>
            </w:r>
          </w:p>
        </w:tc>
        <w:tc>
          <w:tcPr>
            <w:tcW w:w="1474" w:type="dxa"/>
            <w:vAlign w:val="center"/>
          </w:tcPr>
          <w:p>
            <w:pPr>
              <w:pStyle w:val="15"/>
            </w:pPr>
            <w:r>
              <w:t>3603.01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3603.01</w:t>
            </w:r>
          </w:p>
        </w:tc>
        <w:tc>
          <w:tcPr>
            <w:tcW w:w="3402" w:type="dxa"/>
            <w:vAlign w:val="center"/>
          </w:tcPr>
          <w:p>
            <w:pPr>
              <w:pStyle w:val="14"/>
            </w:pPr>
            <w:r>
              <w:t>支出总计</w:t>
            </w:r>
          </w:p>
        </w:tc>
        <w:tc>
          <w:tcPr>
            <w:tcW w:w="1474" w:type="dxa"/>
            <w:vAlign w:val="center"/>
          </w:tcPr>
          <w:p>
            <w:pPr>
              <w:pStyle w:val="15"/>
            </w:pPr>
            <w:r>
              <w:t>3603.01</w:t>
            </w:r>
          </w:p>
        </w:tc>
        <w:tc>
          <w:tcPr>
            <w:tcW w:w="1474" w:type="dxa"/>
            <w:vAlign w:val="center"/>
          </w:tcPr>
          <w:p>
            <w:pPr>
              <w:pStyle w:val="15"/>
            </w:pPr>
            <w:r>
              <w:t>3603.01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3603.01</w:t>
            </w:r>
          </w:p>
        </w:tc>
        <w:tc>
          <w:tcPr>
            <w:tcW w:w="2551" w:type="dxa"/>
            <w:vAlign w:val="center"/>
          </w:tcPr>
          <w:p>
            <w:pPr>
              <w:pStyle w:val="15"/>
            </w:pPr>
            <w:r>
              <w:t>1346.58</w:t>
            </w:r>
          </w:p>
        </w:tc>
        <w:tc>
          <w:tcPr>
            <w:tcW w:w="2551" w:type="dxa"/>
            <w:vAlign w:val="center"/>
          </w:tcPr>
          <w:p>
            <w:pPr>
              <w:pStyle w:val="15"/>
            </w:pPr>
            <w:r>
              <w:t>2256.43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1605.06</w:t>
            </w:r>
          </w:p>
        </w:tc>
        <w:tc>
          <w:tcPr>
            <w:tcW w:w="2551" w:type="dxa"/>
            <w:vAlign w:val="center"/>
          </w:tcPr>
          <w:p>
            <w:pPr>
              <w:pStyle w:val="11"/>
            </w:pPr>
            <w:r>
              <w:t>1346.58</w:t>
            </w:r>
          </w:p>
        </w:tc>
        <w:tc>
          <w:tcPr>
            <w:tcW w:w="2551" w:type="dxa"/>
            <w:vAlign w:val="center"/>
          </w:tcPr>
          <w:p>
            <w:pPr>
              <w:pStyle w:val="11"/>
            </w:pPr>
            <w:r>
              <w:t>258.48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1605.06</w:t>
            </w:r>
          </w:p>
        </w:tc>
        <w:tc>
          <w:tcPr>
            <w:tcW w:w="2551" w:type="dxa"/>
            <w:vAlign w:val="center"/>
          </w:tcPr>
          <w:p>
            <w:pPr>
              <w:pStyle w:val="11"/>
            </w:pPr>
            <w:r>
              <w:t>1346.58</w:t>
            </w:r>
          </w:p>
        </w:tc>
        <w:tc>
          <w:tcPr>
            <w:tcW w:w="2551" w:type="dxa"/>
            <w:vAlign w:val="center"/>
          </w:tcPr>
          <w:p>
            <w:pPr>
              <w:pStyle w:val="11"/>
            </w:pPr>
            <w:r>
              <w:t>258.48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1346.58</w:t>
            </w:r>
          </w:p>
        </w:tc>
        <w:tc>
          <w:tcPr>
            <w:tcW w:w="2551" w:type="dxa"/>
            <w:vAlign w:val="center"/>
          </w:tcPr>
          <w:p>
            <w:pPr>
              <w:pStyle w:val="11"/>
            </w:pPr>
            <w:r>
              <w:t>1346.58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258.48</w:t>
            </w:r>
          </w:p>
        </w:tc>
        <w:tc>
          <w:tcPr>
            <w:tcW w:w="2551" w:type="dxa"/>
            <w:vAlign w:val="center"/>
          </w:tcPr>
          <w:p>
            <w:pPr>
              <w:pStyle w:val="11"/>
            </w:pPr>
          </w:p>
        </w:tc>
        <w:tc>
          <w:tcPr>
            <w:tcW w:w="2551" w:type="dxa"/>
            <w:vAlign w:val="center"/>
          </w:tcPr>
          <w:p>
            <w:pPr>
              <w:pStyle w:val="11"/>
            </w:pPr>
            <w:r>
              <w:t>258.48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17.52</w:t>
            </w:r>
          </w:p>
        </w:tc>
        <w:tc>
          <w:tcPr>
            <w:tcW w:w="2551" w:type="dxa"/>
            <w:vAlign w:val="center"/>
          </w:tcPr>
          <w:p>
            <w:pPr>
              <w:pStyle w:val="11"/>
            </w:pPr>
          </w:p>
        </w:tc>
        <w:tc>
          <w:tcPr>
            <w:tcW w:w="2551" w:type="dxa"/>
            <w:vAlign w:val="center"/>
          </w:tcPr>
          <w:p>
            <w:pPr>
              <w:pStyle w:val="11"/>
            </w:pPr>
            <w:r>
              <w:t>17.52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17.52</w:t>
            </w:r>
          </w:p>
        </w:tc>
        <w:tc>
          <w:tcPr>
            <w:tcW w:w="2551" w:type="dxa"/>
            <w:vAlign w:val="center"/>
          </w:tcPr>
          <w:p>
            <w:pPr>
              <w:pStyle w:val="11"/>
            </w:pPr>
          </w:p>
        </w:tc>
        <w:tc>
          <w:tcPr>
            <w:tcW w:w="2551" w:type="dxa"/>
            <w:vAlign w:val="center"/>
          </w:tcPr>
          <w:p>
            <w:pPr>
              <w:pStyle w:val="11"/>
            </w:pPr>
            <w:r>
              <w:t>17.52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17.52</w:t>
            </w:r>
          </w:p>
        </w:tc>
        <w:tc>
          <w:tcPr>
            <w:tcW w:w="2551" w:type="dxa"/>
            <w:vAlign w:val="center"/>
          </w:tcPr>
          <w:p>
            <w:pPr>
              <w:pStyle w:val="11"/>
            </w:pPr>
          </w:p>
        </w:tc>
        <w:tc>
          <w:tcPr>
            <w:tcW w:w="2551" w:type="dxa"/>
            <w:vAlign w:val="center"/>
          </w:tcPr>
          <w:p>
            <w:pPr>
              <w:pStyle w:val="11"/>
            </w:pPr>
            <w:r>
              <w:t>17.52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16.86</w:t>
            </w:r>
          </w:p>
        </w:tc>
        <w:tc>
          <w:tcPr>
            <w:tcW w:w="2551" w:type="dxa"/>
            <w:vAlign w:val="center"/>
          </w:tcPr>
          <w:p>
            <w:pPr>
              <w:pStyle w:val="11"/>
            </w:pPr>
          </w:p>
        </w:tc>
        <w:tc>
          <w:tcPr>
            <w:tcW w:w="2551" w:type="dxa"/>
            <w:vAlign w:val="center"/>
          </w:tcPr>
          <w:p>
            <w:pPr>
              <w:pStyle w:val="11"/>
            </w:pPr>
            <w:r>
              <w:t>16.86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6.86</w:t>
            </w:r>
          </w:p>
        </w:tc>
        <w:tc>
          <w:tcPr>
            <w:tcW w:w="2551" w:type="dxa"/>
            <w:vAlign w:val="center"/>
          </w:tcPr>
          <w:p>
            <w:pPr>
              <w:pStyle w:val="11"/>
            </w:pPr>
          </w:p>
        </w:tc>
        <w:tc>
          <w:tcPr>
            <w:tcW w:w="2551" w:type="dxa"/>
            <w:vAlign w:val="center"/>
          </w:tcPr>
          <w:p>
            <w:pPr>
              <w:pStyle w:val="11"/>
            </w:pPr>
            <w:r>
              <w:t>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2080806</w:t>
            </w:r>
          </w:p>
        </w:tc>
        <w:tc>
          <w:tcPr>
            <w:tcW w:w="4535" w:type="dxa"/>
            <w:vAlign w:val="center"/>
          </w:tcPr>
          <w:p>
            <w:pPr>
              <w:pStyle w:val="12"/>
            </w:pPr>
            <w:r>
              <w:t>农村籍退役士兵老年生活补助</w:t>
            </w:r>
          </w:p>
        </w:tc>
        <w:tc>
          <w:tcPr>
            <w:tcW w:w="2551" w:type="dxa"/>
            <w:vAlign w:val="center"/>
          </w:tcPr>
          <w:p>
            <w:pPr>
              <w:pStyle w:val="11"/>
            </w:pPr>
            <w:r>
              <w:t>6.86</w:t>
            </w:r>
          </w:p>
        </w:tc>
        <w:tc>
          <w:tcPr>
            <w:tcW w:w="2551" w:type="dxa"/>
            <w:vAlign w:val="center"/>
          </w:tcPr>
          <w:p>
            <w:pPr>
              <w:pStyle w:val="11"/>
            </w:pPr>
          </w:p>
        </w:tc>
        <w:tc>
          <w:tcPr>
            <w:tcW w:w="2551" w:type="dxa"/>
            <w:vAlign w:val="center"/>
          </w:tcPr>
          <w:p>
            <w:pPr>
              <w:pStyle w:val="11"/>
            </w:pPr>
            <w:r>
              <w:t>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20820</w:t>
            </w:r>
          </w:p>
        </w:tc>
        <w:tc>
          <w:tcPr>
            <w:tcW w:w="4535" w:type="dxa"/>
            <w:vAlign w:val="center"/>
          </w:tcPr>
          <w:p>
            <w:pPr>
              <w:pStyle w:val="12"/>
            </w:pPr>
            <w:r>
              <w:t>临时救助</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2082001</w:t>
            </w:r>
          </w:p>
        </w:tc>
        <w:tc>
          <w:tcPr>
            <w:tcW w:w="4535" w:type="dxa"/>
            <w:vAlign w:val="center"/>
          </w:tcPr>
          <w:p>
            <w:pPr>
              <w:pStyle w:val="12"/>
            </w:pPr>
            <w:r>
              <w:t>临时救助支出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1816.00</w:t>
            </w:r>
          </w:p>
        </w:tc>
        <w:tc>
          <w:tcPr>
            <w:tcW w:w="2551" w:type="dxa"/>
            <w:vAlign w:val="center"/>
          </w:tcPr>
          <w:p>
            <w:pPr>
              <w:pStyle w:val="11"/>
            </w:pPr>
          </w:p>
        </w:tc>
        <w:tc>
          <w:tcPr>
            <w:tcW w:w="2551" w:type="dxa"/>
            <w:vAlign w:val="center"/>
          </w:tcPr>
          <w:p>
            <w:pPr>
              <w:pStyle w:val="11"/>
            </w:pPr>
            <w:r>
              <w:t>1816.00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1816.00</w:t>
            </w:r>
          </w:p>
        </w:tc>
        <w:tc>
          <w:tcPr>
            <w:tcW w:w="2551" w:type="dxa"/>
            <w:vAlign w:val="center"/>
          </w:tcPr>
          <w:p>
            <w:pPr>
              <w:pStyle w:val="11"/>
            </w:pPr>
          </w:p>
        </w:tc>
        <w:tc>
          <w:tcPr>
            <w:tcW w:w="2551" w:type="dxa"/>
            <w:vAlign w:val="center"/>
          </w:tcPr>
          <w:p>
            <w:pPr>
              <w:pStyle w:val="11"/>
            </w:pPr>
            <w:r>
              <w:t>1816.00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2110307</w:t>
            </w:r>
          </w:p>
        </w:tc>
        <w:tc>
          <w:tcPr>
            <w:tcW w:w="4535" w:type="dxa"/>
            <w:vAlign w:val="center"/>
          </w:tcPr>
          <w:p>
            <w:pPr>
              <w:pStyle w:val="12"/>
            </w:pPr>
            <w:r>
              <w:t>土壤</w:t>
            </w:r>
          </w:p>
        </w:tc>
        <w:tc>
          <w:tcPr>
            <w:tcW w:w="2551" w:type="dxa"/>
            <w:vAlign w:val="center"/>
          </w:tcPr>
          <w:p>
            <w:pPr>
              <w:pStyle w:val="11"/>
            </w:pPr>
            <w:r>
              <w:t>1816.00</w:t>
            </w:r>
          </w:p>
        </w:tc>
        <w:tc>
          <w:tcPr>
            <w:tcW w:w="2551" w:type="dxa"/>
            <w:vAlign w:val="center"/>
          </w:tcPr>
          <w:p>
            <w:pPr>
              <w:pStyle w:val="11"/>
            </w:pPr>
          </w:p>
        </w:tc>
        <w:tc>
          <w:tcPr>
            <w:tcW w:w="2551" w:type="dxa"/>
            <w:vAlign w:val="center"/>
          </w:tcPr>
          <w:p>
            <w:pPr>
              <w:pStyle w:val="11"/>
            </w:pPr>
            <w:r>
              <w:t>1816.00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140.07</w:t>
            </w:r>
          </w:p>
        </w:tc>
        <w:tc>
          <w:tcPr>
            <w:tcW w:w="2551" w:type="dxa"/>
            <w:vAlign w:val="center"/>
          </w:tcPr>
          <w:p>
            <w:pPr>
              <w:pStyle w:val="11"/>
            </w:pPr>
          </w:p>
        </w:tc>
        <w:tc>
          <w:tcPr>
            <w:tcW w:w="2551" w:type="dxa"/>
            <w:vAlign w:val="center"/>
          </w:tcPr>
          <w:p>
            <w:pPr>
              <w:pStyle w:val="11"/>
            </w:pPr>
            <w:r>
              <w:t>140.07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140.07</w:t>
            </w:r>
          </w:p>
        </w:tc>
        <w:tc>
          <w:tcPr>
            <w:tcW w:w="2551" w:type="dxa"/>
            <w:vAlign w:val="center"/>
          </w:tcPr>
          <w:p>
            <w:pPr>
              <w:pStyle w:val="11"/>
            </w:pPr>
          </w:p>
        </w:tc>
        <w:tc>
          <w:tcPr>
            <w:tcW w:w="2551" w:type="dxa"/>
            <w:vAlign w:val="center"/>
          </w:tcPr>
          <w:p>
            <w:pPr>
              <w:pStyle w:val="11"/>
            </w:pPr>
            <w:r>
              <w:t>140.07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140.07</w:t>
            </w:r>
          </w:p>
        </w:tc>
        <w:tc>
          <w:tcPr>
            <w:tcW w:w="2551" w:type="dxa"/>
            <w:vAlign w:val="center"/>
          </w:tcPr>
          <w:p>
            <w:pPr>
              <w:pStyle w:val="11"/>
            </w:pPr>
          </w:p>
        </w:tc>
        <w:tc>
          <w:tcPr>
            <w:tcW w:w="2551" w:type="dxa"/>
            <w:vAlign w:val="center"/>
          </w:tcPr>
          <w:p>
            <w:pPr>
              <w:pStyle w:val="11"/>
            </w:pPr>
            <w:r>
              <w:t>140.07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1346.58</w:t>
            </w:r>
          </w:p>
        </w:tc>
        <w:tc>
          <w:tcPr>
            <w:tcW w:w="2551" w:type="dxa"/>
            <w:vAlign w:val="center"/>
          </w:tcPr>
          <w:p>
            <w:pPr>
              <w:pStyle w:val="15"/>
            </w:pPr>
            <w:r>
              <w:t>1152.83</w:t>
            </w:r>
          </w:p>
        </w:tc>
        <w:tc>
          <w:tcPr>
            <w:tcW w:w="2551" w:type="dxa"/>
            <w:vAlign w:val="center"/>
          </w:tcPr>
          <w:p>
            <w:pPr>
              <w:pStyle w:val="15"/>
            </w:pPr>
            <w:r>
              <w:t>193.75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1087.98</w:t>
            </w:r>
          </w:p>
        </w:tc>
        <w:tc>
          <w:tcPr>
            <w:tcW w:w="2551" w:type="dxa"/>
            <w:vAlign w:val="center"/>
          </w:tcPr>
          <w:p>
            <w:pPr>
              <w:pStyle w:val="11"/>
            </w:pPr>
            <w:r>
              <w:t>1087.98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229.56</w:t>
            </w:r>
          </w:p>
        </w:tc>
        <w:tc>
          <w:tcPr>
            <w:tcW w:w="2551" w:type="dxa"/>
            <w:vAlign w:val="center"/>
          </w:tcPr>
          <w:p>
            <w:pPr>
              <w:pStyle w:val="11"/>
            </w:pPr>
            <w:r>
              <w:t>229.56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303.68</w:t>
            </w:r>
          </w:p>
        </w:tc>
        <w:tc>
          <w:tcPr>
            <w:tcW w:w="2551" w:type="dxa"/>
            <w:vAlign w:val="center"/>
          </w:tcPr>
          <w:p>
            <w:pPr>
              <w:pStyle w:val="11"/>
            </w:pPr>
            <w:r>
              <w:t>303.68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109.68</w:t>
            </w:r>
          </w:p>
        </w:tc>
        <w:tc>
          <w:tcPr>
            <w:tcW w:w="2551" w:type="dxa"/>
            <w:vAlign w:val="center"/>
          </w:tcPr>
          <w:p>
            <w:pPr>
              <w:pStyle w:val="11"/>
            </w:pPr>
            <w:r>
              <w:t>109.68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122.19</w:t>
            </w:r>
          </w:p>
        </w:tc>
        <w:tc>
          <w:tcPr>
            <w:tcW w:w="2551" w:type="dxa"/>
            <w:vAlign w:val="center"/>
          </w:tcPr>
          <w:p>
            <w:pPr>
              <w:pStyle w:val="11"/>
            </w:pPr>
            <w:r>
              <w:t>122.19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118.19</w:t>
            </w:r>
          </w:p>
        </w:tc>
        <w:tc>
          <w:tcPr>
            <w:tcW w:w="2551" w:type="dxa"/>
            <w:vAlign w:val="center"/>
          </w:tcPr>
          <w:p>
            <w:pPr>
              <w:pStyle w:val="11"/>
            </w:pPr>
            <w:r>
              <w:t>118.19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38.88</w:t>
            </w:r>
          </w:p>
        </w:tc>
        <w:tc>
          <w:tcPr>
            <w:tcW w:w="2551" w:type="dxa"/>
            <w:vAlign w:val="center"/>
          </w:tcPr>
          <w:p>
            <w:pPr>
              <w:pStyle w:val="11"/>
            </w:pPr>
            <w:r>
              <w:t>38.88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30.08</w:t>
            </w:r>
          </w:p>
        </w:tc>
        <w:tc>
          <w:tcPr>
            <w:tcW w:w="2551" w:type="dxa"/>
            <w:vAlign w:val="center"/>
          </w:tcPr>
          <w:p>
            <w:pPr>
              <w:pStyle w:val="11"/>
            </w:pPr>
            <w:r>
              <w:t>30.08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45.43</w:t>
            </w:r>
          </w:p>
        </w:tc>
        <w:tc>
          <w:tcPr>
            <w:tcW w:w="2551" w:type="dxa"/>
            <w:vAlign w:val="center"/>
          </w:tcPr>
          <w:p>
            <w:pPr>
              <w:pStyle w:val="11"/>
            </w:pPr>
            <w:r>
              <w:t>45.43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90.29</w:t>
            </w:r>
          </w:p>
        </w:tc>
        <w:tc>
          <w:tcPr>
            <w:tcW w:w="2551" w:type="dxa"/>
            <w:vAlign w:val="center"/>
          </w:tcPr>
          <w:p>
            <w:pPr>
              <w:pStyle w:val="11"/>
            </w:pPr>
            <w:r>
              <w:t>90.29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193.75</w:t>
            </w:r>
          </w:p>
        </w:tc>
        <w:tc>
          <w:tcPr>
            <w:tcW w:w="2551" w:type="dxa"/>
            <w:vAlign w:val="center"/>
          </w:tcPr>
          <w:p>
            <w:pPr>
              <w:pStyle w:val="11"/>
            </w:pPr>
          </w:p>
        </w:tc>
        <w:tc>
          <w:tcPr>
            <w:tcW w:w="2551" w:type="dxa"/>
            <w:vAlign w:val="center"/>
          </w:tcPr>
          <w:p>
            <w:pPr>
              <w:pStyle w:val="11"/>
            </w:pPr>
            <w:r>
              <w:t>193.75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15.80</w:t>
            </w:r>
          </w:p>
        </w:tc>
        <w:tc>
          <w:tcPr>
            <w:tcW w:w="2551" w:type="dxa"/>
            <w:vAlign w:val="center"/>
          </w:tcPr>
          <w:p>
            <w:pPr>
              <w:pStyle w:val="11"/>
            </w:pPr>
          </w:p>
        </w:tc>
        <w:tc>
          <w:tcPr>
            <w:tcW w:w="2551" w:type="dxa"/>
            <w:vAlign w:val="center"/>
          </w:tcPr>
          <w:p>
            <w:pPr>
              <w:pStyle w:val="11"/>
            </w:pPr>
            <w:r>
              <w:t>15.80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30203</w:t>
            </w:r>
          </w:p>
        </w:tc>
        <w:tc>
          <w:tcPr>
            <w:tcW w:w="4535" w:type="dxa"/>
            <w:vAlign w:val="center"/>
          </w:tcPr>
          <w:p>
            <w:pPr>
              <w:pStyle w:val="12"/>
            </w:pPr>
            <w:r>
              <w:t>咨询费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21.62</w:t>
            </w:r>
          </w:p>
        </w:tc>
        <w:tc>
          <w:tcPr>
            <w:tcW w:w="2551" w:type="dxa"/>
            <w:vAlign w:val="center"/>
          </w:tcPr>
          <w:p>
            <w:pPr>
              <w:pStyle w:val="11"/>
            </w:pPr>
          </w:p>
        </w:tc>
        <w:tc>
          <w:tcPr>
            <w:tcW w:w="2551" w:type="dxa"/>
            <w:vAlign w:val="center"/>
          </w:tcPr>
          <w:p>
            <w:pPr>
              <w:pStyle w:val="11"/>
            </w:pPr>
            <w:r>
              <w:t>21.62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26.40</w:t>
            </w:r>
          </w:p>
        </w:tc>
        <w:tc>
          <w:tcPr>
            <w:tcW w:w="2551" w:type="dxa"/>
            <w:vAlign w:val="center"/>
          </w:tcPr>
          <w:p>
            <w:pPr>
              <w:pStyle w:val="11"/>
            </w:pPr>
          </w:p>
        </w:tc>
        <w:tc>
          <w:tcPr>
            <w:tcW w:w="2551" w:type="dxa"/>
            <w:vAlign w:val="center"/>
          </w:tcPr>
          <w:p>
            <w:pPr>
              <w:pStyle w:val="11"/>
            </w:pPr>
            <w:r>
              <w:t>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6.86</w:t>
            </w:r>
          </w:p>
        </w:tc>
        <w:tc>
          <w:tcPr>
            <w:tcW w:w="2551" w:type="dxa"/>
            <w:vAlign w:val="center"/>
          </w:tcPr>
          <w:p>
            <w:pPr>
              <w:pStyle w:val="11"/>
            </w:pPr>
          </w:p>
        </w:tc>
        <w:tc>
          <w:tcPr>
            <w:tcW w:w="2551" w:type="dxa"/>
            <w:vAlign w:val="center"/>
          </w:tcPr>
          <w:p>
            <w:pPr>
              <w:pStyle w:val="11"/>
            </w:pPr>
            <w:r>
              <w:t>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5.74</w:t>
            </w:r>
          </w:p>
        </w:tc>
        <w:tc>
          <w:tcPr>
            <w:tcW w:w="2551" w:type="dxa"/>
            <w:vAlign w:val="center"/>
          </w:tcPr>
          <w:p>
            <w:pPr>
              <w:pStyle w:val="11"/>
            </w:pPr>
          </w:p>
        </w:tc>
        <w:tc>
          <w:tcPr>
            <w:tcW w:w="2551" w:type="dxa"/>
            <w:vAlign w:val="center"/>
          </w:tcPr>
          <w:p>
            <w:pPr>
              <w:pStyle w:val="11"/>
            </w:pPr>
            <w:r>
              <w:t>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34.80</w:t>
            </w:r>
          </w:p>
        </w:tc>
        <w:tc>
          <w:tcPr>
            <w:tcW w:w="2551" w:type="dxa"/>
            <w:vAlign w:val="center"/>
          </w:tcPr>
          <w:p>
            <w:pPr>
              <w:pStyle w:val="11"/>
            </w:pPr>
          </w:p>
        </w:tc>
        <w:tc>
          <w:tcPr>
            <w:tcW w:w="2551" w:type="dxa"/>
            <w:vAlign w:val="center"/>
          </w:tcPr>
          <w:p>
            <w:pPr>
              <w:pStyle w:val="11"/>
            </w:pPr>
            <w:r>
              <w:t>34.80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5.13</w:t>
            </w:r>
          </w:p>
        </w:tc>
        <w:tc>
          <w:tcPr>
            <w:tcW w:w="2551" w:type="dxa"/>
            <w:vAlign w:val="center"/>
          </w:tcPr>
          <w:p>
            <w:pPr>
              <w:pStyle w:val="11"/>
            </w:pPr>
          </w:p>
        </w:tc>
        <w:tc>
          <w:tcPr>
            <w:tcW w:w="2551" w:type="dxa"/>
            <w:vAlign w:val="center"/>
          </w:tcPr>
          <w:p>
            <w:pPr>
              <w:pStyle w:val="11"/>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64.85</w:t>
            </w:r>
          </w:p>
        </w:tc>
        <w:tc>
          <w:tcPr>
            <w:tcW w:w="2551" w:type="dxa"/>
            <w:vAlign w:val="center"/>
          </w:tcPr>
          <w:p>
            <w:pPr>
              <w:pStyle w:val="11"/>
            </w:pPr>
            <w:r>
              <w:t>64.85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3.07</w:t>
            </w:r>
          </w:p>
        </w:tc>
        <w:tc>
          <w:tcPr>
            <w:tcW w:w="2551" w:type="dxa"/>
            <w:vAlign w:val="center"/>
          </w:tcPr>
          <w:p>
            <w:pPr>
              <w:pStyle w:val="11"/>
            </w:pPr>
            <w:r>
              <w:t>3.07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56.78</w:t>
            </w:r>
          </w:p>
        </w:tc>
        <w:tc>
          <w:tcPr>
            <w:tcW w:w="2551" w:type="dxa"/>
            <w:vAlign w:val="center"/>
          </w:tcPr>
          <w:p>
            <w:pPr>
              <w:pStyle w:val="11"/>
            </w:pPr>
            <w:r>
              <w:t>56.78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4.94</w:t>
            </w:r>
          </w:p>
        </w:tc>
        <w:tc>
          <w:tcPr>
            <w:tcW w:w="2551" w:type="dxa"/>
            <w:vAlign w:val="center"/>
          </w:tcPr>
          <w:p>
            <w:pPr>
              <w:pStyle w:val="11"/>
            </w:pPr>
            <w:r>
              <w:t>4.94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0.06</w:t>
            </w:r>
          </w:p>
        </w:tc>
        <w:tc>
          <w:tcPr>
            <w:tcW w:w="2551" w:type="dxa"/>
            <w:vAlign w:val="center"/>
          </w:tcPr>
          <w:p>
            <w:pPr>
              <w:pStyle w:val="11"/>
            </w:pPr>
            <w:r>
              <w:t>0.06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803石家庄市藁城区兴安镇人民政府</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rPr>
                <w:rFonts w:hint="default" w:eastAsia="方正书宋_GBK"/>
                <w:lang w:val="en-US" w:eastAsia="zh-CN"/>
              </w:rPr>
            </w:pPr>
            <w:r>
              <w:rPr>
                <w:rFonts w:hint="eastAsia"/>
                <w:lang w:val="en-US" w:eastAsia="zh-CN"/>
              </w:rPr>
              <w:t>16.40</w:t>
            </w:r>
          </w:p>
        </w:tc>
        <w:tc>
          <w:tcPr>
            <w:tcW w:w="2381" w:type="dxa"/>
            <w:vAlign w:val="center"/>
          </w:tcPr>
          <w:p>
            <w:pPr>
              <w:pStyle w:val="15"/>
              <w:rPr>
                <w:rFonts w:hint="default" w:eastAsia="方正书宋_GBK"/>
                <w:lang w:val="en-US" w:eastAsia="zh-CN"/>
              </w:rPr>
            </w:pPr>
            <w:r>
              <w:rPr>
                <w:rFonts w:hint="eastAsia"/>
                <w:lang w:val="en-US" w:eastAsia="zh-CN"/>
              </w:rPr>
              <w:t>16.40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rPr>
                <w:rFonts w:hint="default" w:eastAsia="方正书宋_GBK"/>
                <w:lang w:val="en-US" w:eastAsia="zh-CN"/>
              </w:rPr>
            </w:pPr>
            <w:r>
              <w:rPr>
                <w:rFonts w:hint="eastAsia"/>
                <w:lang w:val="en-US" w:eastAsia="zh-CN"/>
              </w:rPr>
              <w:t>16.40</w:t>
            </w:r>
          </w:p>
        </w:tc>
        <w:tc>
          <w:tcPr>
            <w:tcW w:w="2381" w:type="dxa"/>
            <w:vAlign w:val="center"/>
          </w:tcPr>
          <w:p>
            <w:pPr>
              <w:pStyle w:val="11"/>
              <w:rPr>
                <w:rFonts w:hint="default" w:eastAsia="方正书宋_GBK"/>
                <w:lang w:val="en-US" w:eastAsia="zh-CN"/>
              </w:rPr>
            </w:pPr>
            <w:r>
              <w:rPr>
                <w:rFonts w:hint="eastAsia"/>
                <w:lang w:val="en-US" w:eastAsia="zh-CN"/>
              </w:rPr>
              <w:t>16.40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rPr>
                <w:rFonts w:hint="default" w:eastAsia="方正书宋_GBK"/>
                <w:lang w:val="en-US" w:eastAsia="zh-CN"/>
              </w:rPr>
            </w:pPr>
            <w:r>
              <w:rPr>
                <w:rFonts w:hint="eastAsia"/>
                <w:lang w:val="en-US" w:eastAsia="zh-CN"/>
              </w:rPr>
              <w:t>16.40</w:t>
            </w:r>
          </w:p>
        </w:tc>
        <w:tc>
          <w:tcPr>
            <w:tcW w:w="2381" w:type="dxa"/>
            <w:vAlign w:val="center"/>
          </w:tcPr>
          <w:p>
            <w:pPr>
              <w:pStyle w:val="11"/>
              <w:rPr>
                <w:rFonts w:hint="default" w:eastAsia="方正书宋_GBK"/>
                <w:lang w:val="en-US" w:eastAsia="zh-CN"/>
              </w:rPr>
            </w:pPr>
            <w:r>
              <w:rPr>
                <w:rFonts w:hint="eastAsia"/>
                <w:lang w:val="en-US" w:eastAsia="zh-CN"/>
              </w:rPr>
              <w:t>16.40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r>
              <w:t>12.00</w:t>
            </w:r>
          </w:p>
        </w:tc>
        <w:tc>
          <w:tcPr>
            <w:tcW w:w="2381" w:type="dxa"/>
            <w:vAlign w:val="center"/>
          </w:tcPr>
          <w:p>
            <w:pPr>
              <w:pStyle w:val="11"/>
            </w:pPr>
            <w:r>
              <w:t>12.00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4.40</w:t>
            </w:r>
          </w:p>
        </w:tc>
        <w:tc>
          <w:tcPr>
            <w:tcW w:w="2381" w:type="dxa"/>
            <w:vAlign w:val="center"/>
          </w:tcPr>
          <w:p>
            <w:pPr>
              <w:pStyle w:val="11"/>
            </w:pPr>
            <w:r>
              <w:t>4.40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石家庄市藁城区兴安镇人民政府本级2024年单位预算信息公开情况说明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按照《中华人民共和国预算法》、《地方预决算公开操作规程》和《关于进一步推进预算公开工作的实施意见》规定，现将石家庄市藁城区兴安镇人民政府本级2024年单位预算公开如下：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hint="eastAsia"/>
        </w:rPr>
      </w:pPr>
      <w:r>
        <w:rPr>
          <w:rFonts w:hint="eastAsia"/>
        </w:rPr>
        <w:t>1.党务、政务管理</w:t>
      </w:r>
    </w:p>
    <w:p>
      <w:pPr>
        <w:pStyle w:val="17"/>
        <w:rPr>
          <w:rFonts w:hint="eastAsia"/>
        </w:rPr>
      </w:pPr>
      <w:r>
        <w:rPr>
          <w:rFonts w:hint="eastAsia"/>
        </w:rPr>
        <w:t>处理机关日常工作的协调和督促检查；负责机关文电、值班、会务、机要、保密、档案、党务政务公开、对外联络、后勤保障等日常运转工作；负责机关和所属单位财务及国有资产管理等工作。</w:t>
      </w:r>
    </w:p>
    <w:p>
      <w:pPr>
        <w:pStyle w:val="17"/>
        <w:rPr>
          <w:rFonts w:hint="eastAsia"/>
        </w:rPr>
      </w:pPr>
      <w:r>
        <w:rPr>
          <w:rFonts w:hint="eastAsia"/>
        </w:rPr>
        <w:t>2.党建工作</w:t>
      </w:r>
    </w:p>
    <w:p>
      <w:pPr>
        <w:pStyle w:val="17"/>
        <w:rPr>
          <w:rFonts w:hint="eastAsia"/>
        </w:rPr>
      </w:pPr>
      <w:r>
        <w:rPr>
          <w:rFonts w:hint="eastAsia"/>
        </w:rPr>
        <w:t>加强镇党委自身建设和村（社区）党组织建设，以及其他隶属镇党委的党组织建设，抓好发展党员工作，加强党员队伍建设。维护和执行党的纪律，监督党员干部和其他任何工作人员严格遵守国家法律法规。</w:t>
      </w:r>
    </w:p>
    <w:p>
      <w:pPr>
        <w:pStyle w:val="17"/>
        <w:rPr>
          <w:rFonts w:hint="eastAsia"/>
        </w:rPr>
      </w:pPr>
      <w:r>
        <w:rPr>
          <w:rFonts w:hint="eastAsia"/>
        </w:rPr>
        <w:t>3.社会治理和应急管理</w:t>
      </w:r>
    </w:p>
    <w:p>
      <w:pPr>
        <w:pStyle w:val="17"/>
        <w:rPr>
          <w:rFonts w:hint="eastAsia"/>
        </w:rPr>
      </w:pPr>
      <w:r>
        <w:rPr>
          <w:rFonts w:hint="eastAsia"/>
        </w:rPr>
        <w:t>做好应急管理工作，落实应急管理责任；做好基层治理综合指挥工作；做好基层网格化管理工作；做好社会治安综合治理工作，做好司法、宗教工作，打击邪教；做好群众 来信来访、搞好农村矛盾纠纷排查调处；妥善处理突发性、群体性事件，维护社会稳定；打击各类犯罪活动。</w:t>
      </w:r>
    </w:p>
    <w:p>
      <w:pPr>
        <w:pStyle w:val="17"/>
        <w:rPr>
          <w:rFonts w:hint="eastAsia"/>
        </w:rPr>
      </w:pPr>
      <w:r>
        <w:rPr>
          <w:rFonts w:hint="eastAsia"/>
        </w:rPr>
        <w:t>4.自然资源和生态环境保护 </w:t>
      </w:r>
    </w:p>
    <w:p>
      <w:pPr>
        <w:pStyle w:val="17"/>
        <w:rPr>
          <w:rFonts w:hint="eastAsia"/>
        </w:rPr>
      </w:pPr>
      <w:r>
        <w:rPr>
          <w:rFonts w:hint="eastAsia"/>
        </w:rPr>
        <w:t>承担自然资源保护和监管、人居环境改善、治理环境污染、“散乱污”企业综合整治等工作。</w:t>
      </w:r>
    </w:p>
    <w:p>
      <w:pPr>
        <w:pStyle w:val="17"/>
        <w:rPr>
          <w:rFonts w:hint="eastAsia"/>
        </w:rPr>
      </w:pPr>
      <w:r>
        <w:rPr>
          <w:rFonts w:hint="eastAsia"/>
        </w:rPr>
        <w:t>5.综合行政执法 </w:t>
      </w:r>
    </w:p>
    <w:p>
      <w:pPr>
        <w:pStyle w:val="17"/>
        <w:rPr>
          <w:rFonts w:hint="eastAsia"/>
        </w:rPr>
      </w:pPr>
      <w:r>
        <w:rPr>
          <w:rFonts w:hint="eastAsia"/>
        </w:rPr>
        <w:t>做好城乡建设、生态环境、文化市场、农业农村、安全生产、民族宗教等领域行政执法工作。</w:t>
      </w:r>
    </w:p>
    <w:p>
      <w:pPr>
        <w:pStyle w:val="17"/>
        <w:rPr>
          <w:rFonts w:hint="eastAsia"/>
        </w:rPr>
      </w:pPr>
      <w:r>
        <w:rPr>
          <w:rFonts w:hint="eastAsia"/>
        </w:rPr>
        <w:t>6.行政综合服务 </w:t>
      </w:r>
    </w:p>
    <w:p>
      <w:pPr>
        <w:pStyle w:val="17"/>
        <w:rPr>
          <w:rFonts w:hint="eastAsia"/>
        </w:rPr>
      </w:pPr>
      <w:r>
        <w:rPr>
          <w:rFonts w:hint="eastAsia"/>
        </w:rPr>
        <w:t>做好行政审批服务事项的受理、办理工作，提供政策和业务咨询；指导村便民服务站点建设。负责镇财政预算管理与执行，负责镇机关收支活动，组织实施镇财务核算及监督工作。</w:t>
      </w:r>
    </w:p>
    <w:p>
      <w:pPr>
        <w:pStyle w:val="17"/>
        <w:rPr>
          <w:rFonts w:hint="eastAsia"/>
        </w:rPr>
      </w:pPr>
      <w:r>
        <w:rPr>
          <w:rFonts w:hint="eastAsia"/>
        </w:rPr>
        <w:t>7.退役军人服务管理 </w:t>
      </w:r>
    </w:p>
    <w:p>
      <w:pPr>
        <w:pStyle w:val="17"/>
        <w:rPr>
          <w:rFonts w:hint="eastAsia"/>
        </w:rPr>
      </w:pPr>
      <w:r>
        <w:rPr>
          <w:rFonts w:hint="eastAsia"/>
        </w:rPr>
        <w:t>宣传贯彻退役军人法律法规，做好退役军人就业、创业扶持、拥军优属、优抚帮扶、走访慰问、信访接待、权益保障等工作；配合武装部做好征兵、民兵、预备役、国防教育相关工作。</w:t>
      </w:r>
    </w:p>
    <w:p>
      <w:pPr>
        <w:pStyle w:val="17"/>
        <w:rPr>
          <w:rFonts w:hint="eastAsia"/>
        </w:rPr>
      </w:pPr>
      <w:r>
        <w:rPr>
          <w:rFonts w:hint="eastAsia"/>
        </w:rPr>
        <w:t>8.农业综合服务 </w:t>
      </w:r>
    </w:p>
    <w:p>
      <w:pPr>
        <w:pStyle w:val="17"/>
        <w:rPr>
          <w:rFonts w:hint="eastAsia"/>
        </w:rPr>
      </w:pPr>
      <w:r>
        <w:rPr>
          <w:rFonts w:hint="eastAsia"/>
        </w:rP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pPr>
        <w:pStyle w:val="17"/>
        <w:rPr>
          <w:rFonts w:hint="eastAsia"/>
        </w:rPr>
      </w:pPr>
      <w:r>
        <w:rPr>
          <w:rFonts w:hint="eastAsia"/>
        </w:rPr>
        <w:t>9.社会救助政策及管理 </w:t>
      </w:r>
    </w:p>
    <w:p>
      <w:pPr>
        <w:pStyle w:val="17"/>
        <w:rPr>
          <w:rFonts w:hint="eastAsia"/>
        </w:rPr>
      </w:pPr>
      <w:r>
        <w:rPr>
          <w:rFonts w:hint="eastAsia"/>
        </w:rPr>
        <w:t>承担社会救助体系建设，负责农村居民最低生活保障、五保供养、医疗救助。</w:t>
      </w:r>
    </w:p>
    <w:p>
      <w:pPr>
        <w:pStyle w:val="17"/>
        <w:rPr>
          <w:rFonts w:hint="eastAsia"/>
        </w:rPr>
      </w:pPr>
      <w:r>
        <w:rPr>
          <w:rFonts w:hint="eastAsia"/>
        </w:rPr>
        <w:t>10.村财镇管、涉农资金 </w:t>
      </w:r>
    </w:p>
    <w:p>
      <w:pPr>
        <w:pStyle w:val="17"/>
        <w:rPr>
          <w:rFonts w:hint="eastAsia"/>
        </w:rPr>
      </w:pPr>
      <w:r>
        <w:rPr>
          <w:rFonts w:hint="eastAsia"/>
        </w:rPr>
        <w:t>负责村级财务核算及监督工作，负责涉农资金的落实，负责管理镇国有资产，实施债权债务监督管理。</w:t>
      </w:r>
    </w:p>
    <w:p>
      <w:pPr>
        <w:pStyle w:val="17"/>
        <w:rPr>
          <w:rFonts w:hint="eastAsia"/>
        </w:rPr>
      </w:pPr>
      <w:r>
        <w:rPr>
          <w:rFonts w:hint="eastAsia"/>
        </w:rPr>
        <w:t>11.文教卫生 </w:t>
      </w:r>
    </w:p>
    <w:p>
      <w:pPr>
        <w:pStyle w:val="17"/>
      </w:pPr>
      <w:r>
        <w:rPr>
          <w:rFonts w:hint="eastAsia"/>
        </w:rPr>
        <w:t>配合教育、科技、文体、卫生等部门搞好义务教育，普及推广科学技术，丰富农村文化生活，开展全民健身运动，推行和完善新型合作医疗制度，提高参保率，加强农村食品安全监管。</w:t>
      </w:r>
      <w:bookmarkStart w:id="1" w:name="_GoBack"/>
      <w:bookmarkEnd w:id="1"/>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石家庄市藁城区兴安镇人民政府本级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反映本单位年全部收入。2024年预算收入3603.01万元，其中：一般公共预算收入3603.01万元，基金预算收入0万元，财政专户核拨收入0万元，其他来源收入0万元。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支出预算的总体情况。2024年单位预算为3603.01万元，其中基本支出1346.58元，包括人员经费1152.83万元和日常公用经费193.75万元；项目支出2256.43万元，主要为一般公共服务项目支出258.48万元，教育支出17.52万元，卫生健康支出7.5万元，城乡社区支出140.07万元，社会保障和就业支出16.86万元，节能环保支出1816万元。</w:t>
      </w:r>
    </w:p>
    <w:p>
      <w:pPr>
        <w:pStyle w:val="18"/>
      </w:pPr>
      <w:r>
        <w:t>3、比上年增减情况</w:t>
      </w:r>
    </w:p>
    <w:p>
      <w:pPr>
        <w:pStyle w:val="18"/>
      </w:pPr>
      <w:r>
        <w:t>2024年单位收支安排3603.01万元，较2023年增加498.22万元，其中：基本支出增加21.63万元，主要是人员经费增加，相应增加日常公用经费；项目支出增加476.59万元，主要是增加城乡社区支出；其他支出无增减变化。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运行经费共计安排193.75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16.4万元，其中：因公出国（境）费0万元，与上年持平，无增减变化；公务用车购置及运维费16.4万元（其中：公务用车购置费12万元，与上年持平，无增减变化；公务用车运行维护费4.4万元，与上年持平购置，无增减变化）；公务接待费0万元，与上年持平。“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1、城乡社区环境综合整治资金绩效目标表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13010924P00000110556B</w:t>
            </w:r>
          </w:p>
        </w:tc>
        <w:tc>
          <w:tcPr>
            <w:tcW w:w="2835" w:type="dxa"/>
            <w:vAlign w:val="center"/>
          </w:tcPr>
          <w:p>
            <w:pPr>
              <w:pStyle w:val="10"/>
            </w:pPr>
            <w:r>
              <w:t>项目名称</w:t>
            </w:r>
          </w:p>
        </w:tc>
        <w:tc>
          <w:tcPr>
            <w:tcW w:w="6094" w:type="dxa"/>
            <w:gridSpan w:val="3"/>
            <w:vAlign w:val="center"/>
          </w:tcPr>
          <w:p>
            <w:pPr>
              <w:pStyle w:val="12"/>
            </w:pPr>
            <w:r>
              <w:t>城乡社区环境综合整治资金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用于辖区内垃圾清理、环境整治、违建拆除等，提升农村环境质量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1.用于辖区内垃圾清理、环境整治、违建拆除等，提升农村环境质量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村容村貌改善农村数量</w:t>
            </w:r>
          </w:p>
        </w:tc>
        <w:tc>
          <w:tcPr>
            <w:tcW w:w="5386" w:type="dxa"/>
            <w:vAlign w:val="center"/>
          </w:tcPr>
          <w:p>
            <w:pPr>
              <w:pStyle w:val="12"/>
            </w:pPr>
            <w:r>
              <w:t>村容村貌得到改善的农村数量</w:t>
            </w:r>
          </w:p>
        </w:tc>
        <w:tc>
          <w:tcPr>
            <w:tcW w:w="2268" w:type="dxa"/>
            <w:vAlign w:val="center"/>
          </w:tcPr>
          <w:p>
            <w:pPr>
              <w:pStyle w:val="12"/>
            </w:pPr>
            <w:r>
              <w:t>19个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农村环境改善质量验收</w:t>
            </w:r>
          </w:p>
        </w:tc>
        <w:tc>
          <w:tcPr>
            <w:tcW w:w="5386" w:type="dxa"/>
            <w:vAlign w:val="center"/>
          </w:tcPr>
          <w:p>
            <w:pPr>
              <w:pStyle w:val="12"/>
            </w:pPr>
            <w:r>
              <w:t>农村环境改善质量验收合格率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2024年12月31日前及时足额支付整改资金</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预算资金成本</w:t>
            </w:r>
          </w:p>
        </w:tc>
        <w:tc>
          <w:tcPr>
            <w:tcW w:w="5386" w:type="dxa"/>
            <w:vAlign w:val="center"/>
          </w:tcPr>
          <w:p>
            <w:pPr>
              <w:pStyle w:val="12"/>
            </w:pPr>
            <w:r>
              <w:t>严控预算资金成本</w:t>
            </w:r>
          </w:p>
        </w:tc>
        <w:tc>
          <w:tcPr>
            <w:tcW w:w="2268" w:type="dxa"/>
            <w:vAlign w:val="center"/>
          </w:tcPr>
          <w:p>
            <w:pPr>
              <w:pStyle w:val="12"/>
            </w:pPr>
            <w:r>
              <w:t>其中垃圾清理、环境整治、违建拆除等共计50万元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解决一批农村突出环境问题</w:t>
            </w:r>
          </w:p>
        </w:tc>
        <w:tc>
          <w:tcPr>
            <w:tcW w:w="2268" w:type="dxa"/>
            <w:vAlign w:val="center"/>
          </w:tcPr>
          <w:p>
            <w:pPr>
              <w:pStyle w:val="12"/>
            </w:pPr>
            <w:r>
              <w:t>较上年提升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群众的满意度</w:t>
            </w:r>
          </w:p>
        </w:tc>
        <w:tc>
          <w:tcPr>
            <w:tcW w:w="2268" w:type="dxa"/>
            <w:vAlign w:val="center"/>
          </w:tcPr>
          <w:p>
            <w:pPr>
              <w:pStyle w:val="12"/>
            </w:pPr>
            <w:r>
              <w:t>≥90达到90%为优</w:t>
            </w:r>
          </w:p>
        </w:tc>
        <w:tc>
          <w:tcPr>
            <w:tcW w:w="1276" w:type="dxa"/>
            <w:vAlign w:val="center"/>
          </w:tcPr>
          <w:p>
            <w:pPr>
              <w:pStyle w:val="12"/>
            </w:pPr>
            <w:r>
              <w:t>抽样调查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2、公用经费（机关后勤运转经费）绩效目标表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13010924P00000110282L</w:t>
            </w:r>
          </w:p>
        </w:tc>
        <w:tc>
          <w:tcPr>
            <w:tcW w:w="2835" w:type="dxa"/>
            <w:vAlign w:val="center"/>
          </w:tcPr>
          <w:p>
            <w:pPr>
              <w:pStyle w:val="10"/>
            </w:pPr>
            <w:r>
              <w:t>项目名称</w:t>
            </w:r>
          </w:p>
        </w:tc>
        <w:tc>
          <w:tcPr>
            <w:tcW w:w="6094" w:type="dxa"/>
            <w:gridSpan w:val="3"/>
            <w:vAlign w:val="center"/>
          </w:tcPr>
          <w:p>
            <w:pPr>
              <w:pStyle w:val="12"/>
            </w:pPr>
            <w:r>
              <w:t>公用经费（机关后勤运转经费）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100.20</w:t>
            </w:r>
          </w:p>
        </w:tc>
        <w:tc>
          <w:tcPr>
            <w:tcW w:w="2835" w:type="dxa"/>
            <w:vAlign w:val="center"/>
          </w:tcPr>
          <w:p>
            <w:pPr>
              <w:pStyle w:val="10"/>
            </w:pPr>
            <w:r>
              <w:t>其中：财政    资金</w:t>
            </w:r>
          </w:p>
        </w:tc>
        <w:tc>
          <w:tcPr>
            <w:tcW w:w="2551" w:type="dxa"/>
            <w:vAlign w:val="center"/>
          </w:tcPr>
          <w:p>
            <w:pPr>
              <w:pStyle w:val="12"/>
            </w:pPr>
            <w:r>
              <w:t>100.20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保障机关后勤工作，及时进行大院修护修缮工作、加强食堂管理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1.保障机关后勤工作，及时进行大院修护修缮工作、加强食堂管理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在编人员数量</w:t>
            </w:r>
          </w:p>
        </w:tc>
        <w:tc>
          <w:tcPr>
            <w:tcW w:w="5386" w:type="dxa"/>
            <w:vAlign w:val="center"/>
          </w:tcPr>
          <w:p>
            <w:pPr>
              <w:pStyle w:val="12"/>
            </w:pPr>
            <w:r>
              <w:t>镇政府在编人员数量</w:t>
            </w:r>
          </w:p>
        </w:tc>
        <w:tc>
          <w:tcPr>
            <w:tcW w:w="2268" w:type="dxa"/>
            <w:vAlign w:val="center"/>
          </w:tcPr>
          <w:p>
            <w:pPr>
              <w:pStyle w:val="12"/>
            </w:pPr>
            <w:r>
              <w:t>≥60人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各项工作完成情况</w:t>
            </w:r>
          </w:p>
        </w:tc>
        <w:tc>
          <w:tcPr>
            <w:tcW w:w="5386" w:type="dxa"/>
            <w:vAlign w:val="center"/>
          </w:tcPr>
          <w:p>
            <w:pPr>
              <w:pStyle w:val="12"/>
            </w:pPr>
            <w:r>
              <w:t>保障各项工作顺利完成</w:t>
            </w:r>
          </w:p>
        </w:tc>
        <w:tc>
          <w:tcPr>
            <w:tcW w:w="2268" w:type="dxa"/>
            <w:vAlign w:val="center"/>
          </w:tcPr>
          <w:p>
            <w:pPr>
              <w:pStyle w:val="12"/>
            </w:pPr>
            <w:r>
              <w:t>顺利完成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各项工作保障时间节点</w:t>
            </w:r>
          </w:p>
        </w:tc>
        <w:tc>
          <w:tcPr>
            <w:tcW w:w="5386" w:type="dxa"/>
            <w:vAlign w:val="center"/>
          </w:tcPr>
          <w:p>
            <w:pPr>
              <w:pStyle w:val="12"/>
            </w:pPr>
            <w:r>
              <w:t>按时完成各项工作任务</w:t>
            </w:r>
          </w:p>
        </w:tc>
        <w:tc>
          <w:tcPr>
            <w:tcW w:w="2268" w:type="dxa"/>
            <w:vAlign w:val="center"/>
          </w:tcPr>
          <w:p>
            <w:pPr>
              <w:pStyle w:val="12"/>
            </w:pPr>
            <w:r>
              <w:t>2024年12月31日前保障镇政府顺利完成各项工作任务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预算资金成本</w:t>
            </w:r>
          </w:p>
        </w:tc>
        <w:tc>
          <w:tcPr>
            <w:tcW w:w="5386" w:type="dxa"/>
            <w:vAlign w:val="center"/>
          </w:tcPr>
          <w:p>
            <w:pPr>
              <w:pStyle w:val="12"/>
            </w:pPr>
            <w:r>
              <w:t>严控预算资金成本</w:t>
            </w:r>
          </w:p>
        </w:tc>
        <w:tc>
          <w:tcPr>
            <w:tcW w:w="2268" w:type="dxa"/>
            <w:vAlign w:val="center"/>
          </w:tcPr>
          <w:p>
            <w:pPr>
              <w:pStyle w:val="12"/>
            </w:pPr>
            <w:r>
              <w:t>伙食费22万元、办公费7.845万、车辆购置费用12万、办公设备购置16.355万、劳务费42万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保障工作高效运转</w:t>
            </w:r>
          </w:p>
        </w:tc>
        <w:tc>
          <w:tcPr>
            <w:tcW w:w="5386" w:type="dxa"/>
            <w:vAlign w:val="center"/>
          </w:tcPr>
          <w:p>
            <w:pPr>
              <w:pStyle w:val="12"/>
            </w:pPr>
            <w:r>
              <w:t>保障工作高效运转，提升公共服务能力</w:t>
            </w:r>
          </w:p>
        </w:tc>
        <w:tc>
          <w:tcPr>
            <w:tcW w:w="2268" w:type="dxa"/>
            <w:vAlign w:val="center"/>
          </w:tcPr>
          <w:p>
            <w:pPr>
              <w:pStyle w:val="12"/>
            </w:pPr>
            <w:r>
              <w:t>年度工作顺利高效完成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职工对机关大院、食堂管理满意度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3、公用经费（信访维稳、安全生产、食品安全）绩效目标表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13010924P000001102838</w:t>
            </w:r>
          </w:p>
        </w:tc>
        <w:tc>
          <w:tcPr>
            <w:tcW w:w="2835" w:type="dxa"/>
            <w:vAlign w:val="center"/>
          </w:tcPr>
          <w:p>
            <w:pPr>
              <w:pStyle w:val="10"/>
            </w:pPr>
            <w:r>
              <w:t>项目名称</w:t>
            </w:r>
          </w:p>
        </w:tc>
        <w:tc>
          <w:tcPr>
            <w:tcW w:w="6094" w:type="dxa"/>
            <w:gridSpan w:val="3"/>
            <w:vAlign w:val="center"/>
          </w:tcPr>
          <w:p>
            <w:pPr>
              <w:pStyle w:val="12"/>
            </w:pPr>
            <w:r>
              <w:t>公用经费（信访维稳、安全生产、食品安全）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用于辖区信访稳定、宗教稳定工作经费，安全生产、食品安全工作经费及后院司法所、办公室、综合服务大厅维修维护等办公经费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 xml:space="preserve">1.用于辖区信访稳定、宗教稳定工作经费，安全生产、食品安全工作经费      </w:t>
            </w:r>
          </w:p>
          <w:p>
            <w:pPr>
              <w:pStyle w:val="12"/>
            </w:pPr>
            <w:r>
              <w:t>2.后院司法所、办公室、综合服务大厅维修维护等办公经费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经费保障率</w:t>
            </w:r>
          </w:p>
        </w:tc>
        <w:tc>
          <w:tcPr>
            <w:tcW w:w="5386" w:type="dxa"/>
            <w:vAlign w:val="center"/>
          </w:tcPr>
          <w:p>
            <w:pPr>
              <w:pStyle w:val="12"/>
            </w:pPr>
            <w:r>
              <w:t>保障有足够经费开展日常工作</w:t>
            </w:r>
          </w:p>
        </w:tc>
        <w:tc>
          <w:tcPr>
            <w:tcW w:w="2268" w:type="dxa"/>
            <w:vAlign w:val="center"/>
          </w:tcPr>
          <w:p>
            <w:pPr>
              <w:pStyle w:val="12"/>
            </w:pPr>
            <w:r>
              <w:t>≥3项</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办公质量</w:t>
            </w:r>
          </w:p>
        </w:tc>
        <w:tc>
          <w:tcPr>
            <w:tcW w:w="5386" w:type="dxa"/>
            <w:vAlign w:val="center"/>
          </w:tcPr>
          <w:p>
            <w:pPr>
              <w:pStyle w:val="12"/>
            </w:pPr>
            <w:r>
              <w:t>做好大院内日常维修、维护</w:t>
            </w:r>
          </w:p>
        </w:tc>
        <w:tc>
          <w:tcPr>
            <w:tcW w:w="2268" w:type="dxa"/>
            <w:vAlign w:val="center"/>
          </w:tcPr>
          <w:p>
            <w:pPr>
              <w:pStyle w:val="12"/>
            </w:pPr>
            <w:r>
              <w:t>≥90达到90%为优</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各项经费及时、足额拨付</w:t>
            </w:r>
          </w:p>
        </w:tc>
        <w:tc>
          <w:tcPr>
            <w:tcW w:w="2268" w:type="dxa"/>
            <w:vAlign w:val="center"/>
          </w:tcPr>
          <w:p>
            <w:pPr>
              <w:pStyle w:val="12"/>
            </w:pPr>
            <w:r>
              <w:t>2024年12月31日前及时、足额支出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机关运行成本</w:t>
            </w:r>
          </w:p>
        </w:tc>
        <w:tc>
          <w:tcPr>
            <w:tcW w:w="5386" w:type="dxa"/>
            <w:vAlign w:val="center"/>
          </w:tcPr>
          <w:p>
            <w:pPr>
              <w:pStyle w:val="12"/>
            </w:pPr>
            <w:r>
              <w:t>缩减机关运行成本</w:t>
            </w:r>
          </w:p>
        </w:tc>
        <w:tc>
          <w:tcPr>
            <w:tcW w:w="2268" w:type="dxa"/>
            <w:vAlign w:val="center"/>
          </w:tcPr>
          <w:p>
            <w:pPr>
              <w:pStyle w:val="12"/>
            </w:pPr>
            <w:r>
              <w:t>辖域内信访稳定、安全生产等工作经费30万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得到广大受众的充分认可</w:t>
            </w:r>
          </w:p>
        </w:tc>
        <w:tc>
          <w:tcPr>
            <w:tcW w:w="2268" w:type="dxa"/>
            <w:vAlign w:val="center"/>
          </w:tcPr>
          <w:p>
            <w:pPr>
              <w:pStyle w:val="12"/>
            </w:pPr>
            <w:r>
              <w:t>≥85达到85%为优</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≥90达到90%为优</w:t>
            </w:r>
          </w:p>
        </w:tc>
        <w:tc>
          <w:tcPr>
            <w:tcW w:w="1276" w:type="dxa"/>
            <w:vAlign w:val="center"/>
          </w:tcPr>
          <w:p>
            <w:pPr>
              <w:pStyle w:val="12"/>
            </w:pPr>
            <w:r>
              <w:t>座谈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4、计划生育独生子女父母奖金绩效目标表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13010924P00000110284U</w:t>
            </w:r>
          </w:p>
        </w:tc>
        <w:tc>
          <w:tcPr>
            <w:tcW w:w="2835" w:type="dxa"/>
            <w:vAlign w:val="center"/>
          </w:tcPr>
          <w:p>
            <w:pPr>
              <w:pStyle w:val="10"/>
            </w:pPr>
            <w:r>
              <w:t>项目名称</w:t>
            </w:r>
          </w:p>
        </w:tc>
        <w:tc>
          <w:tcPr>
            <w:tcW w:w="6094" w:type="dxa"/>
            <w:gridSpan w:val="3"/>
            <w:vAlign w:val="center"/>
          </w:tcPr>
          <w:p>
            <w:pPr>
              <w:pStyle w:val="12"/>
            </w:pPr>
            <w:r>
              <w:t>计划生育独生子女父母奖金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发放农村计划生育独生子女父母奖励资金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1.通过发放农村计划生育独生子女父母奖励资金，体现政府对独生子女父母群体的关爱。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发放独生子女费的村庄数量</w:t>
            </w:r>
          </w:p>
        </w:tc>
        <w:tc>
          <w:tcPr>
            <w:tcW w:w="5386" w:type="dxa"/>
            <w:vAlign w:val="center"/>
          </w:tcPr>
          <w:p>
            <w:pPr>
              <w:pStyle w:val="12"/>
            </w:pPr>
            <w:r>
              <w:t>镇辖域内发放独生子女奖励的村庄全覆盖</w:t>
            </w:r>
          </w:p>
        </w:tc>
        <w:tc>
          <w:tcPr>
            <w:tcW w:w="2268" w:type="dxa"/>
            <w:vAlign w:val="center"/>
          </w:tcPr>
          <w:p>
            <w:pPr>
              <w:pStyle w:val="12"/>
            </w:pPr>
            <w:r>
              <w:t>19个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资金发放完成率</w:t>
            </w:r>
          </w:p>
        </w:tc>
        <w:tc>
          <w:tcPr>
            <w:tcW w:w="5386" w:type="dxa"/>
            <w:vAlign w:val="center"/>
          </w:tcPr>
          <w:p>
            <w:pPr>
              <w:pStyle w:val="12"/>
            </w:pPr>
            <w:r>
              <w:t>独生子女资金发放完成资金占计划发放资金比例</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资金及时发放情况</w:t>
            </w:r>
          </w:p>
        </w:tc>
        <w:tc>
          <w:tcPr>
            <w:tcW w:w="5386" w:type="dxa"/>
            <w:vAlign w:val="center"/>
          </w:tcPr>
          <w:p>
            <w:pPr>
              <w:pStyle w:val="12"/>
            </w:pPr>
            <w:r>
              <w:t>按时间要求足额发放独生子女奖励</w:t>
            </w:r>
          </w:p>
        </w:tc>
        <w:tc>
          <w:tcPr>
            <w:tcW w:w="2268" w:type="dxa"/>
            <w:vAlign w:val="center"/>
          </w:tcPr>
          <w:p>
            <w:pPr>
              <w:pStyle w:val="12"/>
            </w:pPr>
            <w:r>
              <w:t>2024年12月31日前足额发放独生子女奖励</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独生子女年奖励标准</w:t>
            </w:r>
          </w:p>
        </w:tc>
        <w:tc>
          <w:tcPr>
            <w:tcW w:w="5386" w:type="dxa"/>
            <w:vAlign w:val="center"/>
          </w:tcPr>
          <w:p>
            <w:pPr>
              <w:pStyle w:val="12"/>
            </w:pPr>
            <w:r>
              <w:t>独生子女年奖励标准</w:t>
            </w:r>
          </w:p>
        </w:tc>
        <w:tc>
          <w:tcPr>
            <w:tcW w:w="2268" w:type="dxa"/>
            <w:vAlign w:val="center"/>
          </w:tcPr>
          <w:p>
            <w:pPr>
              <w:pStyle w:val="12"/>
            </w:pPr>
            <w:r>
              <w:t>120元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独生子女群体的稳定水平</w:t>
            </w:r>
          </w:p>
        </w:tc>
        <w:tc>
          <w:tcPr>
            <w:tcW w:w="5386" w:type="dxa"/>
            <w:vAlign w:val="center"/>
          </w:tcPr>
          <w:p>
            <w:pPr>
              <w:pStyle w:val="12"/>
            </w:pPr>
            <w:r>
              <w:t>体现政府对独生子女父母群体的关爱</w:t>
            </w:r>
          </w:p>
        </w:tc>
        <w:tc>
          <w:tcPr>
            <w:tcW w:w="2268" w:type="dxa"/>
            <w:vAlign w:val="center"/>
          </w:tcPr>
          <w:p>
            <w:pPr>
              <w:pStyle w:val="12"/>
            </w:pPr>
            <w:r>
              <w:t>较上年提升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收到独生子女费及奖补资金群众的满意度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5、路域清理整治资金绩效目标表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13010924P00000110285F</w:t>
            </w:r>
          </w:p>
        </w:tc>
        <w:tc>
          <w:tcPr>
            <w:tcW w:w="2835" w:type="dxa"/>
            <w:vAlign w:val="center"/>
          </w:tcPr>
          <w:p>
            <w:pPr>
              <w:pStyle w:val="10"/>
            </w:pPr>
            <w:r>
              <w:t>项目名称</w:t>
            </w:r>
          </w:p>
        </w:tc>
        <w:tc>
          <w:tcPr>
            <w:tcW w:w="6094" w:type="dxa"/>
            <w:gridSpan w:val="3"/>
            <w:vAlign w:val="center"/>
          </w:tcPr>
          <w:p>
            <w:pPr>
              <w:pStyle w:val="12"/>
            </w:pPr>
            <w:r>
              <w:t>路域清理整治资金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90.07</w:t>
            </w:r>
          </w:p>
        </w:tc>
        <w:tc>
          <w:tcPr>
            <w:tcW w:w="2835" w:type="dxa"/>
            <w:vAlign w:val="center"/>
          </w:tcPr>
          <w:p>
            <w:pPr>
              <w:pStyle w:val="10"/>
            </w:pPr>
            <w:r>
              <w:t>其中：财政    资金</w:t>
            </w:r>
          </w:p>
        </w:tc>
        <w:tc>
          <w:tcPr>
            <w:tcW w:w="2551" w:type="dxa"/>
            <w:vAlign w:val="center"/>
          </w:tcPr>
          <w:p>
            <w:pPr>
              <w:pStyle w:val="12"/>
            </w:pPr>
            <w:r>
              <w:t>90.07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用于镇域内路域环境提升整治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1.用于镇域内路域环境提升整治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村容村貌得到改善</w:t>
            </w:r>
          </w:p>
        </w:tc>
        <w:tc>
          <w:tcPr>
            <w:tcW w:w="5386" w:type="dxa"/>
            <w:vAlign w:val="center"/>
          </w:tcPr>
          <w:p>
            <w:pPr>
              <w:pStyle w:val="12"/>
            </w:pPr>
            <w:r>
              <w:t>路域环境得到改善的村庄数量</w:t>
            </w:r>
          </w:p>
        </w:tc>
        <w:tc>
          <w:tcPr>
            <w:tcW w:w="2268" w:type="dxa"/>
            <w:vAlign w:val="center"/>
          </w:tcPr>
          <w:p>
            <w:pPr>
              <w:pStyle w:val="12"/>
            </w:pPr>
            <w:r>
              <w:t>≥10个</w:t>
            </w:r>
          </w:p>
        </w:tc>
        <w:tc>
          <w:tcPr>
            <w:tcW w:w="1276" w:type="dxa"/>
            <w:vAlign w:val="center"/>
          </w:tcPr>
          <w:p>
            <w:pPr>
              <w:pStyle w:val="12"/>
            </w:pPr>
            <w:r>
              <w:t>年度工作计划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2024年12月31日前及时足额支付整改资金</w:t>
            </w:r>
          </w:p>
        </w:tc>
        <w:tc>
          <w:tcPr>
            <w:tcW w:w="1276" w:type="dxa"/>
            <w:vAlign w:val="center"/>
          </w:tcPr>
          <w:p>
            <w:pPr>
              <w:pStyle w:val="12"/>
            </w:pPr>
            <w:r>
              <w:t>年度工作计划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农村环境改善质量验收</w:t>
            </w:r>
          </w:p>
        </w:tc>
        <w:tc>
          <w:tcPr>
            <w:tcW w:w="5386" w:type="dxa"/>
            <w:vAlign w:val="center"/>
          </w:tcPr>
          <w:p>
            <w:pPr>
              <w:pStyle w:val="12"/>
            </w:pPr>
            <w:r>
              <w:t>路域环境改善质量验收合格率</w:t>
            </w:r>
          </w:p>
        </w:tc>
        <w:tc>
          <w:tcPr>
            <w:tcW w:w="2268" w:type="dxa"/>
            <w:vAlign w:val="center"/>
          </w:tcPr>
          <w:p>
            <w:pPr>
              <w:pStyle w:val="12"/>
            </w:pPr>
            <w:r>
              <w:t>≥90%</w:t>
            </w:r>
          </w:p>
        </w:tc>
        <w:tc>
          <w:tcPr>
            <w:tcW w:w="1276" w:type="dxa"/>
            <w:vAlign w:val="center"/>
          </w:tcPr>
          <w:p>
            <w:pPr>
              <w:pStyle w:val="12"/>
            </w:pPr>
            <w:r>
              <w:t>年度工作计划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307、定魏线两侧提升改造项目成本</w:t>
            </w:r>
          </w:p>
        </w:tc>
        <w:tc>
          <w:tcPr>
            <w:tcW w:w="2268" w:type="dxa"/>
            <w:vAlign w:val="center"/>
          </w:tcPr>
          <w:p>
            <w:pPr>
              <w:pStyle w:val="12"/>
            </w:pPr>
            <w:r>
              <w:t>全年307资金50万、定魏线两侧提升改造资金57.37万元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解决路域脏乱差突出环境问题</w:t>
            </w:r>
          </w:p>
        </w:tc>
        <w:tc>
          <w:tcPr>
            <w:tcW w:w="2268" w:type="dxa"/>
            <w:vAlign w:val="center"/>
          </w:tcPr>
          <w:p>
            <w:pPr>
              <w:pStyle w:val="12"/>
            </w:pPr>
            <w:r>
              <w:t>环境整体提升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群众对城乡社区环境卫生及创建卫生城项目的满意度</w:t>
            </w:r>
          </w:p>
        </w:tc>
        <w:tc>
          <w:tcPr>
            <w:tcW w:w="2268" w:type="dxa"/>
            <w:vAlign w:val="center"/>
          </w:tcPr>
          <w:p>
            <w:pPr>
              <w:pStyle w:val="12"/>
            </w:pPr>
            <w:r>
              <w:t>≥90%</w:t>
            </w:r>
          </w:p>
        </w:tc>
        <w:tc>
          <w:tcPr>
            <w:tcW w:w="1276" w:type="dxa"/>
            <w:vAlign w:val="center"/>
          </w:tcPr>
          <w:p>
            <w:pPr>
              <w:pStyle w:val="12"/>
            </w:pPr>
            <w:r>
              <w:t>群众座谈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6、社会综合治理（综治、联防队员劳务费、律师费等）绩效目标表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13010924P00000110555P</w:t>
            </w:r>
          </w:p>
        </w:tc>
        <w:tc>
          <w:tcPr>
            <w:tcW w:w="2835" w:type="dxa"/>
            <w:vAlign w:val="center"/>
          </w:tcPr>
          <w:p>
            <w:pPr>
              <w:pStyle w:val="10"/>
            </w:pPr>
            <w:r>
              <w:t>项目名称</w:t>
            </w:r>
          </w:p>
        </w:tc>
        <w:tc>
          <w:tcPr>
            <w:tcW w:w="6094" w:type="dxa"/>
            <w:gridSpan w:val="3"/>
            <w:vAlign w:val="center"/>
          </w:tcPr>
          <w:p>
            <w:pPr>
              <w:pStyle w:val="12"/>
            </w:pPr>
            <w:r>
              <w:t>社会综合治理（综治、联防队员劳务费、律师费等）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w:t>
            </w:r>
          </w:p>
        </w:tc>
        <w:tc>
          <w:tcPr>
            <w:tcW w:w="2835" w:type="dxa"/>
            <w:vAlign w:val="center"/>
          </w:tcPr>
          <w:p>
            <w:pPr>
              <w:pStyle w:val="10"/>
            </w:pPr>
            <w:r>
              <w:t>其中：财政    资金</w:t>
            </w:r>
          </w:p>
        </w:tc>
        <w:tc>
          <w:tcPr>
            <w:tcW w:w="2551" w:type="dxa"/>
            <w:vAlign w:val="center"/>
          </w:tcPr>
          <w:p>
            <w:pPr>
              <w:pStyle w:val="12"/>
            </w:pPr>
            <w:r>
              <w:t>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资金用于联防队员、聘用人员的劳务费等；社会综合治理及律师费，达到机关正常运转的目的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1.资金用于联防队员、聘用人员的劳务费等；社会综合治理及律师费，达到机关正常运转的目的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联防队员、门岗、河道等人员数量</w:t>
            </w:r>
          </w:p>
        </w:tc>
        <w:tc>
          <w:tcPr>
            <w:tcW w:w="2268" w:type="dxa"/>
            <w:vAlign w:val="center"/>
          </w:tcPr>
          <w:p>
            <w:pPr>
              <w:pStyle w:val="12"/>
            </w:pPr>
            <w:r>
              <w:t>≤45人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发放工资及时率</w:t>
            </w:r>
          </w:p>
        </w:tc>
        <w:tc>
          <w:tcPr>
            <w:tcW w:w="2268" w:type="dxa"/>
            <w:vAlign w:val="center"/>
          </w:tcPr>
          <w:p>
            <w:pPr>
              <w:pStyle w:val="12"/>
            </w:pPr>
            <w:r>
              <w:t>2024年12月31日前完成工资发放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工作运转质量</w:t>
            </w:r>
          </w:p>
        </w:tc>
        <w:tc>
          <w:tcPr>
            <w:tcW w:w="5386" w:type="dxa"/>
            <w:vAlign w:val="center"/>
          </w:tcPr>
          <w:p>
            <w:pPr>
              <w:pStyle w:val="12"/>
            </w:pPr>
            <w:r>
              <w:t>保障社会治理工作运转高效</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资金成本控制率</w:t>
            </w:r>
          </w:p>
        </w:tc>
        <w:tc>
          <w:tcPr>
            <w:tcW w:w="2268" w:type="dxa"/>
            <w:vAlign w:val="center"/>
          </w:tcPr>
          <w:p>
            <w:pPr>
              <w:pStyle w:val="12"/>
            </w:pPr>
            <w:r>
              <w:t>工资、社保等基本保障费用140万元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重要影响，得到广大受众的充分认可</w:t>
            </w:r>
          </w:p>
        </w:tc>
        <w:tc>
          <w:tcPr>
            <w:tcW w:w="2268" w:type="dxa"/>
            <w:vAlign w:val="center"/>
          </w:tcPr>
          <w:p>
            <w:pPr>
              <w:pStyle w:val="12"/>
            </w:pPr>
            <w:r>
              <w:t>较上年提升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服务人员的满意程度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7、石财建【2023】88号中央-土壤污染防治专项资金绩效目标表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13010924P000001104414</w:t>
            </w:r>
          </w:p>
        </w:tc>
        <w:tc>
          <w:tcPr>
            <w:tcW w:w="2835" w:type="dxa"/>
            <w:vAlign w:val="center"/>
          </w:tcPr>
          <w:p>
            <w:pPr>
              <w:pStyle w:val="10"/>
            </w:pPr>
            <w:r>
              <w:t>项目名称</w:t>
            </w:r>
          </w:p>
        </w:tc>
        <w:tc>
          <w:tcPr>
            <w:tcW w:w="6094" w:type="dxa"/>
            <w:gridSpan w:val="3"/>
            <w:vAlign w:val="center"/>
          </w:tcPr>
          <w:p>
            <w:pPr>
              <w:pStyle w:val="12"/>
            </w:pPr>
            <w:r>
              <w:t>石财建【2023】88号中央-土壤污染防治专项资金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1816.00</w:t>
            </w:r>
          </w:p>
        </w:tc>
        <w:tc>
          <w:tcPr>
            <w:tcW w:w="2835" w:type="dxa"/>
            <w:vAlign w:val="center"/>
          </w:tcPr>
          <w:p>
            <w:pPr>
              <w:pStyle w:val="10"/>
            </w:pPr>
            <w:r>
              <w:t>其中：财政    资金</w:t>
            </w:r>
          </w:p>
        </w:tc>
        <w:tc>
          <w:tcPr>
            <w:tcW w:w="2551" w:type="dxa"/>
            <w:vAlign w:val="center"/>
          </w:tcPr>
          <w:p>
            <w:pPr>
              <w:pStyle w:val="12"/>
            </w:pPr>
            <w:r>
              <w:t>1816.00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用于完成兴安镇东里村滹沱河北岸历史遗留项目固体废物源头整治（涉金属历史遗留矿渣污染治理重点任务）</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1.完成兴安镇东里村滹沱河北岸历史遗留项目固体废物源头整治（涉金属历史遗留矿渣污染治理重点任务）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环境污染案件处理数（个）</w:t>
            </w:r>
          </w:p>
        </w:tc>
        <w:tc>
          <w:tcPr>
            <w:tcW w:w="5386" w:type="dxa"/>
            <w:vAlign w:val="center"/>
          </w:tcPr>
          <w:p>
            <w:pPr>
              <w:pStyle w:val="12"/>
            </w:pPr>
            <w:r>
              <w:t>环境污染案件处理数（个）</w:t>
            </w:r>
          </w:p>
        </w:tc>
        <w:tc>
          <w:tcPr>
            <w:tcW w:w="2268" w:type="dxa"/>
            <w:vAlign w:val="center"/>
          </w:tcPr>
          <w:p>
            <w:pPr>
              <w:pStyle w:val="12"/>
            </w:pPr>
            <w:r>
              <w:t>1个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交工验收核验覆盖率</w:t>
            </w:r>
          </w:p>
        </w:tc>
        <w:tc>
          <w:tcPr>
            <w:tcW w:w="5386" w:type="dxa"/>
            <w:vAlign w:val="center"/>
          </w:tcPr>
          <w:p>
            <w:pPr>
              <w:pStyle w:val="12"/>
            </w:pPr>
            <w:r>
              <w:t>提高验收项目的工程质量，确保验收拟通过项目质量达标合格%</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专项资金拨付及时率</w:t>
            </w:r>
          </w:p>
        </w:tc>
        <w:tc>
          <w:tcPr>
            <w:tcW w:w="2268" w:type="dxa"/>
            <w:vAlign w:val="center"/>
          </w:tcPr>
          <w:p>
            <w:pPr>
              <w:pStyle w:val="12"/>
            </w:pPr>
            <w:r>
              <w:t>2024年12月31日前完成项目</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2268" w:type="dxa"/>
            <w:vAlign w:val="center"/>
          </w:tcPr>
          <w:p>
            <w:pPr>
              <w:pStyle w:val="12"/>
            </w:pPr>
            <w:r>
              <w:t>≤1816万元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满足生态环保要求</w:t>
            </w:r>
          </w:p>
        </w:tc>
        <w:tc>
          <w:tcPr>
            <w:tcW w:w="5386" w:type="dxa"/>
            <w:vAlign w:val="center"/>
          </w:tcPr>
          <w:p>
            <w:pPr>
              <w:pStyle w:val="12"/>
            </w:pPr>
            <w:r>
              <w:t>满足生态环保要求</w:t>
            </w:r>
          </w:p>
        </w:tc>
        <w:tc>
          <w:tcPr>
            <w:tcW w:w="2268" w:type="dxa"/>
            <w:vAlign w:val="center"/>
          </w:tcPr>
          <w:p>
            <w:pPr>
              <w:pStyle w:val="12"/>
            </w:pPr>
            <w:r>
              <w:t>达到验收标准，满足生态环保要求</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项目实施效果的满意程度</w:t>
            </w:r>
          </w:p>
        </w:tc>
        <w:tc>
          <w:tcPr>
            <w:tcW w:w="5386" w:type="dxa"/>
            <w:vAlign w:val="center"/>
          </w:tcPr>
          <w:p>
            <w:pPr>
              <w:pStyle w:val="12"/>
            </w:pPr>
            <w:r>
              <w:t>项目实施效果的满意程度</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8、维护社会稳定及国家安全绩效目标表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13010924P00000110557Y</w:t>
            </w:r>
          </w:p>
        </w:tc>
        <w:tc>
          <w:tcPr>
            <w:tcW w:w="2835" w:type="dxa"/>
            <w:vAlign w:val="center"/>
          </w:tcPr>
          <w:p>
            <w:pPr>
              <w:pStyle w:val="10"/>
            </w:pPr>
            <w:r>
              <w:t>项目名称</w:t>
            </w:r>
          </w:p>
        </w:tc>
        <w:tc>
          <w:tcPr>
            <w:tcW w:w="6094" w:type="dxa"/>
            <w:gridSpan w:val="3"/>
            <w:vAlign w:val="center"/>
          </w:tcPr>
          <w:p>
            <w:pPr>
              <w:pStyle w:val="12"/>
            </w:pPr>
            <w:r>
              <w:t>维护社会稳定及国家安全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用于维稳差旅费、对稳控群体的相关补助，达到维护社会稳定及国家安全的目的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1.用于维稳差旅费、对稳控群体的相关补助，达到维护社会稳定及国家安全的目的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驻外维稳的天数</w:t>
            </w:r>
          </w:p>
        </w:tc>
        <w:tc>
          <w:tcPr>
            <w:tcW w:w="5386" w:type="dxa"/>
            <w:vAlign w:val="center"/>
          </w:tcPr>
          <w:p>
            <w:pPr>
              <w:pStyle w:val="12"/>
            </w:pPr>
            <w:r>
              <w:t>维护社会稳定驻外办公的天数</w:t>
            </w:r>
          </w:p>
        </w:tc>
        <w:tc>
          <w:tcPr>
            <w:tcW w:w="2268" w:type="dxa"/>
            <w:vAlign w:val="center"/>
          </w:tcPr>
          <w:p>
            <w:pPr>
              <w:pStyle w:val="12"/>
            </w:pPr>
            <w:r>
              <w:t>≥180天</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维稳资金到位率</w:t>
            </w:r>
          </w:p>
        </w:tc>
        <w:tc>
          <w:tcPr>
            <w:tcW w:w="5386" w:type="dxa"/>
            <w:vAlign w:val="center"/>
          </w:tcPr>
          <w:p>
            <w:pPr>
              <w:pStyle w:val="12"/>
            </w:pPr>
            <w:r>
              <w:t>维护社会稳定资金到位率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各项经费及时、足额拨付</w:t>
            </w:r>
          </w:p>
        </w:tc>
        <w:tc>
          <w:tcPr>
            <w:tcW w:w="2268" w:type="dxa"/>
            <w:vAlign w:val="center"/>
          </w:tcPr>
          <w:p>
            <w:pPr>
              <w:pStyle w:val="12"/>
            </w:pPr>
            <w:r>
              <w:t>2024年12月31日前及时足额支付资金</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预算资金成本</w:t>
            </w:r>
          </w:p>
        </w:tc>
        <w:tc>
          <w:tcPr>
            <w:tcW w:w="5386" w:type="dxa"/>
            <w:vAlign w:val="center"/>
          </w:tcPr>
          <w:p>
            <w:pPr>
              <w:pStyle w:val="12"/>
            </w:pPr>
            <w:r>
              <w:t>严控预算资金成本</w:t>
            </w:r>
          </w:p>
        </w:tc>
        <w:tc>
          <w:tcPr>
            <w:tcW w:w="2268" w:type="dxa"/>
            <w:vAlign w:val="center"/>
          </w:tcPr>
          <w:p>
            <w:pPr>
              <w:pStyle w:val="12"/>
            </w:pPr>
            <w:r>
              <w:t>其中差旅费4万元、补助费用6万元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村稳定水平</w:t>
            </w:r>
          </w:p>
        </w:tc>
        <w:tc>
          <w:tcPr>
            <w:tcW w:w="5386" w:type="dxa"/>
            <w:vAlign w:val="center"/>
          </w:tcPr>
          <w:p>
            <w:pPr>
              <w:pStyle w:val="12"/>
            </w:pPr>
            <w:r>
              <w:t>通过解决问题实施稳控</w:t>
            </w:r>
          </w:p>
        </w:tc>
        <w:tc>
          <w:tcPr>
            <w:tcW w:w="2268" w:type="dxa"/>
            <w:vAlign w:val="center"/>
          </w:tcPr>
          <w:p>
            <w:pPr>
              <w:pStyle w:val="12"/>
            </w:pPr>
            <w:r>
              <w:t>较上年提升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对维稳工作的满意度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9、学区工会费绩效目标表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13010924P000001102811</w:t>
            </w:r>
          </w:p>
        </w:tc>
        <w:tc>
          <w:tcPr>
            <w:tcW w:w="2835" w:type="dxa"/>
            <w:vAlign w:val="center"/>
          </w:tcPr>
          <w:p>
            <w:pPr>
              <w:pStyle w:val="10"/>
            </w:pPr>
            <w:r>
              <w:t>项目名称</w:t>
            </w:r>
          </w:p>
        </w:tc>
        <w:tc>
          <w:tcPr>
            <w:tcW w:w="6094" w:type="dxa"/>
            <w:gridSpan w:val="3"/>
            <w:vAlign w:val="center"/>
          </w:tcPr>
          <w:p>
            <w:pPr>
              <w:pStyle w:val="12"/>
            </w:pPr>
            <w:r>
              <w:t>学区工会费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17.52</w:t>
            </w:r>
          </w:p>
        </w:tc>
        <w:tc>
          <w:tcPr>
            <w:tcW w:w="2835" w:type="dxa"/>
            <w:vAlign w:val="center"/>
          </w:tcPr>
          <w:p>
            <w:pPr>
              <w:pStyle w:val="10"/>
            </w:pPr>
            <w:r>
              <w:t>其中：财政    资金</w:t>
            </w:r>
          </w:p>
        </w:tc>
        <w:tc>
          <w:tcPr>
            <w:tcW w:w="2551" w:type="dxa"/>
            <w:vAlign w:val="center"/>
          </w:tcPr>
          <w:p>
            <w:pPr>
              <w:pStyle w:val="12"/>
            </w:pPr>
            <w:r>
              <w:t>17.52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及时足额上缴工会费、保障工会工作正常运转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1.及时足额上缴工会费、保障工会工作正常运转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工会人员覆盖率</w:t>
            </w:r>
          </w:p>
        </w:tc>
        <w:tc>
          <w:tcPr>
            <w:tcW w:w="5386" w:type="dxa"/>
            <w:vAlign w:val="center"/>
          </w:tcPr>
          <w:p>
            <w:pPr>
              <w:pStyle w:val="12"/>
            </w:pPr>
            <w:r>
              <w:t>学区工会人员全覆盖</w:t>
            </w:r>
          </w:p>
        </w:tc>
        <w:tc>
          <w:tcPr>
            <w:tcW w:w="2268" w:type="dxa"/>
            <w:vAlign w:val="center"/>
          </w:tcPr>
          <w:p>
            <w:pPr>
              <w:pStyle w:val="12"/>
            </w:pPr>
            <w:r>
              <w:t>≥339人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资金缴纳完成情况</w:t>
            </w:r>
          </w:p>
        </w:tc>
        <w:tc>
          <w:tcPr>
            <w:tcW w:w="5386" w:type="dxa"/>
            <w:vAlign w:val="center"/>
          </w:tcPr>
          <w:p>
            <w:pPr>
              <w:pStyle w:val="12"/>
            </w:pPr>
            <w:r>
              <w:t>按工会计划金额上缴工会经费</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资金及时缴纳情况</w:t>
            </w:r>
          </w:p>
        </w:tc>
        <w:tc>
          <w:tcPr>
            <w:tcW w:w="5386" w:type="dxa"/>
            <w:vAlign w:val="center"/>
          </w:tcPr>
          <w:p>
            <w:pPr>
              <w:pStyle w:val="12"/>
            </w:pPr>
            <w:r>
              <w:t>按工会安排时间进度上缴工会费</w:t>
            </w:r>
          </w:p>
        </w:tc>
        <w:tc>
          <w:tcPr>
            <w:tcW w:w="2268" w:type="dxa"/>
            <w:vAlign w:val="center"/>
          </w:tcPr>
          <w:p>
            <w:pPr>
              <w:pStyle w:val="12"/>
            </w:pPr>
            <w:r>
              <w:t>2024年12月31日前及时上缴工会经费</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预算资金成本</w:t>
            </w:r>
          </w:p>
        </w:tc>
        <w:tc>
          <w:tcPr>
            <w:tcW w:w="5386" w:type="dxa"/>
            <w:vAlign w:val="center"/>
          </w:tcPr>
          <w:p>
            <w:pPr>
              <w:pStyle w:val="12"/>
            </w:pPr>
            <w:r>
              <w:t>严控预算资金成本</w:t>
            </w:r>
          </w:p>
        </w:tc>
        <w:tc>
          <w:tcPr>
            <w:tcW w:w="2268" w:type="dxa"/>
            <w:vAlign w:val="center"/>
          </w:tcPr>
          <w:p>
            <w:pPr>
              <w:pStyle w:val="12"/>
            </w:pPr>
            <w:r>
              <w:t>≥0.05万元/人</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工会活动影响力</w:t>
            </w:r>
          </w:p>
        </w:tc>
        <w:tc>
          <w:tcPr>
            <w:tcW w:w="5386" w:type="dxa"/>
            <w:vAlign w:val="center"/>
          </w:tcPr>
          <w:p>
            <w:pPr>
              <w:pStyle w:val="12"/>
            </w:pPr>
            <w:r>
              <w:t>工会利用工会费举办职工活动，丰富职工业余生活</w:t>
            </w:r>
          </w:p>
        </w:tc>
        <w:tc>
          <w:tcPr>
            <w:tcW w:w="2268" w:type="dxa"/>
            <w:vAlign w:val="center"/>
          </w:tcPr>
          <w:p>
            <w:pPr>
              <w:pStyle w:val="12"/>
            </w:pPr>
            <w:r>
              <w:t>较上年提升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工会职工满意度</w:t>
            </w:r>
          </w:p>
        </w:tc>
        <w:tc>
          <w:tcPr>
            <w:tcW w:w="5386" w:type="dxa"/>
            <w:vAlign w:val="center"/>
          </w:tcPr>
          <w:p>
            <w:pPr>
              <w:pStyle w:val="12"/>
            </w:pPr>
            <w:r>
              <w:t>满意人员占全部人员百分比</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10、原经贸系统关闭企业下放回乡涉军人员荣军补贴绩效目标表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13010924P000001102863</w:t>
            </w:r>
          </w:p>
        </w:tc>
        <w:tc>
          <w:tcPr>
            <w:tcW w:w="2835" w:type="dxa"/>
            <w:vAlign w:val="center"/>
          </w:tcPr>
          <w:p>
            <w:pPr>
              <w:pStyle w:val="10"/>
            </w:pPr>
            <w:r>
              <w:t>项目名称</w:t>
            </w:r>
          </w:p>
        </w:tc>
        <w:tc>
          <w:tcPr>
            <w:tcW w:w="6094" w:type="dxa"/>
            <w:gridSpan w:val="3"/>
            <w:vAlign w:val="center"/>
          </w:tcPr>
          <w:p>
            <w:pPr>
              <w:pStyle w:val="12"/>
            </w:pPr>
            <w:r>
              <w:t>原经贸系统关闭企业下放回乡涉军人员荣军补贴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6.86</w:t>
            </w:r>
          </w:p>
        </w:tc>
        <w:tc>
          <w:tcPr>
            <w:tcW w:w="2835" w:type="dxa"/>
            <w:vAlign w:val="center"/>
          </w:tcPr>
          <w:p>
            <w:pPr>
              <w:pStyle w:val="10"/>
            </w:pPr>
            <w:r>
              <w:t>其中：财政    资金</w:t>
            </w:r>
          </w:p>
        </w:tc>
        <w:tc>
          <w:tcPr>
            <w:tcW w:w="2551" w:type="dxa"/>
            <w:vAlign w:val="center"/>
          </w:tcPr>
          <w:p>
            <w:pPr>
              <w:pStyle w:val="12"/>
            </w:pPr>
            <w:r>
              <w:t>6.86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用于辖区信访稳定、宗教稳定工作经费，安全生产、食品安全工作经费及后院司法所、办公室、综合服务大厅维修维护等办公经费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1.用于辖区信访稳定、宗教稳定工作经费，安全生产、食品安全工作经费及后院司法所、办公室、综合服务大厅维修维护等办公经费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涉军人员发放补贴人数</w:t>
            </w:r>
          </w:p>
        </w:tc>
        <w:tc>
          <w:tcPr>
            <w:tcW w:w="5386" w:type="dxa"/>
            <w:vAlign w:val="center"/>
          </w:tcPr>
          <w:p>
            <w:pPr>
              <w:pStyle w:val="12"/>
            </w:pPr>
            <w:r>
              <w:t>维护稳定群体人数</w:t>
            </w:r>
          </w:p>
        </w:tc>
        <w:tc>
          <w:tcPr>
            <w:tcW w:w="2268" w:type="dxa"/>
            <w:vAlign w:val="center"/>
          </w:tcPr>
          <w:p>
            <w:pPr>
              <w:pStyle w:val="12"/>
            </w:pPr>
            <w:r>
              <w:t>28人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维稳资金到位率</w:t>
            </w:r>
          </w:p>
        </w:tc>
        <w:tc>
          <w:tcPr>
            <w:tcW w:w="5386" w:type="dxa"/>
            <w:vAlign w:val="center"/>
          </w:tcPr>
          <w:p>
            <w:pPr>
              <w:pStyle w:val="12"/>
            </w:pPr>
            <w:r>
              <w:t>维护社会稳定资金到位率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及时拨付情况</w:t>
            </w:r>
          </w:p>
        </w:tc>
        <w:tc>
          <w:tcPr>
            <w:tcW w:w="5386" w:type="dxa"/>
            <w:vAlign w:val="center"/>
          </w:tcPr>
          <w:p>
            <w:pPr>
              <w:pStyle w:val="12"/>
            </w:pPr>
            <w:r>
              <w:t>各项经费足额及时拨付</w:t>
            </w:r>
          </w:p>
        </w:tc>
        <w:tc>
          <w:tcPr>
            <w:tcW w:w="2268" w:type="dxa"/>
            <w:vAlign w:val="center"/>
          </w:tcPr>
          <w:p>
            <w:pPr>
              <w:pStyle w:val="12"/>
            </w:pPr>
            <w:r>
              <w:t>每季度末按时发放生活补贴</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预算资金成本</w:t>
            </w:r>
          </w:p>
        </w:tc>
        <w:tc>
          <w:tcPr>
            <w:tcW w:w="5386" w:type="dxa"/>
            <w:vAlign w:val="center"/>
          </w:tcPr>
          <w:p>
            <w:pPr>
              <w:pStyle w:val="12"/>
            </w:pPr>
            <w:r>
              <w:t>严控预算资金成本</w:t>
            </w:r>
          </w:p>
        </w:tc>
        <w:tc>
          <w:tcPr>
            <w:tcW w:w="2268" w:type="dxa"/>
            <w:vAlign w:val="center"/>
          </w:tcPr>
          <w:p>
            <w:pPr>
              <w:pStyle w:val="12"/>
            </w:pPr>
            <w:r>
              <w:t>6位涉军人员220元/月、22位涉军人员200/月</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村稳定水平提升情况</w:t>
            </w:r>
          </w:p>
        </w:tc>
        <w:tc>
          <w:tcPr>
            <w:tcW w:w="5386" w:type="dxa"/>
            <w:vAlign w:val="center"/>
          </w:tcPr>
          <w:p>
            <w:pPr>
              <w:pStyle w:val="12"/>
            </w:pPr>
            <w:r>
              <w:t>通过解决问题实施稳控</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服务对象对维稳工作的满意度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11、政府工会费绩效目标表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13010924P00000110280D</w:t>
            </w:r>
          </w:p>
        </w:tc>
        <w:tc>
          <w:tcPr>
            <w:tcW w:w="2835" w:type="dxa"/>
            <w:vAlign w:val="center"/>
          </w:tcPr>
          <w:p>
            <w:pPr>
              <w:pStyle w:val="10"/>
            </w:pPr>
            <w:r>
              <w:t>项目名称</w:t>
            </w:r>
          </w:p>
        </w:tc>
        <w:tc>
          <w:tcPr>
            <w:tcW w:w="6094" w:type="dxa"/>
            <w:gridSpan w:val="3"/>
            <w:vAlign w:val="center"/>
          </w:tcPr>
          <w:p>
            <w:pPr>
              <w:pStyle w:val="12"/>
            </w:pPr>
            <w:r>
              <w:t>政府工会费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3.28</w:t>
            </w:r>
          </w:p>
        </w:tc>
        <w:tc>
          <w:tcPr>
            <w:tcW w:w="2835" w:type="dxa"/>
            <w:vAlign w:val="center"/>
          </w:tcPr>
          <w:p>
            <w:pPr>
              <w:pStyle w:val="10"/>
            </w:pPr>
            <w:r>
              <w:t>其中：财政    资金</w:t>
            </w:r>
          </w:p>
        </w:tc>
        <w:tc>
          <w:tcPr>
            <w:tcW w:w="2551" w:type="dxa"/>
            <w:vAlign w:val="center"/>
          </w:tcPr>
          <w:p>
            <w:pPr>
              <w:pStyle w:val="12"/>
            </w:pPr>
            <w:r>
              <w:t>3.28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及时足额上缴工会费、保障工会工作正常运转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1.及时足额上缴工会费、保障工会工作正常运转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在编人员数量</w:t>
            </w:r>
          </w:p>
        </w:tc>
        <w:tc>
          <w:tcPr>
            <w:tcW w:w="5386" w:type="dxa"/>
            <w:vAlign w:val="center"/>
          </w:tcPr>
          <w:p>
            <w:pPr>
              <w:pStyle w:val="12"/>
            </w:pPr>
            <w:r>
              <w:t>镇政府在编人员数量</w:t>
            </w:r>
          </w:p>
        </w:tc>
        <w:tc>
          <w:tcPr>
            <w:tcW w:w="2268" w:type="dxa"/>
            <w:vAlign w:val="center"/>
          </w:tcPr>
          <w:p>
            <w:pPr>
              <w:pStyle w:val="12"/>
            </w:pPr>
            <w:r>
              <w:t>≥60人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资金缴纳完成情况</w:t>
            </w:r>
          </w:p>
        </w:tc>
        <w:tc>
          <w:tcPr>
            <w:tcW w:w="5386" w:type="dxa"/>
            <w:vAlign w:val="center"/>
          </w:tcPr>
          <w:p>
            <w:pPr>
              <w:pStyle w:val="12"/>
            </w:pPr>
            <w:r>
              <w:t>按工会安排的资金金额上缴工会费</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资金及时缴纳情况</w:t>
            </w:r>
          </w:p>
        </w:tc>
        <w:tc>
          <w:tcPr>
            <w:tcW w:w="5386" w:type="dxa"/>
            <w:vAlign w:val="center"/>
          </w:tcPr>
          <w:p>
            <w:pPr>
              <w:pStyle w:val="12"/>
            </w:pPr>
            <w:r>
              <w:t>按工会安排的时间上缴工会费</w:t>
            </w:r>
          </w:p>
        </w:tc>
        <w:tc>
          <w:tcPr>
            <w:tcW w:w="2268" w:type="dxa"/>
            <w:vAlign w:val="center"/>
          </w:tcPr>
          <w:p>
            <w:pPr>
              <w:pStyle w:val="12"/>
            </w:pPr>
            <w:r>
              <w:t>2024年12月31日前完成工会费上缴</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预算资金成本</w:t>
            </w:r>
          </w:p>
        </w:tc>
        <w:tc>
          <w:tcPr>
            <w:tcW w:w="5386" w:type="dxa"/>
            <w:vAlign w:val="center"/>
          </w:tcPr>
          <w:p>
            <w:pPr>
              <w:pStyle w:val="12"/>
            </w:pPr>
            <w:r>
              <w:t>严控预算资金成本</w:t>
            </w:r>
          </w:p>
        </w:tc>
        <w:tc>
          <w:tcPr>
            <w:tcW w:w="2268" w:type="dxa"/>
            <w:vAlign w:val="center"/>
          </w:tcPr>
          <w:p>
            <w:pPr>
              <w:pStyle w:val="12"/>
            </w:pPr>
            <w:r>
              <w:t>≤0.05万元/人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工会活动影响力</w:t>
            </w:r>
          </w:p>
        </w:tc>
        <w:tc>
          <w:tcPr>
            <w:tcW w:w="5386" w:type="dxa"/>
            <w:vAlign w:val="center"/>
          </w:tcPr>
          <w:p>
            <w:pPr>
              <w:pStyle w:val="12"/>
            </w:pPr>
            <w:r>
              <w:t>工会利用工会费举办职工活动，丰富职工业余生活</w:t>
            </w:r>
          </w:p>
        </w:tc>
        <w:tc>
          <w:tcPr>
            <w:tcW w:w="2268" w:type="dxa"/>
            <w:vAlign w:val="center"/>
          </w:tcPr>
          <w:p>
            <w:pPr>
              <w:pStyle w:val="12"/>
            </w:pPr>
            <w:r>
              <w:t>较上年提升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工会职工满意度</w:t>
            </w:r>
          </w:p>
        </w:tc>
        <w:tc>
          <w:tcPr>
            <w:tcW w:w="5386" w:type="dxa"/>
            <w:vAlign w:val="center"/>
          </w:tcPr>
          <w:p>
            <w:pPr>
              <w:pStyle w:val="12"/>
            </w:pPr>
            <w:r>
              <w:t>满意人员占全部人员百分比</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803001石家庄市藁城区兴安镇人民政府本级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石家庄市藁城区兴安镇人民政府本级上年末固定资产金额为973.50万元（详见下表）。本年度拟购置固定资产总额为28.36万元，已按要求列入政府采购预算，详见政府采购预算表。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803001石家庄市藁城区兴安镇人民政府本级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973.50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4790</w:t>
            </w:r>
          </w:p>
        </w:tc>
        <w:tc>
          <w:tcPr>
            <w:tcW w:w="2835" w:type="dxa"/>
            <w:vAlign w:val="center"/>
          </w:tcPr>
          <w:p>
            <w:pPr>
              <w:pStyle w:val="11"/>
            </w:pPr>
            <w:r>
              <w:t>874.23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1130</w:t>
            </w:r>
          </w:p>
        </w:tc>
        <w:tc>
          <w:tcPr>
            <w:tcW w:w="2835" w:type="dxa"/>
            <w:vAlign w:val="center"/>
          </w:tcPr>
          <w:p>
            <w:pPr>
              <w:pStyle w:val="11"/>
            </w:pPr>
            <w:r>
              <w:t>111.63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924</w:t>
            </w:r>
          </w:p>
        </w:tc>
        <w:tc>
          <w:tcPr>
            <w:tcW w:w="2835" w:type="dxa"/>
            <w:vAlign w:val="center"/>
          </w:tcPr>
          <w:p>
            <w:pPr>
              <w:pStyle w:val="11"/>
            </w:pPr>
            <w:r>
              <w:t>90.63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2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UwMjlhNWM4OWE4MmVjOWRjNzhhOGQxYzcyNGRkN2MifQ=="/>
  </w:docVars>
  <w:rsids>
    <w:rsidRoot w:val="00000000"/>
    <w:rsid w:val="0266691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autoRedefine/>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4" Type="http://schemas.openxmlformats.org/officeDocument/2006/relationships/fontTable" Target="fontTable.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2024-02-29T16:53:02Z</dcterms:created>
  <dcterms:modified xsi:type="dcterms:W3CDTF">2024-02-29T08:53:02Z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2024-02-29T16:53:08Z</dcterms:created>
  <dcterms:modified xsi:type="dcterms:W3CDTF">2024-02-29T08:53:08Z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2024-02-29T16:53:07Z</dcterms:created>
  <dcterms:modified xsi:type="dcterms:W3CDTF">2024-02-29T08:53:07Z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2024-02-29T16:53:07Z</dcterms:created>
  <dcterms:modified xsi:type="dcterms:W3CDTF">2024-02-29T08:53:07Z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2024-02-29T16:53:06Z</dcterms:created>
  <dcterms:modified xsi:type="dcterms:W3CDTF">2024-02-29T08:53:06Z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2024-02-29T16:53:05Z</dcterms:created>
  <dcterms:modified xsi:type="dcterms:W3CDTF">2024-02-29T08:53:05Z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2024-02-29T16:53:04Z</dcterms:created>
  <dcterms:modified xsi:type="dcterms:W3CDTF">2024-02-29T08:53:04Z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2024-02-29T16:53:04Z</dcterms:created>
  <dcterms:modified xsi:type="dcterms:W3CDTF">2024-02-29T08:53:04Z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2024-02-29T16:53:03Z</dcterms:created>
  <dcterms:modified xsi:type="dcterms:W3CDTF">2024-02-29T08:53:03Z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2024-02-29T16:52:14Z</dcterms:created>
  <dcterms:modified xsi:type="dcterms:W3CDTF">2024-02-29T08:52:14Z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2024-02-29T16:53:02Z</dcterms:created>
  <dcterms:modified xsi:type="dcterms:W3CDTF">2024-02-29T08:53:02Z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2024-02-29T16:53:01Z</dcterms:created>
  <dcterms:modified xsi:type="dcterms:W3CDTF">2024-02-29T08:53:01Z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2024-02-29T16:52:20Z</dcterms:created>
  <dcterms:modified xsi:type="dcterms:W3CDTF">2024-02-29T08:52:20Z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2024-02-29T16:53:09Z</dcterms:created>
  <dcterms:modified xsi:type="dcterms:W3CDTF">2024-02-29T08:53:09Z</dcterms:modified>
</cp:coreProperties>
</file>

<file path=customXml/itemProps1.xml><?xml version="1.0" encoding="utf-8"?>
<ds:datastoreItem xmlns:ds="http://schemas.openxmlformats.org/officeDocument/2006/customXml" ds:itemID="{8f5bbf0a-4dcc-4794-b6aa-71697ca426eb}">
  <ds:schemaRefs/>
</ds:datastoreItem>
</file>

<file path=customXml/itemProps10.xml><?xml version="1.0" encoding="utf-8"?>
<ds:datastoreItem xmlns:ds="http://schemas.openxmlformats.org/officeDocument/2006/customXml" ds:itemID="{ac3b518f-6fe7-4f03-ab2f-7abf130482e5}">
  <ds:schemaRefs/>
</ds:datastoreItem>
</file>

<file path=customXml/itemProps11.xml><?xml version="1.0" encoding="utf-8"?>
<ds:datastoreItem xmlns:ds="http://schemas.openxmlformats.org/officeDocument/2006/customXml" ds:itemID="{568ff28a-75a7-43a0-a215-a8627b811d92}">
  <ds:schemaRefs/>
</ds:datastoreItem>
</file>

<file path=customXml/itemProps12.xml><?xml version="1.0" encoding="utf-8"?>
<ds:datastoreItem xmlns:ds="http://schemas.openxmlformats.org/officeDocument/2006/customXml" ds:itemID="{c5443cce-4e71-4ad8-9e80-2cf49ba5c0bd}">
  <ds:schemaRefs/>
</ds:datastoreItem>
</file>

<file path=customXml/itemProps13.xml><?xml version="1.0" encoding="utf-8"?>
<ds:datastoreItem xmlns:ds="http://schemas.openxmlformats.org/officeDocument/2006/customXml" ds:itemID="{3950699b-6583-4612-bce9-49dc711b7d10}">
  <ds:schemaRefs/>
</ds:datastoreItem>
</file>

<file path=customXml/itemProps14.xml><?xml version="1.0" encoding="utf-8"?>
<ds:datastoreItem xmlns:ds="http://schemas.openxmlformats.org/officeDocument/2006/customXml" ds:itemID="{8fac67bd-6ce5-4e51-9dd0-f0d74aa81da1}">
  <ds:schemaRefs/>
</ds:datastoreItem>
</file>

<file path=customXml/itemProps15.xml><?xml version="1.0" encoding="utf-8"?>
<ds:datastoreItem xmlns:ds="http://schemas.openxmlformats.org/officeDocument/2006/customXml" ds:itemID="{7af345d3-091d-4a43-b573-9ffc2b343065}">
  <ds:schemaRefs/>
</ds:datastoreItem>
</file>

<file path=customXml/itemProps16.xml><?xml version="1.0" encoding="utf-8"?>
<ds:datastoreItem xmlns:ds="http://schemas.openxmlformats.org/officeDocument/2006/customXml" ds:itemID="{5116cb3e-3cbf-4726-afeb-eadd8a9b50ba}">
  <ds:schemaRefs/>
</ds:datastoreItem>
</file>

<file path=customXml/itemProps17.xml><?xml version="1.0" encoding="utf-8"?>
<ds:datastoreItem xmlns:ds="http://schemas.openxmlformats.org/officeDocument/2006/customXml" ds:itemID="{65b9a80c-d74b-48a8-acea-56e85f0a7c0b}">
  <ds:schemaRefs/>
</ds:datastoreItem>
</file>

<file path=customXml/itemProps18.xml><?xml version="1.0" encoding="utf-8"?>
<ds:datastoreItem xmlns:ds="http://schemas.openxmlformats.org/officeDocument/2006/customXml" ds:itemID="{7fea89ab-8c65-4c0e-aa56-88b6f1fe28cd}">
  <ds:schemaRefs/>
</ds:datastoreItem>
</file>

<file path=customXml/itemProps19.xml><?xml version="1.0" encoding="utf-8"?>
<ds:datastoreItem xmlns:ds="http://schemas.openxmlformats.org/officeDocument/2006/customXml" ds:itemID="{7bdac40d-b330-4d26-bd10-7a59ccf6ffa2}">
  <ds:schemaRefs/>
</ds:datastoreItem>
</file>

<file path=customXml/itemProps2.xml><?xml version="1.0" encoding="utf-8"?>
<ds:datastoreItem xmlns:ds="http://schemas.openxmlformats.org/officeDocument/2006/customXml" ds:itemID="{43a900fb-550b-477a-a158-67ec4f1beaa6}">
  <ds:schemaRefs/>
</ds:datastoreItem>
</file>

<file path=customXml/itemProps20.xml><?xml version="1.0" encoding="utf-8"?>
<ds:datastoreItem xmlns:ds="http://schemas.openxmlformats.org/officeDocument/2006/customXml" ds:itemID="{9f03a18e-bd47-482a-9133-51e08533d660}">
  <ds:schemaRefs/>
</ds:datastoreItem>
</file>

<file path=customXml/itemProps21.xml><?xml version="1.0" encoding="utf-8"?>
<ds:datastoreItem xmlns:ds="http://schemas.openxmlformats.org/officeDocument/2006/customXml" ds:itemID="{db88b297-69d0-4948-81c6-021bf7955fa4}">
  <ds:schemaRefs/>
</ds:datastoreItem>
</file>

<file path=customXml/itemProps22.xml><?xml version="1.0" encoding="utf-8"?>
<ds:datastoreItem xmlns:ds="http://schemas.openxmlformats.org/officeDocument/2006/customXml" ds:itemID="{9f6cccf3-9904-48b9-aed2-8b566e9400cb}">
  <ds:schemaRefs/>
</ds:datastoreItem>
</file>

<file path=customXml/itemProps23.xml><?xml version="1.0" encoding="utf-8"?>
<ds:datastoreItem xmlns:ds="http://schemas.openxmlformats.org/officeDocument/2006/customXml" ds:itemID="{3614189f-8c3b-4f06-99af-8fb871d1a5d6}">
  <ds:schemaRefs/>
</ds:datastoreItem>
</file>

<file path=customXml/itemProps24.xml><?xml version="1.0" encoding="utf-8"?>
<ds:datastoreItem xmlns:ds="http://schemas.openxmlformats.org/officeDocument/2006/customXml" ds:itemID="{e307d380-b8ad-4b64-bf25-c7664309f168}">
  <ds:schemaRefs/>
</ds:datastoreItem>
</file>

<file path=customXml/itemProps25.xml><?xml version="1.0" encoding="utf-8"?>
<ds:datastoreItem xmlns:ds="http://schemas.openxmlformats.org/officeDocument/2006/customXml" ds:itemID="{a04bd8ba-3c37-407d-86c6-2d04fff42bed}">
  <ds:schemaRefs/>
</ds:datastoreItem>
</file>

<file path=customXml/itemProps26.xml><?xml version="1.0" encoding="utf-8"?>
<ds:datastoreItem xmlns:ds="http://schemas.openxmlformats.org/officeDocument/2006/customXml" ds:itemID="{f5ee87b9-a849-43ff-b0cf-a5efcac8c1ea}">
  <ds:schemaRefs/>
</ds:datastoreItem>
</file>

<file path=customXml/itemProps27.xml><?xml version="1.0" encoding="utf-8"?>
<ds:datastoreItem xmlns:ds="http://schemas.openxmlformats.org/officeDocument/2006/customXml" ds:itemID="{996d5196-68ff-45b3-9fdd-53f2dd911cea}">
  <ds:schemaRefs/>
</ds:datastoreItem>
</file>

<file path=customXml/itemProps28.xml><?xml version="1.0" encoding="utf-8"?>
<ds:datastoreItem xmlns:ds="http://schemas.openxmlformats.org/officeDocument/2006/customXml" ds:itemID="{94a9a8eb-ba21-4d80-b28d-895ffa0062f4}">
  <ds:schemaRefs/>
</ds:datastoreItem>
</file>

<file path=customXml/itemProps3.xml><?xml version="1.0" encoding="utf-8"?>
<ds:datastoreItem xmlns:ds="http://schemas.openxmlformats.org/officeDocument/2006/customXml" ds:itemID="{12935b32-b0f7-422b-bf94-68a2393018f4}">
  <ds:schemaRefs/>
</ds:datastoreItem>
</file>

<file path=customXml/itemProps4.xml><?xml version="1.0" encoding="utf-8"?>
<ds:datastoreItem xmlns:ds="http://schemas.openxmlformats.org/officeDocument/2006/customXml" ds:itemID="{551c01c8-452e-4918-83db-f582d988c8ad}">
  <ds:schemaRefs/>
</ds:datastoreItem>
</file>

<file path=customXml/itemProps5.xml><?xml version="1.0" encoding="utf-8"?>
<ds:datastoreItem xmlns:ds="http://schemas.openxmlformats.org/officeDocument/2006/customXml" ds:itemID="{4f3cc1a7-42c8-4a9c-a2b1-396e3d46cac7}">
  <ds:schemaRefs/>
</ds:datastoreItem>
</file>

<file path=customXml/itemProps6.xml><?xml version="1.0" encoding="utf-8"?>
<ds:datastoreItem xmlns:ds="http://schemas.openxmlformats.org/officeDocument/2006/customXml" ds:itemID="{fd272221-4716-4479-a2b0-a4005c2ca5e1}">
  <ds:schemaRefs/>
</ds:datastoreItem>
</file>

<file path=customXml/itemProps7.xml><?xml version="1.0" encoding="utf-8"?>
<ds:datastoreItem xmlns:ds="http://schemas.openxmlformats.org/officeDocument/2006/customXml" ds:itemID="{5a20184b-5b72-43e5-8251-50f7c638121c}">
  <ds:schemaRefs/>
</ds:datastoreItem>
</file>

<file path=customXml/itemProps8.xml><?xml version="1.0" encoding="utf-8"?>
<ds:datastoreItem xmlns:ds="http://schemas.openxmlformats.org/officeDocument/2006/customXml" ds:itemID="{b51831a8-5f1e-4c7f-a28d-05738ed74fbd}">
  <ds:schemaRefs/>
</ds:datastoreItem>
</file>

<file path=customXml/itemProps9.xml><?xml version="1.0" encoding="utf-8"?>
<ds:datastoreItem xmlns:ds="http://schemas.openxmlformats.org/officeDocument/2006/customXml" ds:itemID="{454182ee-ac61-4b33-a1e1-fcb84802fd5e}">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2024-02-29T16:53:00Z</dcterms:created>
  <dc:creator>Administrator</dc:creator>
  <cp:lastModifiedBy>倔强</cp:lastModifiedBy>
  <dcterms:modified xsi:type="dcterms:W3CDTF">2024-03-04T11:57:19Z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2980F89E1310407DB1A55F4D44DF3941_12</vt:lpwstr>
  </property>
</Properties>
</file>