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一、石家庄市藁城区西关镇人民政府本级收支预算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一、石家庄市藁城区西关镇人民政府本级收支预算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1479.27</w:t>
            </w:r>
          </w:p>
        </w:tc>
        <w:tc>
          <w:tcPr>
            <w:tcW w:w="4535" w:type="dxa"/>
            <w:vAlign w:val="center"/>
          </w:tcPr>
          <w:p>
            <w:pPr>
              <w:pStyle w:val="12"/>
            </w:pPr>
            <w:r>
              <w:t>一、一般公共服务支出</w:t>
            </w:r>
          </w:p>
        </w:tc>
        <w:tc>
          <w:tcPr>
            <w:tcW w:w="2126" w:type="dxa"/>
            <w:vAlign w:val="center"/>
          </w:tcPr>
          <w:p>
            <w:pPr>
              <w:pStyle w:val="11"/>
            </w:pPr>
            <w:r>
              <w:t>1324.86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1479.27</w:t>
            </w:r>
          </w:p>
        </w:tc>
        <w:tc>
          <w:tcPr>
            <w:tcW w:w="4535" w:type="dxa"/>
            <w:vAlign w:val="center"/>
          </w:tcPr>
          <w:p>
            <w:pPr>
              <w:pStyle w:val="14"/>
            </w:pPr>
            <w:r>
              <w:t>本年支出合计</w:t>
            </w:r>
          </w:p>
        </w:tc>
        <w:tc>
          <w:tcPr>
            <w:tcW w:w="2126" w:type="dxa"/>
            <w:vAlign w:val="center"/>
          </w:tcPr>
          <w:p>
            <w:pPr>
              <w:pStyle w:val="15"/>
            </w:pPr>
            <w:r>
              <w:t>1490.07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10.80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1490.07</w:t>
            </w:r>
          </w:p>
        </w:tc>
        <w:tc>
          <w:tcPr>
            <w:tcW w:w="4535" w:type="dxa"/>
            <w:vAlign w:val="center"/>
          </w:tcPr>
          <w:p>
            <w:pPr>
              <w:pStyle w:val="14"/>
            </w:pPr>
            <w:r>
              <w:t>支出总计</w:t>
            </w:r>
          </w:p>
        </w:tc>
        <w:tc>
          <w:tcPr>
            <w:tcW w:w="2126" w:type="dxa"/>
            <w:vAlign w:val="center"/>
          </w:tcPr>
          <w:p>
            <w:pPr>
              <w:pStyle w:val="15"/>
            </w:pPr>
            <w:r>
              <w:t>1490.07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1490.07</w:t>
            </w:r>
          </w:p>
        </w:tc>
        <w:tc>
          <w:tcPr>
            <w:tcW w:w="1134" w:type="dxa"/>
            <w:vAlign w:val="center"/>
          </w:tcPr>
          <w:p>
            <w:pPr>
              <w:pStyle w:val="15"/>
            </w:pPr>
            <w:r>
              <w:t>1479.27</w:t>
            </w:r>
          </w:p>
        </w:tc>
        <w:tc>
          <w:tcPr>
            <w:tcW w:w="1134" w:type="dxa"/>
            <w:vAlign w:val="center"/>
          </w:tcPr>
          <w:p>
            <w:pPr>
              <w:pStyle w:val="15"/>
            </w:pPr>
            <w:r>
              <w:t>1479.27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1324.86</w:t>
            </w:r>
          </w:p>
        </w:tc>
        <w:tc>
          <w:tcPr>
            <w:tcW w:w="1134" w:type="dxa"/>
            <w:vAlign w:val="center"/>
          </w:tcPr>
          <w:p>
            <w:pPr>
              <w:pStyle w:val="11"/>
            </w:pPr>
            <w:r>
              <w:t>1324.86</w:t>
            </w:r>
          </w:p>
        </w:tc>
        <w:tc>
          <w:tcPr>
            <w:tcW w:w="1134" w:type="dxa"/>
            <w:vAlign w:val="center"/>
          </w:tcPr>
          <w:p>
            <w:pPr>
              <w:pStyle w:val="11"/>
            </w:pPr>
            <w:r>
              <w:t>1324.86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1324.86</w:t>
            </w:r>
          </w:p>
        </w:tc>
        <w:tc>
          <w:tcPr>
            <w:tcW w:w="1134" w:type="dxa"/>
            <w:vAlign w:val="center"/>
          </w:tcPr>
          <w:p>
            <w:pPr>
              <w:pStyle w:val="11"/>
            </w:pPr>
            <w:r>
              <w:t>1324.86</w:t>
            </w:r>
          </w:p>
        </w:tc>
        <w:tc>
          <w:tcPr>
            <w:tcW w:w="1134" w:type="dxa"/>
            <w:vAlign w:val="center"/>
          </w:tcPr>
          <w:p>
            <w:pPr>
              <w:pStyle w:val="11"/>
            </w:pPr>
            <w:r>
              <w:t>1324.86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1144.71</w:t>
            </w:r>
          </w:p>
        </w:tc>
        <w:tc>
          <w:tcPr>
            <w:tcW w:w="1134" w:type="dxa"/>
            <w:vAlign w:val="center"/>
          </w:tcPr>
          <w:p>
            <w:pPr>
              <w:pStyle w:val="11"/>
            </w:pPr>
            <w:r>
              <w:t>1144.71</w:t>
            </w:r>
          </w:p>
        </w:tc>
        <w:tc>
          <w:tcPr>
            <w:tcW w:w="1134" w:type="dxa"/>
            <w:vAlign w:val="center"/>
          </w:tcPr>
          <w:p>
            <w:pPr>
              <w:pStyle w:val="11"/>
            </w:pPr>
            <w:r>
              <w:t>1144.71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180.15</w:t>
            </w:r>
          </w:p>
        </w:tc>
        <w:tc>
          <w:tcPr>
            <w:tcW w:w="1134" w:type="dxa"/>
            <w:vAlign w:val="center"/>
          </w:tcPr>
          <w:p>
            <w:pPr>
              <w:pStyle w:val="11"/>
            </w:pPr>
            <w:r>
              <w:t>180.15</w:t>
            </w:r>
          </w:p>
        </w:tc>
        <w:tc>
          <w:tcPr>
            <w:tcW w:w="1134" w:type="dxa"/>
            <w:vAlign w:val="center"/>
          </w:tcPr>
          <w:p>
            <w:pPr>
              <w:pStyle w:val="11"/>
            </w:pPr>
            <w:r>
              <w:t>180.15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11.85</w:t>
            </w:r>
          </w:p>
        </w:tc>
        <w:tc>
          <w:tcPr>
            <w:tcW w:w="1134" w:type="dxa"/>
            <w:vAlign w:val="center"/>
          </w:tcPr>
          <w:p>
            <w:pPr>
              <w:pStyle w:val="11"/>
            </w:pPr>
            <w:r>
              <w:t>11.85</w:t>
            </w:r>
          </w:p>
        </w:tc>
        <w:tc>
          <w:tcPr>
            <w:tcW w:w="1134" w:type="dxa"/>
            <w:vAlign w:val="center"/>
          </w:tcPr>
          <w:p>
            <w:pPr>
              <w:pStyle w:val="11"/>
            </w:pPr>
            <w:r>
              <w:t>11.85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11.85</w:t>
            </w:r>
          </w:p>
        </w:tc>
        <w:tc>
          <w:tcPr>
            <w:tcW w:w="1134" w:type="dxa"/>
            <w:vAlign w:val="center"/>
          </w:tcPr>
          <w:p>
            <w:pPr>
              <w:pStyle w:val="11"/>
            </w:pPr>
            <w:r>
              <w:t>11.85</w:t>
            </w:r>
          </w:p>
        </w:tc>
        <w:tc>
          <w:tcPr>
            <w:tcW w:w="1134" w:type="dxa"/>
            <w:vAlign w:val="center"/>
          </w:tcPr>
          <w:p>
            <w:pPr>
              <w:pStyle w:val="11"/>
            </w:pPr>
            <w:r>
              <w:t>11.85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11.85</w:t>
            </w:r>
          </w:p>
        </w:tc>
        <w:tc>
          <w:tcPr>
            <w:tcW w:w="1134" w:type="dxa"/>
            <w:vAlign w:val="center"/>
          </w:tcPr>
          <w:p>
            <w:pPr>
              <w:pStyle w:val="11"/>
            </w:pPr>
            <w:r>
              <w:t>11.85</w:t>
            </w:r>
          </w:p>
        </w:tc>
        <w:tc>
          <w:tcPr>
            <w:tcW w:w="1134" w:type="dxa"/>
            <w:vAlign w:val="center"/>
          </w:tcPr>
          <w:p>
            <w:pPr>
              <w:pStyle w:val="11"/>
            </w:pPr>
            <w:r>
              <w:t>11.85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11.02</w:t>
            </w:r>
          </w:p>
        </w:tc>
        <w:tc>
          <w:tcPr>
            <w:tcW w:w="1134" w:type="dxa"/>
            <w:vAlign w:val="center"/>
          </w:tcPr>
          <w:p>
            <w:pPr>
              <w:pStyle w:val="11"/>
            </w:pPr>
            <w:r>
              <w:t>11.02</w:t>
            </w:r>
          </w:p>
        </w:tc>
        <w:tc>
          <w:tcPr>
            <w:tcW w:w="1134" w:type="dxa"/>
            <w:vAlign w:val="center"/>
          </w:tcPr>
          <w:p>
            <w:pPr>
              <w:pStyle w:val="11"/>
            </w:pPr>
            <w:r>
              <w:t>11.02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11.02</w:t>
            </w:r>
          </w:p>
        </w:tc>
        <w:tc>
          <w:tcPr>
            <w:tcW w:w="1134" w:type="dxa"/>
            <w:vAlign w:val="center"/>
          </w:tcPr>
          <w:p>
            <w:pPr>
              <w:pStyle w:val="11"/>
            </w:pPr>
            <w:r>
              <w:t>11.02</w:t>
            </w:r>
          </w:p>
        </w:tc>
        <w:tc>
          <w:tcPr>
            <w:tcW w:w="1134" w:type="dxa"/>
            <w:vAlign w:val="center"/>
          </w:tcPr>
          <w:p>
            <w:pPr>
              <w:pStyle w:val="11"/>
            </w:pPr>
            <w:r>
              <w:t>11.02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11.02</w:t>
            </w:r>
          </w:p>
        </w:tc>
        <w:tc>
          <w:tcPr>
            <w:tcW w:w="1134" w:type="dxa"/>
            <w:vAlign w:val="center"/>
          </w:tcPr>
          <w:p>
            <w:pPr>
              <w:pStyle w:val="11"/>
            </w:pPr>
            <w:r>
              <w:t>11.02</w:t>
            </w:r>
          </w:p>
        </w:tc>
        <w:tc>
          <w:tcPr>
            <w:tcW w:w="1134" w:type="dxa"/>
            <w:vAlign w:val="center"/>
          </w:tcPr>
          <w:p>
            <w:pPr>
              <w:pStyle w:val="11"/>
            </w:pPr>
            <w:r>
              <w:t>11.02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113.80</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113.80</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r>
              <w:t>24.04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1490.07</w:t>
            </w:r>
          </w:p>
        </w:tc>
        <w:tc>
          <w:tcPr>
            <w:tcW w:w="1361" w:type="dxa"/>
            <w:vAlign w:val="center"/>
          </w:tcPr>
          <w:p>
            <w:pPr>
              <w:pStyle w:val="15"/>
            </w:pPr>
            <w:r>
              <w:t>1144.71</w:t>
            </w:r>
          </w:p>
        </w:tc>
        <w:tc>
          <w:tcPr>
            <w:tcW w:w="1361" w:type="dxa"/>
            <w:vAlign w:val="center"/>
          </w:tcPr>
          <w:p>
            <w:pPr>
              <w:pStyle w:val="15"/>
            </w:pPr>
            <w:r>
              <w:t>345.36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1324.86</w:t>
            </w:r>
          </w:p>
        </w:tc>
        <w:tc>
          <w:tcPr>
            <w:tcW w:w="1361" w:type="dxa"/>
            <w:vAlign w:val="center"/>
          </w:tcPr>
          <w:p>
            <w:pPr>
              <w:pStyle w:val="11"/>
            </w:pPr>
            <w:r>
              <w:t>1144.71</w:t>
            </w:r>
          </w:p>
        </w:tc>
        <w:tc>
          <w:tcPr>
            <w:tcW w:w="1361" w:type="dxa"/>
            <w:vAlign w:val="center"/>
          </w:tcPr>
          <w:p>
            <w:pPr>
              <w:pStyle w:val="11"/>
            </w:pPr>
            <w:r>
              <w:t>180.15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1324.86</w:t>
            </w:r>
          </w:p>
        </w:tc>
        <w:tc>
          <w:tcPr>
            <w:tcW w:w="1361" w:type="dxa"/>
            <w:vAlign w:val="center"/>
          </w:tcPr>
          <w:p>
            <w:pPr>
              <w:pStyle w:val="11"/>
            </w:pPr>
            <w:r>
              <w:t>1144.71</w:t>
            </w:r>
          </w:p>
        </w:tc>
        <w:tc>
          <w:tcPr>
            <w:tcW w:w="1361" w:type="dxa"/>
            <w:vAlign w:val="center"/>
          </w:tcPr>
          <w:p>
            <w:pPr>
              <w:pStyle w:val="11"/>
            </w:pPr>
            <w:r>
              <w:t>180.15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1144.71</w:t>
            </w:r>
          </w:p>
        </w:tc>
        <w:tc>
          <w:tcPr>
            <w:tcW w:w="1361" w:type="dxa"/>
            <w:vAlign w:val="center"/>
          </w:tcPr>
          <w:p>
            <w:pPr>
              <w:pStyle w:val="11"/>
            </w:pPr>
            <w:r>
              <w:t>1144.71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180.15</w:t>
            </w:r>
          </w:p>
        </w:tc>
        <w:tc>
          <w:tcPr>
            <w:tcW w:w="1361" w:type="dxa"/>
            <w:vAlign w:val="center"/>
          </w:tcPr>
          <w:p>
            <w:pPr>
              <w:pStyle w:val="11"/>
            </w:pPr>
          </w:p>
        </w:tc>
        <w:tc>
          <w:tcPr>
            <w:tcW w:w="1361" w:type="dxa"/>
            <w:vAlign w:val="center"/>
          </w:tcPr>
          <w:p>
            <w:pPr>
              <w:pStyle w:val="11"/>
            </w:pPr>
            <w:r>
              <w:t>180.15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11.85</w:t>
            </w:r>
          </w:p>
        </w:tc>
        <w:tc>
          <w:tcPr>
            <w:tcW w:w="1361" w:type="dxa"/>
            <w:vAlign w:val="center"/>
          </w:tcPr>
          <w:p>
            <w:pPr>
              <w:pStyle w:val="11"/>
            </w:pPr>
          </w:p>
        </w:tc>
        <w:tc>
          <w:tcPr>
            <w:tcW w:w="1361" w:type="dxa"/>
            <w:vAlign w:val="center"/>
          </w:tcPr>
          <w:p>
            <w:pPr>
              <w:pStyle w:val="11"/>
            </w:pPr>
            <w:r>
              <w:t>11.85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11.85</w:t>
            </w:r>
          </w:p>
        </w:tc>
        <w:tc>
          <w:tcPr>
            <w:tcW w:w="1361" w:type="dxa"/>
            <w:vAlign w:val="center"/>
          </w:tcPr>
          <w:p>
            <w:pPr>
              <w:pStyle w:val="11"/>
            </w:pPr>
          </w:p>
        </w:tc>
        <w:tc>
          <w:tcPr>
            <w:tcW w:w="1361" w:type="dxa"/>
            <w:vAlign w:val="center"/>
          </w:tcPr>
          <w:p>
            <w:pPr>
              <w:pStyle w:val="11"/>
            </w:pPr>
            <w:r>
              <w:t>11.85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11.85</w:t>
            </w:r>
          </w:p>
        </w:tc>
        <w:tc>
          <w:tcPr>
            <w:tcW w:w="1361" w:type="dxa"/>
            <w:vAlign w:val="center"/>
          </w:tcPr>
          <w:p>
            <w:pPr>
              <w:pStyle w:val="11"/>
            </w:pPr>
          </w:p>
        </w:tc>
        <w:tc>
          <w:tcPr>
            <w:tcW w:w="1361" w:type="dxa"/>
            <w:vAlign w:val="center"/>
          </w:tcPr>
          <w:p>
            <w:pPr>
              <w:pStyle w:val="11"/>
            </w:pPr>
            <w:r>
              <w:t>11.85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11.02</w:t>
            </w:r>
          </w:p>
        </w:tc>
        <w:tc>
          <w:tcPr>
            <w:tcW w:w="1361" w:type="dxa"/>
            <w:vAlign w:val="center"/>
          </w:tcPr>
          <w:p>
            <w:pPr>
              <w:pStyle w:val="11"/>
            </w:pPr>
          </w:p>
        </w:tc>
        <w:tc>
          <w:tcPr>
            <w:tcW w:w="1361" w:type="dxa"/>
            <w:vAlign w:val="center"/>
          </w:tcPr>
          <w:p>
            <w:pPr>
              <w:pStyle w:val="11"/>
            </w:pPr>
            <w:r>
              <w:t>11.02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11.02</w:t>
            </w:r>
          </w:p>
        </w:tc>
        <w:tc>
          <w:tcPr>
            <w:tcW w:w="1361" w:type="dxa"/>
            <w:vAlign w:val="center"/>
          </w:tcPr>
          <w:p>
            <w:pPr>
              <w:pStyle w:val="11"/>
            </w:pPr>
          </w:p>
        </w:tc>
        <w:tc>
          <w:tcPr>
            <w:tcW w:w="1361" w:type="dxa"/>
            <w:vAlign w:val="center"/>
          </w:tcPr>
          <w:p>
            <w:pPr>
              <w:pStyle w:val="11"/>
            </w:pPr>
            <w:r>
              <w:t>11.02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11.02</w:t>
            </w:r>
          </w:p>
        </w:tc>
        <w:tc>
          <w:tcPr>
            <w:tcW w:w="1361" w:type="dxa"/>
            <w:vAlign w:val="center"/>
          </w:tcPr>
          <w:p>
            <w:pPr>
              <w:pStyle w:val="11"/>
            </w:pPr>
          </w:p>
        </w:tc>
        <w:tc>
          <w:tcPr>
            <w:tcW w:w="1361" w:type="dxa"/>
            <w:vAlign w:val="center"/>
          </w:tcPr>
          <w:p>
            <w:pPr>
              <w:pStyle w:val="11"/>
            </w:pPr>
            <w:r>
              <w:t>11.02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113.80</w:t>
            </w:r>
          </w:p>
        </w:tc>
        <w:tc>
          <w:tcPr>
            <w:tcW w:w="1361" w:type="dxa"/>
            <w:vAlign w:val="center"/>
          </w:tcPr>
          <w:p>
            <w:pPr>
              <w:pStyle w:val="11"/>
            </w:pPr>
          </w:p>
        </w:tc>
        <w:tc>
          <w:tcPr>
            <w:tcW w:w="1361" w:type="dxa"/>
            <w:vAlign w:val="center"/>
          </w:tcPr>
          <w:p>
            <w:pPr>
              <w:pStyle w:val="11"/>
            </w:pPr>
            <w:r>
              <w:t>113.80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113.80</w:t>
            </w:r>
          </w:p>
        </w:tc>
        <w:tc>
          <w:tcPr>
            <w:tcW w:w="1361" w:type="dxa"/>
            <w:vAlign w:val="center"/>
          </w:tcPr>
          <w:p>
            <w:pPr>
              <w:pStyle w:val="11"/>
            </w:pPr>
          </w:p>
        </w:tc>
        <w:tc>
          <w:tcPr>
            <w:tcW w:w="1361" w:type="dxa"/>
            <w:vAlign w:val="center"/>
          </w:tcPr>
          <w:p>
            <w:pPr>
              <w:pStyle w:val="11"/>
            </w:pPr>
            <w:r>
              <w:t>113.80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r>
              <w:t>24.04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1479.27</w:t>
            </w:r>
          </w:p>
        </w:tc>
        <w:tc>
          <w:tcPr>
            <w:tcW w:w="3402" w:type="dxa"/>
            <w:vAlign w:val="center"/>
          </w:tcPr>
          <w:p>
            <w:pPr>
              <w:pStyle w:val="12"/>
            </w:pPr>
            <w:r>
              <w:t>一、一般公共服务支出</w:t>
            </w:r>
          </w:p>
        </w:tc>
        <w:tc>
          <w:tcPr>
            <w:tcW w:w="1474" w:type="dxa"/>
            <w:vAlign w:val="center"/>
          </w:tcPr>
          <w:p>
            <w:pPr>
              <w:pStyle w:val="11"/>
            </w:pPr>
            <w:r>
              <w:t>1324.86</w:t>
            </w:r>
          </w:p>
        </w:tc>
        <w:tc>
          <w:tcPr>
            <w:tcW w:w="1474" w:type="dxa"/>
            <w:vAlign w:val="center"/>
          </w:tcPr>
          <w:p>
            <w:pPr>
              <w:pStyle w:val="11"/>
            </w:pPr>
            <w:r>
              <w:t>1324.86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11.85</w:t>
            </w:r>
          </w:p>
        </w:tc>
        <w:tc>
          <w:tcPr>
            <w:tcW w:w="1474" w:type="dxa"/>
            <w:vAlign w:val="center"/>
          </w:tcPr>
          <w:p>
            <w:pPr>
              <w:pStyle w:val="11"/>
            </w:pPr>
            <w:r>
              <w:t>11.85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2.00</w:t>
            </w:r>
          </w:p>
        </w:tc>
        <w:tc>
          <w:tcPr>
            <w:tcW w:w="1474" w:type="dxa"/>
            <w:vAlign w:val="center"/>
          </w:tcPr>
          <w:p>
            <w:pPr>
              <w:pStyle w:val="11"/>
            </w:pPr>
            <w:r>
              <w:t>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11.02</w:t>
            </w:r>
          </w:p>
        </w:tc>
        <w:tc>
          <w:tcPr>
            <w:tcW w:w="1474" w:type="dxa"/>
            <w:vAlign w:val="center"/>
          </w:tcPr>
          <w:p>
            <w:pPr>
              <w:pStyle w:val="11"/>
            </w:pPr>
            <w:r>
              <w:t>11.02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w:t>
            </w:r>
          </w:p>
        </w:tc>
        <w:tc>
          <w:tcPr>
            <w:tcW w:w="1474" w:type="dxa"/>
            <w:vAlign w:val="center"/>
          </w:tcPr>
          <w:p>
            <w:pPr>
              <w:pStyle w:val="11"/>
            </w:pPr>
            <w:r>
              <w:t>2.50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113.80</w:t>
            </w:r>
          </w:p>
        </w:tc>
        <w:tc>
          <w:tcPr>
            <w:tcW w:w="1474" w:type="dxa"/>
            <w:vAlign w:val="center"/>
          </w:tcPr>
          <w:p>
            <w:pPr>
              <w:pStyle w:val="11"/>
            </w:pPr>
            <w:r>
              <w:t>113.80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24.04</w:t>
            </w:r>
          </w:p>
        </w:tc>
        <w:tc>
          <w:tcPr>
            <w:tcW w:w="1474" w:type="dxa"/>
            <w:vAlign w:val="center"/>
          </w:tcPr>
          <w:p>
            <w:pPr>
              <w:pStyle w:val="11"/>
            </w:pPr>
            <w:r>
              <w:t>24.04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1479.27</w:t>
            </w:r>
          </w:p>
        </w:tc>
        <w:tc>
          <w:tcPr>
            <w:tcW w:w="3402" w:type="dxa"/>
            <w:vAlign w:val="center"/>
          </w:tcPr>
          <w:p>
            <w:pPr>
              <w:pStyle w:val="14"/>
            </w:pPr>
            <w:r>
              <w:t>本年支出合计</w:t>
            </w:r>
          </w:p>
        </w:tc>
        <w:tc>
          <w:tcPr>
            <w:tcW w:w="1474" w:type="dxa"/>
            <w:vAlign w:val="center"/>
          </w:tcPr>
          <w:p>
            <w:pPr>
              <w:pStyle w:val="15"/>
            </w:pPr>
            <w:r>
              <w:t>1490.07</w:t>
            </w:r>
          </w:p>
        </w:tc>
        <w:tc>
          <w:tcPr>
            <w:tcW w:w="1474" w:type="dxa"/>
            <w:vAlign w:val="center"/>
          </w:tcPr>
          <w:p>
            <w:pPr>
              <w:pStyle w:val="15"/>
            </w:pPr>
            <w:r>
              <w:t>1490.07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10.80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1490.07</w:t>
            </w:r>
          </w:p>
        </w:tc>
        <w:tc>
          <w:tcPr>
            <w:tcW w:w="3402" w:type="dxa"/>
            <w:vAlign w:val="center"/>
          </w:tcPr>
          <w:p>
            <w:pPr>
              <w:pStyle w:val="14"/>
            </w:pPr>
            <w:r>
              <w:t>支出总计</w:t>
            </w:r>
          </w:p>
        </w:tc>
        <w:tc>
          <w:tcPr>
            <w:tcW w:w="1474" w:type="dxa"/>
            <w:vAlign w:val="center"/>
          </w:tcPr>
          <w:p>
            <w:pPr>
              <w:pStyle w:val="15"/>
            </w:pPr>
            <w:r>
              <w:t>1490.07</w:t>
            </w:r>
          </w:p>
        </w:tc>
        <w:tc>
          <w:tcPr>
            <w:tcW w:w="1474" w:type="dxa"/>
            <w:vAlign w:val="center"/>
          </w:tcPr>
          <w:p>
            <w:pPr>
              <w:pStyle w:val="15"/>
            </w:pPr>
            <w:r>
              <w:t>1490.07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1490.07</w:t>
            </w:r>
          </w:p>
        </w:tc>
        <w:tc>
          <w:tcPr>
            <w:tcW w:w="2551" w:type="dxa"/>
            <w:vAlign w:val="center"/>
          </w:tcPr>
          <w:p>
            <w:pPr>
              <w:pStyle w:val="15"/>
            </w:pPr>
            <w:r>
              <w:t>1144.71</w:t>
            </w:r>
          </w:p>
        </w:tc>
        <w:tc>
          <w:tcPr>
            <w:tcW w:w="2551" w:type="dxa"/>
            <w:vAlign w:val="center"/>
          </w:tcPr>
          <w:p>
            <w:pPr>
              <w:pStyle w:val="15"/>
            </w:pPr>
            <w:r>
              <w:t>345.36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1324.86</w:t>
            </w:r>
          </w:p>
        </w:tc>
        <w:tc>
          <w:tcPr>
            <w:tcW w:w="2551" w:type="dxa"/>
            <w:vAlign w:val="center"/>
          </w:tcPr>
          <w:p>
            <w:pPr>
              <w:pStyle w:val="11"/>
            </w:pPr>
            <w:r>
              <w:t>1144.71</w:t>
            </w:r>
          </w:p>
        </w:tc>
        <w:tc>
          <w:tcPr>
            <w:tcW w:w="2551" w:type="dxa"/>
            <w:vAlign w:val="center"/>
          </w:tcPr>
          <w:p>
            <w:pPr>
              <w:pStyle w:val="11"/>
            </w:pPr>
            <w:r>
              <w:t>180.15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1324.86</w:t>
            </w:r>
          </w:p>
        </w:tc>
        <w:tc>
          <w:tcPr>
            <w:tcW w:w="2551" w:type="dxa"/>
            <w:vAlign w:val="center"/>
          </w:tcPr>
          <w:p>
            <w:pPr>
              <w:pStyle w:val="11"/>
            </w:pPr>
            <w:r>
              <w:t>1144.71</w:t>
            </w:r>
          </w:p>
        </w:tc>
        <w:tc>
          <w:tcPr>
            <w:tcW w:w="2551" w:type="dxa"/>
            <w:vAlign w:val="center"/>
          </w:tcPr>
          <w:p>
            <w:pPr>
              <w:pStyle w:val="11"/>
            </w:pPr>
            <w:r>
              <w:t>180.15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1144.71</w:t>
            </w:r>
          </w:p>
        </w:tc>
        <w:tc>
          <w:tcPr>
            <w:tcW w:w="2551" w:type="dxa"/>
            <w:vAlign w:val="center"/>
          </w:tcPr>
          <w:p>
            <w:pPr>
              <w:pStyle w:val="11"/>
            </w:pPr>
            <w:r>
              <w:t>1144.71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180.15</w:t>
            </w:r>
          </w:p>
        </w:tc>
        <w:tc>
          <w:tcPr>
            <w:tcW w:w="2551" w:type="dxa"/>
            <w:vAlign w:val="center"/>
          </w:tcPr>
          <w:p>
            <w:pPr>
              <w:pStyle w:val="11"/>
            </w:pPr>
          </w:p>
        </w:tc>
        <w:tc>
          <w:tcPr>
            <w:tcW w:w="2551" w:type="dxa"/>
            <w:vAlign w:val="center"/>
          </w:tcPr>
          <w:p>
            <w:pPr>
              <w:pStyle w:val="11"/>
            </w:pPr>
            <w:r>
              <w:t>180.15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11.85</w:t>
            </w:r>
          </w:p>
        </w:tc>
        <w:tc>
          <w:tcPr>
            <w:tcW w:w="2551" w:type="dxa"/>
            <w:vAlign w:val="center"/>
          </w:tcPr>
          <w:p>
            <w:pPr>
              <w:pStyle w:val="11"/>
            </w:pPr>
          </w:p>
        </w:tc>
        <w:tc>
          <w:tcPr>
            <w:tcW w:w="2551" w:type="dxa"/>
            <w:vAlign w:val="center"/>
          </w:tcPr>
          <w:p>
            <w:pPr>
              <w:pStyle w:val="11"/>
            </w:pPr>
            <w:r>
              <w:t>11.85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11.85</w:t>
            </w:r>
          </w:p>
        </w:tc>
        <w:tc>
          <w:tcPr>
            <w:tcW w:w="2551" w:type="dxa"/>
            <w:vAlign w:val="center"/>
          </w:tcPr>
          <w:p>
            <w:pPr>
              <w:pStyle w:val="11"/>
            </w:pPr>
          </w:p>
        </w:tc>
        <w:tc>
          <w:tcPr>
            <w:tcW w:w="2551" w:type="dxa"/>
            <w:vAlign w:val="center"/>
          </w:tcPr>
          <w:p>
            <w:pPr>
              <w:pStyle w:val="11"/>
            </w:pPr>
            <w:r>
              <w:t>11.85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11.85</w:t>
            </w:r>
          </w:p>
        </w:tc>
        <w:tc>
          <w:tcPr>
            <w:tcW w:w="2551" w:type="dxa"/>
            <w:vAlign w:val="center"/>
          </w:tcPr>
          <w:p>
            <w:pPr>
              <w:pStyle w:val="11"/>
            </w:pPr>
          </w:p>
        </w:tc>
        <w:tc>
          <w:tcPr>
            <w:tcW w:w="2551" w:type="dxa"/>
            <w:vAlign w:val="center"/>
          </w:tcPr>
          <w:p>
            <w:pPr>
              <w:pStyle w:val="11"/>
            </w:pPr>
            <w:r>
              <w:t>11.85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11.02</w:t>
            </w:r>
          </w:p>
        </w:tc>
        <w:tc>
          <w:tcPr>
            <w:tcW w:w="2551" w:type="dxa"/>
            <w:vAlign w:val="center"/>
          </w:tcPr>
          <w:p>
            <w:pPr>
              <w:pStyle w:val="11"/>
            </w:pPr>
          </w:p>
        </w:tc>
        <w:tc>
          <w:tcPr>
            <w:tcW w:w="2551" w:type="dxa"/>
            <w:vAlign w:val="center"/>
          </w:tcPr>
          <w:p>
            <w:pPr>
              <w:pStyle w:val="11"/>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11.02</w:t>
            </w:r>
          </w:p>
        </w:tc>
        <w:tc>
          <w:tcPr>
            <w:tcW w:w="2551" w:type="dxa"/>
            <w:vAlign w:val="center"/>
          </w:tcPr>
          <w:p>
            <w:pPr>
              <w:pStyle w:val="11"/>
            </w:pPr>
          </w:p>
        </w:tc>
        <w:tc>
          <w:tcPr>
            <w:tcW w:w="2551" w:type="dxa"/>
            <w:vAlign w:val="center"/>
          </w:tcPr>
          <w:p>
            <w:pPr>
              <w:pStyle w:val="11"/>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11.02</w:t>
            </w:r>
          </w:p>
        </w:tc>
        <w:tc>
          <w:tcPr>
            <w:tcW w:w="2551" w:type="dxa"/>
            <w:vAlign w:val="center"/>
          </w:tcPr>
          <w:p>
            <w:pPr>
              <w:pStyle w:val="11"/>
            </w:pPr>
          </w:p>
        </w:tc>
        <w:tc>
          <w:tcPr>
            <w:tcW w:w="2551" w:type="dxa"/>
            <w:vAlign w:val="center"/>
          </w:tcPr>
          <w:p>
            <w:pPr>
              <w:pStyle w:val="11"/>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113.80</w:t>
            </w:r>
          </w:p>
        </w:tc>
        <w:tc>
          <w:tcPr>
            <w:tcW w:w="2551" w:type="dxa"/>
            <w:vAlign w:val="center"/>
          </w:tcPr>
          <w:p>
            <w:pPr>
              <w:pStyle w:val="11"/>
            </w:pPr>
          </w:p>
        </w:tc>
        <w:tc>
          <w:tcPr>
            <w:tcW w:w="2551" w:type="dxa"/>
            <w:vAlign w:val="center"/>
          </w:tcPr>
          <w:p>
            <w:pPr>
              <w:pStyle w:val="11"/>
            </w:pPr>
            <w:r>
              <w:t>113.80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113.80</w:t>
            </w:r>
          </w:p>
        </w:tc>
        <w:tc>
          <w:tcPr>
            <w:tcW w:w="2551" w:type="dxa"/>
            <w:vAlign w:val="center"/>
          </w:tcPr>
          <w:p>
            <w:pPr>
              <w:pStyle w:val="11"/>
            </w:pPr>
          </w:p>
        </w:tc>
        <w:tc>
          <w:tcPr>
            <w:tcW w:w="2551" w:type="dxa"/>
            <w:vAlign w:val="center"/>
          </w:tcPr>
          <w:p>
            <w:pPr>
              <w:pStyle w:val="11"/>
            </w:pPr>
            <w:r>
              <w:t>113.80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24.04</w:t>
            </w:r>
          </w:p>
        </w:tc>
        <w:tc>
          <w:tcPr>
            <w:tcW w:w="2551" w:type="dxa"/>
            <w:vAlign w:val="center"/>
          </w:tcPr>
          <w:p>
            <w:pPr>
              <w:pStyle w:val="11"/>
            </w:pPr>
          </w:p>
        </w:tc>
        <w:tc>
          <w:tcPr>
            <w:tcW w:w="2551" w:type="dxa"/>
            <w:vAlign w:val="center"/>
          </w:tcPr>
          <w:p>
            <w:pPr>
              <w:pStyle w:val="11"/>
            </w:pPr>
            <w:r>
              <w:t>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24.04</w:t>
            </w:r>
          </w:p>
        </w:tc>
        <w:tc>
          <w:tcPr>
            <w:tcW w:w="2551" w:type="dxa"/>
            <w:vAlign w:val="center"/>
          </w:tcPr>
          <w:p>
            <w:pPr>
              <w:pStyle w:val="11"/>
            </w:pPr>
          </w:p>
        </w:tc>
        <w:tc>
          <w:tcPr>
            <w:tcW w:w="2551" w:type="dxa"/>
            <w:vAlign w:val="center"/>
          </w:tcPr>
          <w:p>
            <w:pPr>
              <w:pStyle w:val="11"/>
            </w:pPr>
            <w:r>
              <w:t>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24.04</w:t>
            </w:r>
          </w:p>
        </w:tc>
        <w:tc>
          <w:tcPr>
            <w:tcW w:w="2551" w:type="dxa"/>
            <w:vAlign w:val="center"/>
          </w:tcPr>
          <w:p>
            <w:pPr>
              <w:pStyle w:val="11"/>
            </w:pPr>
          </w:p>
        </w:tc>
        <w:tc>
          <w:tcPr>
            <w:tcW w:w="2551" w:type="dxa"/>
            <w:vAlign w:val="center"/>
          </w:tcPr>
          <w:p>
            <w:pPr>
              <w:pStyle w:val="11"/>
            </w:pPr>
            <w:r>
              <w:t>24.04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1144.71</w:t>
            </w:r>
          </w:p>
        </w:tc>
        <w:tc>
          <w:tcPr>
            <w:tcW w:w="2551" w:type="dxa"/>
            <w:vAlign w:val="center"/>
          </w:tcPr>
          <w:p>
            <w:pPr>
              <w:pStyle w:val="15"/>
            </w:pPr>
            <w:r>
              <w:t>990.06</w:t>
            </w:r>
          </w:p>
        </w:tc>
        <w:tc>
          <w:tcPr>
            <w:tcW w:w="2551" w:type="dxa"/>
            <w:vAlign w:val="center"/>
          </w:tcPr>
          <w:p>
            <w:pPr>
              <w:pStyle w:val="15"/>
            </w:pPr>
            <w:r>
              <w:t>154.65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863.95</w:t>
            </w:r>
          </w:p>
        </w:tc>
        <w:tc>
          <w:tcPr>
            <w:tcW w:w="2551" w:type="dxa"/>
            <w:vAlign w:val="center"/>
          </w:tcPr>
          <w:p>
            <w:pPr>
              <w:pStyle w:val="11"/>
            </w:pPr>
            <w:r>
              <w:t>863.95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177.12</w:t>
            </w:r>
          </w:p>
        </w:tc>
        <w:tc>
          <w:tcPr>
            <w:tcW w:w="2551" w:type="dxa"/>
            <w:vAlign w:val="center"/>
          </w:tcPr>
          <w:p>
            <w:pPr>
              <w:pStyle w:val="11"/>
            </w:pPr>
            <w:r>
              <w:t>177.12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227.33</w:t>
            </w:r>
          </w:p>
        </w:tc>
        <w:tc>
          <w:tcPr>
            <w:tcW w:w="2551" w:type="dxa"/>
            <w:vAlign w:val="center"/>
          </w:tcPr>
          <w:p>
            <w:pPr>
              <w:pStyle w:val="11"/>
            </w:pPr>
            <w:r>
              <w:t>227.33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76.12</w:t>
            </w:r>
          </w:p>
        </w:tc>
        <w:tc>
          <w:tcPr>
            <w:tcW w:w="2551" w:type="dxa"/>
            <w:vAlign w:val="center"/>
          </w:tcPr>
          <w:p>
            <w:pPr>
              <w:pStyle w:val="11"/>
            </w:pPr>
            <w:r>
              <w:t>76.12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126.56</w:t>
            </w:r>
          </w:p>
        </w:tc>
        <w:tc>
          <w:tcPr>
            <w:tcW w:w="2551" w:type="dxa"/>
            <w:vAlign w:val="center"/>
          </w:tcPr>
          <w:p>
            <w:pPr>
              <w:pStyle w:val="11"/>
            </w:pPr>
            <w:r>
              <w:t>126.56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93.89</w:t>
            </w:r>
          </w:p>
        </w:tc>
        <w:tc>
          <w:tcPr>
            <w:tcW w:w="2551" w:type="dxa"/>
            <w:vAlign w:val="center"/>
          </w:tcPr>
          <w:p>
            <w:pPr>
              <w:pStyle w:val="11"/>
            </w:pPr>
            <w:r>
              <w:t>93.89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30.71</w:t>
            </w:r>
          </w:p>
        </w:tc>
        <w:tc>
          <w:tcPr>
            <w:tcW w:w="2551" w:type="dxa"/>
            <w:vAlign w:val="center"/>
          </w:tcPr>
          <w:p>
            <w:pPr>
              <w:pStyle w:val="11"/>
            </w:pPr>
            <w:r>
              <w:t>30.71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23.76</w:t>
            </w:r>
          </w:p>
        </w:tc>
        <w:tc>
          <w:tcPr>
            <w:tcW w:w="2551" w:type="dxa"/>
            <w:vAlign w:val="center"/>
          </w:tcPr>
          <w:p>
            <w:pPr>
              <w:pStyle w:val="11"/>
            </w:pPr>
            <w:r>
              <w:t>23.76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36.73</w:t>
            </w:r>
          </w:p>
        </w:tc>
        <w:tc>
          <w:tcPr>
            <w:tcW w:w="2551" w:type="dxa"/>
            <w:vAlign w:val="center"/>
          </w:tcPr>
          <w:p>
            <w:pPr>
              <w:pStyle w:val="11"/>
            </w:pPr>
            <w:r>
              <w:t>36.73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71.72</w:t>
            </w:r>
          </w:p>
        </w:tc>
        <w:tc>
          <w:tcPr>
            <w:tcW w:w="2551" w:type="dxa"/>
            <w:vAlign w:val="center"/>
          </w:tcPr>
          <w:p>
            <w:pPr>
              <w:pStyle w:val="11"/>
            </w:pPr>
            <w:r>
              <w:t>71.72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150.65</w:t>
            </w:r>
          </w:p>
        </w:tc>
        <w:tc>
          <w:tcPr>
            <w:tcW w:w="2551" w:type="dxa"/>
            <w:vAlign w:val="center"/>
          </w:tcPr>
          <w:p>
            <w:pPr>
              <w:pStyle w:val="11"/>
            </w:pPr>
          </w:p>
        </w:tc>
        <w:tc>
          <w:tcPr>
            <w:tcW w:w="2551" w:type="dxa"/>
            <w:vAlign w:val="center"/>
          </w:tcPr>
          <w:p>
            <w:pPr>
              <w:pStyle w:val="11"/>
            </w:pPr>
            <w:r>
              <w:t>150.65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30203</w:t>
            </w:r>
          </w:p>
        </w:tc>
        <w:tc>
          <w:tcPr>
            <w:tcW w:w="4535" w:type="dxa"/>
            <w:vAlign w:val="center"/>
          </w:tcPr>
          <w:p>
            <w:pPr>
              <w:pStyle w:val="12"/>
            </w:pPr>
            <w:r>
              <w:t>咨询费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18.18</w:t>
            </w:r>
          </w:p>
        </w:tc>
        <w:tc>
          <w:tcPr>
            <w:tcW w:w="2551" w:type="dxa"/>
            <w:vAlign w:val="center"/>
          </w:tcPr>
          <w:p>
            <w:pPr>
              <w:pStyle w:val="11"/>
            </w:pPr>
          </w:p>
        </w:tc>
        <w:tc>
          <w:tcPr>
            <w:tcW w:w="2551" w:type="dxa"/>
            <w:vAlign w:val="center"/>
          </w:tcPr>
          <w:p>
            <w:pPr>
              <w:pStyle w:val="11"/>
            </w:pPr>
            <w:r>
              <w:t>18.18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5.48</w:t>
            </w:r>
          </w:p>
        </w:tc>
        <w:tc>
          <w:tcPr>
            <w:tcW w:w="2551" w:type="dxa"/>
            <w:vAlign w:val="center"/>
          </w:tcPr>
          <w:p>
            <w:pPr>
              <w:pStyle w:val="11"/>
            </w:pPr>
          </w:p>
        </w:tc>
        <w:tc>
          <w:tcPr>
            <w:tcW w:w="2551" w:type="dxa"/>
            <w:vAlign w:val="center"/>
          </w:tcPr>
          <w:p>
            <w:pPr>
              <w:pStyle w:val="11"/>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4.43</w:t>
            </w:r>
          </w:p>
        </w:tc>
        <w:tc>
          <w:tcPr>
            <w:tcW w:w="2551" w:type="dxa"/>
            <w:vAlign w:val="center"/>
          </w:tcPr>
          <w:p>
            <w:pPr>
              <w:pStyle w:val="11"/>
            </w:pPr>
          </w:p>
        </w:tc>
        <w:tc>
          <w:tcPr>
            <w:tcW w:w="2551" w:type="dxa"/>
            <w:vAlign w:val="center"/>
          </w:tcPr>
          <w:p>
            <w:pPr>
              <w:pStyle w:val="11"/>
            </w:pPr>
            <w:r>
              <w:t>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27.66</w:t>
            </w:r>
          </w:p>
        </w:tc>
        <w:tc>
          <w:tcPr>
            <w:tcW w:w="2551" w:type="dxa"/>
            <w:vAlign w:val="center"/>
          </w:tcPr>
          <w:p>
            <w:pPr>
              <w:pStyle w:val="11"/>
            </w:pPr>
          </w:p>
        </w:tc>
        <w:tc>
          <w:tcPr>
            <w:tcW w:w="2551" w:type="dxa"/>
            <w:vAlign w:val="center"/>
          </w:tcPr>
          <w:p>
            <w:pPr>
              <w:pStyle w:val="11"/>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126.11</w:t>
            </w:r>
          </w:p>
        </w:tc>
        <w:tc>
          <w:tcPr>
            <w:tcW w:w="2551" w:type="dxa"/>
            <w:vAlign w:val="center"/>
          </w:tcPr>
          <w:p>
            <w:pPr>
              <w:pStyle w:val="11"/>
            </w:pPr>
            <w:r>
              <w:t>126.11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122.04</w:t>
            </w:r>
          </w:p>
        </w:tc>
        <w:tc>
          <w:tcPr>
            <w:tcW w:w="2551" w:type="dxa"/>
            <w:vAlign w:val="center"/>
          </w:tcPr>
          <w:p>
            <w:pPr>
              <w:pStyle w:val="11"/>
            </w:pPr>
            <w:r>
              <w:t>122.04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4.04</w:t>
            </w:r>
          </w:p>
        </w:tc>
        <w:tc>
          <w:tcPr>
            <w:tcW w:w="2551" w:type="dxa"/>
            <w:vAlign w:val="center"/>
          </w:tcPr>
          <w:p>
            <w:pPr>
              <w:pStyle w:val="11"/>
            </w:pPr>
            <w:r>
              <w:t>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9"/>
        <w:gridCol w:w="2980"/>
        <w:gridCol w:w="95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dxa"/>
            <w:vMerge w:val="restart"/>
            <w:vAlign w:val="center"/>
          </w:tcPr>
          <w:p>
            <w:pPr>
              <w:pStyle w:val="10"/>
            </w:pPr>
            <w:r>
              <w:t>序号</w:t>
            </w:r>
          </w:p>
        </w:tc>
        <w:tc>
          <w:tcPr>
            <w:tcW w:w="2980" w:type="dxa"/>
            <w:vMerge w:val="restart"/>
            <w:vAlign w:val="center"/>
          </w:tcPr>
          <w:p>
            <w:pPr>
              <w:pStyle w:val="10"/>
            </w:pPr>
            <w:r>
              <w:t>项  目</w:t>
            </w:r>
          </w:p>
        </w:tc>
        <w:tc>
          <w:tcPr>
            <w:tcW w:w="5879"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99" w:type="dxa"/>
            <w:vMerge w:val="continue"/>
          </w:tcPr>
          <w:p/>
        </w:tc>
        <w:tc>
          <w:tcPr>
            <w:tcW w:w="2980" w:type="dxa"/>
            <w:vMerge w:val="continue"/>
          </w:tcPr>
          <w:p/>
        </w:tc>
        <w:tc>
          <w:tcPr>
            <w:tcW w:w="950"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99" w:type="dxa"/>
            <w:vAlign w:val="center"/>
          </w:tcPr>
          <w:p>
            <w:pPr>
              <w:pStyle w:val="10"/>
            </w:pPr>
            <w:r>
              <w:t>栏次</w:t>
            </w:r>
          </w:p>
        </w:tc>
        <w:tc>
          <w:tcPr>
            <w:tcW w:w="2980" w:type="dxa"/>
            <w:vAlign w:val="center"/>
          </w:tcPr>
          <w:p>
            <w:pPr>
              <w:pStyle w:val="10"/>
            </w:pPr>
            <w:r>
              <w:t>1</w:t>
            </w:r>
          </w:p>
        </w:tc>
        <w:tc>
          <w:tcPr>
            <w:tcW w:w="950"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eastAsia" w:eastAsia="方正书宋_GBK"/>
                <w:lang w:val="en-US" w:eastAsia="zh-CN"/>
              </w:rPr>
            </w:pPr>
            <w:r>
              <w:rPr>
                <w:rFonts w:hint="eastAsia"/>
                <w:lang w:val="en-US" w:eastAsia="zh-CN"/>
              </w:rPr>
              <w:t>1</w:t>
            </w:r>
          </w:p>
        </w:tc>
        <w:tc>
          <w:tcPr>
            <w:tcW w:w="2980" w:type="dxa"/>
            <w:vAlign w:val="center"/>
          </w:tcPr>
          <w:p>
            <w:pPr>
              <w:pStyle w:val="12"/>
              <w:jc w:val="center"/>
              <w:rPr>
                <w:rFonts w:hint="eastAsia" w:eastAsia="方正书宋_GBK"/>
                <w:lang w:eastAsia="zh-CN"/>
              </w:rPr>
            </w:pPr>
            <w:r>
              <w:rPr>
                <w:rFonts w:hint="eastAsia"/>
                <w:lang w:eastAsia="zh-CN"/>
              </w:rPr>
              <w:t>合计</w:t>
            </w:r>
          </w:p>
        </w:tc>
        <w:tc>
          <w:tcPr>
            <w:tcW w:w="950" w:type="dxa"/>
            <w:vAlign w:val="center"/>
          </w:tcPr>
          <w:p>
            <w:pPr>
              <w:pStyle w:val="11"/>
              <w:jc w:val="center"/>
              <w:rPr>
                <w:rFonts w:hint="default" w:eastAsia="方正书宋_GBK"/>
                <w:lang w:val="en-US" w:eastAsia="zh-CN"/>
              </w:rPr>
            </w:pPr>
            <w:r>
              <w:rPr>
                <w:rFonts w:hint="eastAsia"/>
                <w:lang w:val="en-US" w:eastAsia="zh-CN"/>
              </w:rPr>
              <w:t>4.4</w:t>
            </w:r>
          </w:p>
        </w:tc>
        <w:tc>
          <w:tcPr>
            <w:tcW w:w="1643" w:type="dxa"/>
            <w:vAlign w:val="center"/>
          </w:tcPr>
          <w:p>
            <w:pPr>
              <w:pStyle w:val="11"/>
              <w:jc w:val="center"/>
              <w:rPr>
                <w:rFonts w:hint="default" w:eastAsia="方正书宋_GBK"/>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2</w:t>
            </w:r>
          </w:p>
        </w:tc>
        <w:tc>
          <w:tcPr>
            <w:tcW w:w="2980" w:type="dxa"/>
            <w:vAlign w:val="center"/>
          </w:tcPr>
          <w:p>
            <w:pPr>
              <w:pStyle w:val="12"/>
              <w:jc w:val="center"/>
              <w:rPr>
                <w:rFonts w:hint="eastAsia"/>
                <w:lang w:eastAsia="zh-CN"/>
              </w:rPr>
            </w:pPr>
            <w:r>
              <w:rPr>
                <w:rFonts w:hint="eastAsia"/>
                <w:lang w:eastAsia="zh-CN"/>
              </w:rPr>
              <w:t>“三公”经费小计</w:t>
            </w:r>
          </w:p>
        </w:tc>
        <w:tc>
          <w:tcPr>
            <w:tcW w:w="950" w:type="dxa"/>
            <w:vAlign w:val="center"/>
          </w:tcPr>
          <w:p>
            <w:pPr>
              <w:pStyle w:val="11"/>
              <w:jc w:val="center"/>
              <w:rPr>
                <w:rFonts w:hint="default"/>
                <w:lang w:val="en-US" w:eastAsia="zh-CN"/>
              </w:rPr>
            </w:pPr>
            <w:r>
              <w:rPr>
                <w:rFonts w:hint="eastAsia"/>
                <w:lang w:val="en-US" w:eastAsia="zh-CN"/>
              </w:rPr>
              <w:t>4.4</w:t>
            </w:r>
          </w:p>
        </w:tc>
        <w:tc>
          <w:tcPr>
            <w:tcW w:w="1643" w:type="dxa"/>
            <w:vAlign w:val="center"/>
          </w:tcPr>
          <w:p>
            <w:pPr>
              <w:pStyle w:val="11"/>
              <w:jc w:val="center"/>
              <w:rPr>
                <w:rFonts w:hint="default"/>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3</w:t>
            </w:r>
          </w:p>
        </w:tc>
        <w:tc>
          <w:tcPr>
            <w:tcW w:w="2980" w:type="dxa"/>
            <w:vAlign w:val="center"/>
          </w:tcPr>
          <w:p>
            <w:pPr>
              <w:pStyle w:val="12"/>
              <w:jc w:val="center"/>
              <w:rPr>
                <w:rFonts w:hint="eastAsia"/>
                <w:lang w:eastAsia="zh-CN"/>
              </w:rPr>
            </w:pPr>
            <w:r>
              <w:rPr>
                <w:rFonts w:hint="eastAsia"/>
                <w:lang w:eastAsia="zh-CN"/>
              </w:rPr>
              <w:t>一、因公出国（境）费</w:t>
            </w:r>
          </w:p>
        </w:tc>
        <w:tc>
          <w:tcPr>
            <w:tcW w:w="950" w:type="dxa"/>
            <w:vAlign w:val="center"/>
          </w:tcPr>
          <w:p>
            <w:pPr>
              <w:pStyle w:val="11"/>
              <w:jc w:val="center"/>
              <w:rPr>
                <w:rFonts w:hint="eastAsia"/>
                <w:lang w:val="en-US" w:eastAsia="zh-CN"/>
              </w:rPr>
            </w:pPr>
          </w:p>
        </w:tc>
        <w:tc>
          <w:tcPr>
            <w:tcW w:w="1643" w:type="dxa"/>
            <w:vAlign w:val="center"/>
          </w:tcPr>
          <w:p>
            <w:pPr>
              <w:pStyle w:val="11"/>
              <w:jc w:val="center"/>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4</w:t>
            </w:r>
          </w:p>
        </w:tc>
        <w:tc>
          <w:tcPr>
            <w:tcW w:w="2980" w:type="dxa"/>
            <w:vAlign w:val="center"/>
          </w:tcPr>
          <w:p>
            <w:pPr>
              <w:pStyle w:val="12"/>
              <w:jc w:val="center"/>
              <w:rPr>
                <w:rFonts w:hint="eastAsia"/>
                <w:lang w:eastAsia="zh-CN"/>
              </w:rPr>
            </w:pPr>
            <w:r>
              <w:rPr>
                <w:rFonts w:hint="eastAsia"/>
                <w:lang w:eastAsia="zh-CN"/>
              </w:rPr>
              <w:t>其中：教学科研人员因公出国（境）费</w:t>
            </w:r>
          </w:p>
        </w:tc>
        <w:tc>
          <w:tcPr>
            <w:tcW w:w="950" w:type="dxa"/>
            <w:vAlign w:val="center"/>
          </w:tcPr>
          <w:p>
            <w:pPr>
              <w:pStyle w:val="11"/>
              <w:jc w:val="center"/>
              <w:rPr>
                <w:rFonts w:hint="eastAsia"/>
                <w:lang w:val="en-US" w:eastAsia="zh-CN"/>
              </w:rPr>
            </w:pPr>
          </w:p>
        </w:tc>
        <w:tc>
          <w:tcPr>
            <w:tcW w:w="1643" w:type="dxa"/>
            <w:vAlign w:val="center"/>
          </w:tcPr>
          <w:p>
            <w:pPr>
              <w:pStyle w:val="11"/>
              <w:jc w:val="center"/>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5</w:t>
            </w:r>
          </w:p>
        </w:tc>
        <w:tc>
          <w:tcPr>
            <w:tcW w:w="2980" w:type="dxa"/>
            <w:vAlign w:val="center"/>
          </w:tcPr>
          <w:p>
            <w:pPr>
              <w:pStyle w:val="12"/>
              <w:jc w:val="center"/>
              <w:rPr>
                <w:rFonts w:hint="eastAsia"/>
                <w:lang w:eastAsia="zh-CN"/>
              </w:rPr>
            </w:pPr>
            <w:r>
              <w:rPr>
                <w:rFonts w:hint="eastAsia"/>
                <w:lang w:eastAsia="zh-CN"/>
              </w:rPr>
              <w:t>其他因公出国（境）费</w:t>
            </w:r>
          </w:p>
        </w:tc>
        <w:tc>
          <w:tcPr>
            <w:tcW w:w="950" w:type="dxa"/>
            <w:vAlign w:val="center"/>
          </w:tcPr>
          <w:p>
            <w:pPr>
              <w:pStyle w:val="11"/>
              <w:jc w:val="center"/>
              <w:rPr>
                <w:rFonts w:hint="eastAsia"/>
                <w:lang w:val="en-US" w:eastAsia="zh-CN"/>
              </w:rPr>
            </w:pPr>
          </w:p>
        </w:tc>
        <w:tc>
          <w:tcPr>
            <w:tcW w:w="1643" w:type="dxa"/>
            <w:vAlign w:val="center"/>
          </w:tcPr>
          <w:p>
            <w:pPr>
              <w:pStyle w:val="11"/>
              <w:jc w:val="center"/>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6</w:t>
            </w:r>
          </w:p>
        </w:tc>
        <w:tc>
          <w:tcPr>
            <w:tcW w:w="2980" w:type="dxa"/>
            <w:vAlign w:val="center"/>
          </w:tcPr>
          <w:p>
            <w:pPr>
              <w:pStyle w:val="12"/>
              <w:jc w:val="center"/>
              <w:rPr>
                <w:rFonts w:hint="eastAsia"/>
                <w:lang w:eastAsia="zh-CN"/>
              </w:rPr>
            </w:pPr>
            <w:r>
              <w:rPr>
                <w:rFonts w:hint="eastAsia"/>
                <w:lang w:eastAsia="zh-CN"/>
              </w:rPr>
              <w:t>二、公务用车购置及运维费</w:t>
            </w:r>
          </w:p>
        </w:tc>
        <w:tc>
          <w:tcPr>
            <w:tcW w:w="950" w:type="dxa"/>
            <w:vAlign w:val="center"/>
          </w:tcPr>
          <w:p>
            <w:pPr>
              <w:pStyle w:val="11"/>
              <w:jc w:val="center"/>
              <w:rPr>
                <w:rFonts w:hint="default"/>
                <w:lang w:val="en-US" w:eastAsia="zh-CN"/>
              </w:rPr>
            </w:pPr>
            <w:r>
              <w:rPr>
                <w:rFonts w:hint="eastAsia"/>
                <w:lang w:val="en-US" w:eastAsia="zh-CN"/>
              </w:rPr>
              <w:t>4.4</w:t>
            </w:r>
          </w:p>
        </w:tc>
        <w:tc>
          <w:tcPr>
            <w:tcW w:w="1643" w:type="dxa"/>
            <w:vAlign w:val="center"/>
          </w:tcPr>
          <w:p>
            <w:pPr>
              <w:pStyle w:val="11"/>
              <w:jc w:val="center"/>
              <w:rPr>
                <w:rFonts w:hint="default"/>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7</w:t>
            </w:r>
          </w:p>
        </w:tc>
        <w:tc>
          <w:tcPr>
            <w:tcW w:w="2980" w:type="dxa"/>
            <w:vAlign w:val="center"/>
          </w:tcPr>
          <w:p>
            <w:pPr>
              <w:pStyle w:val="12"/>
              <w:jc w:val="center"/>
              <w:rPr>
                <w:rFonts w:hint="eastAsia"/>
                <w:lang w:eastAsia="zh-CN"/>
              </w:rPr>
            </w:pPr>
            <w:r>
              <w:rPr>
                <w:rFonts w:hint="eastAsia"/>
                <w:lang w:eastAsia="zh-CN"/>
              </w:rPr>
              <w:t>其中：公务用车购置费</w:t>
            </w:r>
          </w:p>
        </w:tc>
        <w:tc>
          <w:tcPr>
            <w:tcW w:w="950" w:type="dxa"/>
            <w:vAlign w:val="center"/>
          </w:tcPr>
          <w:p>
            <w:pPr>
              <w:pStyle w:val="11"/>
              <w:jc w:val="center"/>
              <w:rPr>
                <w:rFonts w:hint="eastAsia"/>
                <w:lang w:val="en-US" w:eastAsia="zh-CN"/>
              </w:rPr>
            </w:pPr>
          </w:p>
        </w:tc>
        <w:tc>
          <w:tcPr>
            <w:tcW w:w="1643" w:type="dxa"/>
            <w:vAlign w:val="center"/>
          </w:tcPr>
          <w:p>
            <w:pPr>
              <w:pStyle w:val="11"/>
              <w:jc w:val="center"/>
              <w:rPr>
                <w:rFonts w:hint="eastAsia"/>
                <w:lang w:val="en-US" w:eastAsia="zh-CN"/>
              </w:rP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8</w:t>
            </w:r>
          </w:p>
        </w:tc>
        <w:tc>
          <w:tcPr>
            <w:tcW w:w="2980" w:type="dxa"/>
            <w:vAlign w:val="center"/>
          </w:tcPr>
          <w:p>
            <w:pPr>
              <w:pStyle w:val="12"/>
              <w:jc w:val="center"/>
              <w:rPr>
                <w:rFonts w:hint="eastAsia"/>
                <w:lang w:eastAsia="zh-CN"/>
              </w:rPr>
            </w:pPr>
            <w:r>
              <w:rPr>
                <w:rFonts w:hint="eastAsia"/>
                <w:lang w:eastAsia="zh-CN"/>
              </w:rPr>
              <w:t>公务用车运行维护费</w:t>
            </w:r>
          </w:p>
        </w:tc>
        <w:tc>
          <w:tcPr>
            <w:tcW w:w="950" w:type="dxa"/>
            <w:vAlign w:val="center"/>
          </w:tcPr>
          <w:p>
            <w:pPr>
              <w:pStyle w:val="11"/>
              <w:jc w:val="center"/>
              <w:rPr>
                <w:rFonts w:hint="default"/>
                <w:lang w:val="en-US" w:eastAsia="zh-CN"/>
              </w:rPr>
            </w:pPr>
            <w:r>
              <w:rPr>
                <w:rFonts w:hint="eastAsia"/>
                <w:lang w:val="en-US" w:eastAsia="zh-CN"/>
              </w:rPr>
              <w:t>4.4</w:t>
            </w:r>
          </w:p>
        </w:tc>
        <w:tc>
          <w:tcPr>
            <w:tcW w:w="1643" w:type="dxa"/>
            <w:vAlign w:val="center"/>
          </w:tcPr>
          <w:p>
            <w:pPr>
              <w:pStyle w:val="11"/>
              <w:jc w:val="center"/>
              <w:rPr>
                <w:rFonts w:hint="default"/>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9" w:type="dxa"/>
            <w:vAlign w:val="center"/>
          </w:tcPr>
          <w:p>
            <w:pPr>
              <w:pStyle w:val="13"/>
              <w:rPr>
                <w:rFonts w:hint="default"/>
                <w:lang w:val="en-US" w:eastAsia="zh-CN"/>
              </w:rPr>
            </w:pPr>
            <w:r>
              <w:rPr>
                <w:rFonts w:hint="eastAsia"/>
                <w:lang w:val="en-US" w:eastAsia="zh-CN"/>
              </w:rPr>
              <w:t>9</w:t>
            </w:r>
          </w:p>
        </w:tc>
        <w:tc>
          <w:tcPr>
            <w:tcW w:w="2980" w:type="dxa"/>
            <w:vAlign w:val="center"/>
          </w:tcPr>
          <w:p>
            <w:pPr>
              <w:pStyle w:val="12"/>
              <w:jc w:val="center"/>
              <w:rPr>
                <w:rFonts w:hint="eastAsia"/>
                <w:lang w:eastAsia="zh-CN"/>
              </w:rPr>
            </w:pPr>
            <w:r>
              <w:rPr>
                <w:rFonts w:hint="eastAsia"/>
                <w:lang w:eastAsia="zh-CN"/>
              </w:rPr>
              <w:t>三、公务接待费</w:t>
            </w:r>
          </w:p>
        </w:tc>
        <w:tc>
          <w:tcPr>
            <w:tcW w:w="950" w:type="dxa"/>
            <w:vAlign w:val="center"/>
          </w:tcPr>
          <w:p>
            <w:pPr>
              <w:pStyle w:val="11"/>
              <w:jc w:val="center"/>
              <w:rPr>
                <w:rFonts w:hint="eastAsia"/>
                <w:lang w:val="en-US" w:eastAsia="zh-CN"/>
              </w:rPr>
            </w:pPr>
          </w:p>
        </w:tc>
        <w:tc>
          <w:tcPr>
            <w:tcW w:w="1643" w:type="dxa"/>
            <w:vAlign w:val="center"/>
          </w:tcPr>
          <w:p>
            <w:pPr>
              <w:pStyle w:val="11"/>
              <w:jc w:val="center"/>
              <w:rPr>
                <w:rFonts w:hint="eastAsia"/>
                <w:lang w:val="en-US" w:eastAsia="zh-CN"/>
              </w:rPr>
            </w:pP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石家庄市藁城区西关镇人民政府本级2024年单位预算信息公开情况说明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按照《中华人民共和国预算法》、《地方预决算公开操作规程》和《关于进一步推进预算公开工作的实施意见》规定，现将石家庄市藁城区西关镇人民政府本级2024年单位预算公开如下：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pPr>
      <w:r>
        <w:rPr>
          <w:rFonts w:ascii="方正楷体_GBK" w:hAnsi="方正楷体_GBK" w:eastAsia="方正楷体_GBK" w:cs="方正楷体_GBK"/>
          <w:b/>
          <w:color w:val="000000"/>
          <w:sz w:val="32"/>
        </w:rPr>
        <w:t>单位职责：</w:t>
      </w:r>
      <w:r>
        <w:t>根据《石家庄市藁城区西关镇人民政府职能配置、内设机构和人员编制规定》， 石家庄市藁城区西关镇人民政府的主要职责是：</w:t>
      </w:r>
    </w:p>
    <w:p>
      <w:pPr>
        <w:pStyle w:val="22"/>
      </w:pPr>
      <w:r>
        <w:t>(一)政务管理。依法依规履行机关日常管理职责。依法依规履行机关日常管理职责，确保政府工作正常运行。</w:t>
      </w:r>
    </w:p>
    <w:p>
      <w:pPr>
        <w:pStyle w:val="22"/>
      </w:pPr>
      <w:r>
        <w:t>(二)应急管理。保证镇政府值班工作，及时报告重要情况，传达和督促落实镇党委、政府领导指示。有效保证镇政府日常应急值守和突发事件应对处置工作；完善应急预案体系建设，确保遇突发事件能够有效应对。</w:t>
      </w:r>
    </w:p>
    <w:p>
      <w:pPr>
        <w:pStyle w:val="22"/>
      </w:pPr>
      <w: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22"/>
      </w:pPr>
      <w:r>
        <w:t>(四)推动经济发展，完善基础设施，惠及民生。承担经济发展和民生改善培育支柱产业，加强基础设施建设和新型农村服务体系建设。落实安全生产责任制，搞好农业新技术示范推广。</w:t>
      </w:r>
    </w:p>
    <w:p>
      <w:pPr>
        <w:pStyle w:val="22"/>
      </w:pPr>
      <w:r>
        <w:t>(五)社会救助政策及管理。承担社会救助体系建设，负责农村居民最低生活保障、五保供养、医疗救助。完善农村社会救助制度，实施分类救助，应保尽保,动态管理。</w:t>
      </w:r>
    </w:p>
    <w:p>
      <w:pPr>
        <w:pStyle w:val="22"/>
      </w:pPr>
      <w:r>
        <w:t>(六)计生政策落实。提供各类计划生育技术服务，建立利益导向机制，开展出生人口性别比治理以及流动人口计划生育管理等各项工作。保障计生法律法规落实。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pPr>
        <w:pStyle w:val="22"/>
      </w:pPr>
      <w:r>
        <w:t>(七)计生服务。开展计划生育各种知识宣传和咨询服务</w:t>
      </w:r>
      <w:r>
        <w:tab/>
      </w:r>
      <w:r>
        <w:t>以提高育龄群众对计划生育认知能力为目标，开展计划生育各种知识宣传和咨询服务。</w:t>
      </w:r>
    </w:p>
    <w:p>
      <w:pPr>
        <w:pStyle w:val="22"/>
      </w:pPr>
      <w:r>
        <w:t>(八)预算管理。负责镇财政预算管理与执行保证镇机关正常运转</w:t>
      </w:r>
    </w:p>
    <w:p>
      <w:pPr>
        <w:pStyle w:val="22"/>
      </w:pPr>
      <w:r>
        <w:t>(九)财务管理。负责镇机关收支活动，组织实施镇财务核算及监督工作，以收定支，合理安排支出，严防出现资金支出不规范现象发生。</w:t>
      </w:r>
    </w:p>
    <w:p>
      <w:pPr>
        <w:pStyle w:val="22"/>
      </w:pPr>
      <w:r>
        <w:t>(十)村财镇代管。负责村级财务核算及监督工作</w:t>
      </w:r>
      <w:r>
        <w:tab/>
      </w:r>
      <w:r>
        <w:t>对村级财务进行规范化管理，严防支出票据不规范现象发生。</w:t>
      </w:r>
    </w:p>
    <w:p>
      <w:pPr>
        <w:pStyle w:val="22"/>
      </w:pPr>
      <w:r>
        <w:t>(十一)涉农资金。负责涉农资金的落实，将各项涉农资金兑付落实，监督管理资金的合理有效使用。</w:t>
      </w:r>
    </w:p>
    <w:p>
      <w:pPr>
        <w:pStyle w:val="22"/>
      </w:pPr>
      <w:r>
        <w:t>(十二)国有资产管理。负责管理镇国有资产，加强国有资产管理，严防国有资产流失</w:t>
      </w:r>
    </w:p>
    <w:p>
      <w:pPr>
        <w:pStyle w:val="22"/>
      </w:pPr>
      <w:r>
        <w:t>(十三)债权债务管理。实施债权债务监督管理，实施债权债务监督管理，杜绝增加政府债务</w:t>
      </w:r>
    </w:p>
    <w:p>
      <w:pPr>
        <w:pStyle w:val="22"/>
      </w:pPr>
      <w:r>
        <w:t>(十四)完善农村土地经营管理体制。推进农村集体产权制度改革，完善农村土地承包制度，引导农村土地合理流转。创新农业经营主体。规范流转行为，优化资源配置，促进农民专业合作经济组织健康发展，加快新农村建设和城镇化进程。</w:t>
      </w:r>
    </w:p>
    <w:p>
      <w:pPr>
        <w:pStyle w:val="22"/>
      </w:pPr>
      <w:r>
        <w:t>(十五)推动文化发展。运用多种文化艺术手段，开展丰富多彩群众活动。运用多种文化艺术手段，丰富群众文化、提高农民基本素质</w:t>
      </w:r>
    </w:p>
    <w:p>
      <w:pPr>
        <w:pStyle w:val="22"/>
      </w:pPr>
      <w:r>
        <w:t>(十六)农村管理。对各行政村村容村貌及卫生维护提升，农村卫生长效管理机制</w:t>
      </w:r>
    </w:p>
    <w:p>
      <w:pPr>
        <w:pStyle w:val="22"/>
      </w:pPr>
      <w:r>
        <w:t>(十七)政务管理。加强对社会关注关系民生的社会事管理，抓好土地、环保、安全生产、食品安全、社会环境等的治理</w:t>
      </w:r>
    </w:p>
    <w:p>
      <w:pPr>
        <w:spacing w:before="0" w:after="0" w:line="240" w:lineRule="auto"/>
        <w:ind w:firstLine="640"/>
        <w:jc w:val="left"/>
        <w:outlineLvl w:val="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石家庄市藁城区西关镇人民政府本级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按照预算管理有关规定，目前我省单位预算的编制实行综合预算管理，即全部收入和支出都反映在预算中。石家庄市藁城区西关镇人民政府机关及所属事业单位的收支包含在单位预算中。</w:t>
      </w:r>
    </w:p>
    <w:p>
      <w:pPr>
        <w:pStyle w:val="18"/>
      </w:pPr>
      <w:r>
        <w:t>按照预算管理有关规定，目前我省单位预算的编制实行综合预算管理，即全部收入和支出都反映在预算中。石家庄市藁城区西关镇人民政府机关及所属事业单位的收支包含在单位预算中。</w:t>
      </w:r>
    </w:p>
    <w:p>
      <w:pPr>
        <w:pStyle w:val="18"/>
      </w:pPr>
      <w:r>
        <w:t>1、收入说明</w:t>
      </w:r>
    </w:p>
    <w:p>
      <w:pPr>
        <w:pStyle w:val="18"/>
      </w:pPr>
      <w:r>
        <w:t>反映本单位当年全部收入。2024年预算收入1490.07万元，其中：一般公共预算收入1490.07万元，基金预算收入0万元，财政专户核拨收入0万元，其他来源收入0万元。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1490.07万元，其中基本支出1144.71万元，包括人员经费990.06万元和日常公用经费154.65万元；项目支出345.36万元，主要为一般公共服务支出180.15万元，教育支出11.85万元，科学技术支出2万元，社会保障和就业支出11.02万元，卫生和健康支出2.5万元，城乡社区支出113.8万元，农林水支出24.04万元，其他支出0万元。</w:t>
      </w:r>
    </w:p>
    <w:p>
      <w:pPr>
        <w:pStyle w:val="18"/>
      </w:pPr>
      <w:r>
        <w:t>3、比上年增减情况</w:t>
      </w:r>
    </w:p>
    <w:p>
      <w:pPr>
        <w:pStyle w:val="18"/>
      </w:pPr>
      <w:r>
        <w:t>2024年单位预算收支安排1490.07万元，较2023年增加169.46万元，基本支出增加72.8万元，主要是人员增加，相应增加人员经费和日常公用经费；项目支出增加248.7万元，主要项目增加。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2024年，我单位机关运行经费共计安排154.65万元，主要用于保证机关正常运转的办公及印刷费、邮电费、差旅费、福利费、一般设备购置费、办公用房取暖费、日常维修费、公务车运行维护费等支出。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拨款“三公”经费预算安排4.4万元，其中：因公出国（境）费0万元，与上年持平，无增减变化；公务用车购置及运维费4.4万元（其中：公务用车购置费0万元，与上年持平，无增减变化；公务用车运行维护费4.4万元，与上年持平，无增减变化)；公务接待费0万元，与上年持平，无增减变化。“三公”经费与去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1、拨付原经贸系统下放回乡的合同工、副业工涉军人员生活补贴绩效目标表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13010924P00000110267Y</w:t>
            </w:r>
          </w:p>
        </w:tc>
        <w:tc>
          <w:tcPr>
            <w:tcW w:w="2835" w:type="dxa"/>
            <w:vAlign w:val="center"/>
          </w:tcPr>
          <w:p>
            <w:pPr>
              <w:pStyle w:val="10"/>
            </w:pPr>
            <w:r>
              <w:t>项目名称</w:t>
            </w:r>
          </w:p>
        </w:tc>
        <w:tc>
          <w:tcPr>
            <w:tcW w:w="6094" w:type="dxa"/>
            <w:gridSpan w:val="3"/>
            <w:vAlign w:val="center"/>
          </w:tcPr>
          <w:p>
            <w:pPr>
              <w:pStyle w:val="12"/>
            </w:pPr>
            <w:r>
              <w:t>拨付原经贸系统下放回乡的合同工、副业工涉军人员生活补贴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11.02</w:t>
            </w:r>
          </w:p>
        </w:tc>
        <w:tc>
          <w:tcPr>
            <w:tcW w:w="2835" w:type="dxa"/>
            <w:vAlign w:val="center"/>
          </w:tcPr>
          <w:p>
            <w:pPr>
              <w:pStyle w:val="10"/>
            </w:pPr>
            <w:r>
              <w:t>其中：财政    资金</w:t>
            </w:r>
          </w:p>
        </w:tc>
        <w:tc>
          <w:tcPr>
            <w:tcW w:w="2551" w:type="dxa"/>
            <w:vAlign w:val="center"/>
          </w:tcPr>
          <w:p>
            <w:pPr>
              <w:pStyle w:val="12"/>
            </w:pPr>
            <w:r>
              <w:t>11.02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发放原经贸系统下入回乡的合同工、副业工涉军人员2023年生活补贴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1.发放原经贸系统下入回乡的合同工、副业工涉军人员2023年生活补贴</w:t>
            </w:r>
          </w:p>
          <w:p>
            <w:pPr>
              <w:pStyle w:val="12"/>
            </w:pPr>
            <w:r>
              <w:t>2.维护社会稳定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领取生活补贴人数</w:t>
            </w:r>
          </w:p>
        </w:tc>
        <w:tc>
          <w:tcPr>
            <w:tcW w:w="2268" w:type="dxa"/>
            <w:vAlign w:val="center"/>
          </w:tcPr>
          <w:p>
            <w:pPr>
              <w:pStyle w:val="12"/>
            </w:pPr>
            <w:r>
              <w:t>≤46人</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补贴发放完成率</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按照时间安排发放，每半年发放一次</w:t>
            </w:r>
          </w:p>
        </w:tc>
        <w:tc>
          <w:tcPr>
            <w:tcW w:w="2268" w:type="dxa"/>
            <w:vAlign w:val="center"/>
          </w:tcPr>
          <w:p>
            <w:pPr>
              <w:pStyle w:val="12"/>
            </w:pPr>
            <w:r>
              <w:t>每半年发放一次</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按补贴标准执行</w:t>
            </w:r>
          </w:p>
        </w:tc>
        <w:tc>
          <w:tcPr>
            <w:tcW w:w="5386" w:type="dxa"/>
            <w:vAlign w:val="center"/>
          </w:tcPr>
          <w:p>
            <w:pPr>
              <w:pStyle w:val="12"/>
            </w:pPr>
            <w:r>
              <w:t>按文件补贴标准执行</w:t>
            </w:r>
          </w:p>
        </w:tc>
        <w:tc>
          <w:tcPr>
            <w:tcW w:w="2268" w:type="dxa"/>
            <w:vAlign w:val="center"/>
          </w:tcPr>
          <w:p>
            <w:pPr>
              <w:pStyle w:val="12"/>
            </w:pPr>
            <w:r>
              <w:t>合同工220，副业200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享受补贴人员对发放工作的满意度</w:t>
            </w:r>
          </w:p>
        </w:tc>
        <w:tc>
          <w:tcPr>
            <w:tcW w:w="2268" w:type="dxa"/>
            <w:vAlign w:val="center"/>
          </w:tcPr>
          <w:p>
            <w:pPr>
              <w:pStyle w:val="12"/>
            </w:pPr>
            <w:r>
              <w:t>≥90%</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13010924P00000110262W</w:t>
            </w:r>
          </w:p>
        </w:tc>
        <w:tc>
          <w:tcPr>
            <w:tcW w:w="2835" w:type="dxa"/>
            <w:vAlign w:val="center"/>
          </w:tcPr>
          <w:p>
            <w:pPr>
              <w:pStyle w:val="10"/>
            </w:pPr>
            <w:r>
              <w:t>项目名称</w:t>
            </w:r>
          </w:p>
        </w:tc>
        <w:tc>
          <w:tcPr>
            <w:tcW w:w="6094" w:type="dxa"/>
            <w:gridSpan w:val="3"/>
            <w:vAlign w:val="center"/>
          </w:tcPr>
          <w:p>
            <w:pPr>
              <w:pStyle w:val="12"/>
            </w:pPr>
            <w:r>
              <w:t>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对全镇独生子女户进行奖励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1.对全镇独生子女户进行奖励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对全镇14村独生子女户进行奖励</w:t>
            </w:r>
          </w:p>
        </w:tc>
        <w:tc>
          <w:tcPr>
            <w:tcW w:w="5386" w:type="dxa"/>
            <w:vAlign w:val="center"/>
          </w:tcPr>
          <w:p>
            <w:pPr>
              <w:pStyle w:val="12"/>
            </w:pPr>
            <w:r>
              <w:t>对全镇14村独生子女户进行奖励</w:t>
            </w:r>
          </w:p>
        </w:tc>
        <w:tc>
          <w:tcPr>
            <w:tcW w:w="2268" w:type="dxa"/>
            <w:vAlign w:val="center"/>
          </w:tcPr>
          <w:p>
            <w:pPr>
              <w:pStyle w:val="12"/>
            </w:pPr>
            <w:r>
              <w:t>14个</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对全部独生子女户及时足额发放</w:t>
            </w:r>
          </w:p>
        </w:tc>
        <w:tc>
          <w:tcPr>
            <w:tcW w:w="5386" w:type="dxa"/>
            <w:vAlign w:val="center"/>
          </w:tcPr>
          <w:p>
            <w:pPr>
              <w:pStyle w:val="12"/>
            </w:pPr>
            <w:r>
              <w:t>对全部独生子女户及时足额发放</w:t>
            </w:r>
          </w:p>
        </w:tc>
        <w:tc>
          <w:tcPr>
            <w:tcW w:w="2268" w:type="dxa"/>
            <w:vAlign w:val="center"/>
          </w:tcPr>
          <w:p>
            <w:pPr>
              <w:pStyle w:val="12"/>
            </w:pPr>
            <w:r>
              <w:t>≥95%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农村独生子女费发放时间</w:t>
            </w:r>
          </w:p>
        </w:tc>
        <w:tc>
          <w:tcPr>
            <w:tcW w:w="5386" w:type="dxa"/>
            <w:vAlign w:val="center"/>
          </w:tcPr>
          <w:p>
            <w:pPr>
              <w:pStyle w:val="12"/>
            </w:pPr>
            <w:r>
              <w:t>农村独生子女费发放时间</w:t>
            </w:r>
          </w:p>
        </w:tc>
        <w:tc>
          <w:tcPr>
            <w:tcW w:w="2268" w:type="dxa"/>
            <w:vAlign w:val="center"/>
          </w:tcPr>
          <w:p>
            <w:pPr>
              <w:pStyle w:val="12"/>
            </w:pPr>
            <w:r>
              <w:t>按年发放，每年12月底前发放</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人均发放水平</w:t>
            </w:r>
          </w:p>
        </w:tc>
        <w:tc>
          <w:tcPr>
            <w:tcW w:w="2268" w:type="dxa"/>
            <w:vAlign w:val="center"/>
          </w:tcPr>
          <w:p>
            <w:pPr>
              <w:pStyle w:val="12"/>
            </w:pPr>
            <w:r>
              <w:t>≥10元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受益总人数</w:t>
            </w:r>
          </w:p>
        </w:tc>
        <w:tc>
          <w:tcPr>
            <w:tcW w:w="2268" w:type="dxa"/>
            <w:vAlign w:val="center"/>
          </w:tcPr>
          <w:p>
            <w:pPr>
              <w:pStyle w:val="12"/>
            </w:pPr>
            <w:r>
              <w:t>≥98%</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独生子女户满意度</w:t>
            </w:r>
          </w:p>
        </w:tc>
        <w:tc>
          <w:tcPr>
            <w:tcW w:w="5386" w:type="dxa"/>
            <w:vAlign w:val="center"/>
          </w:tcPr>
          <w:p>
            <w:pPr>
              <w:pStyle w:val="12"/>
            </w:pPr>
            <w:r>
              <w:t>独生子女户对奖励发放满意度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3、公用经费(机关运转保障）绩效目标表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13010924P00000110260M</w:t>
            </w:r>
          </w:p>
        </w:tc>
        <w:tc>
          <w:tcPr>
            <w:tcW w:w="2835" w:type="dxa"/>
            <w:vAlign w:val="center"/>
          </w:tcPr>
          <w:p>
            <w:pPr>
              <w:pStyle w:val="10"/>
            </w:pPr>
            <w:r>
              <w:t>项目名称</w:t>
            </w:r>
          </w:p>
        </w:tc>
        <w:tc>
          <w:tcPr>
            <w:tcW w:w="6094" w:type="dxa"/>
            <w:gridSpan w:val="3"/>
            <w:vAlign w:val="center"/>
          </w:tcPr>
          <w:p>
            <w:pPr>
              <w:pStyle w:val="12"/>
            </w:pPr>
            <w:r>
              <w:t>公用经费(机关运转保障）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40.60</w:t>
            </w:r>
          </w:p>
        </w:tc>
        <w:tc>
          <w:tcPr>
            <w:tcW w:w="2835" w:type="dxa"/>
            <w:vAlign w:val="center"/>
          </w:tcPr>
          <w:p>
            <w:pPr>
              <w:pStyle w:val="10"/>
            </w:pPr>
            <w:r>
              <w:t>其中：财政    资金</w:t>
            </w:r>
          </w:p>
        </w:tc>
        <w:tc>
          <w:tcPr>
            <w:tcW w:w="2551" w:type="dxa"/>
            <w:vAlign w:val="center"/>
          </w:tcPr>
          <w:p>
            <w:pPr>
              <w:pStyle w:val="12"/>
            </w:pPr>
            <w:r>
              <w:t>40.60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统筹西关镇环保、土地、信访、武装,安全生产、食品安全、社会综合治理、机关伙食补贴、聘用人员退休补贴等工作经费支出，保障各项工作正常开展。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1.统筹西关镇环保、土地、信访、武装,安全生产、食品安全、社会综合治理、机关伙食补贴、聘用人员退休补贴等工作经费支出，保障各项工作正常开展。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公用经费的项目数量</w:t>
            </w:r>
          </w:p>
        </w:tc>
        <w:tc>
          <w:tcPr>
            <w:tcW w:w="5386" w:type="dxa"/>
            <w:vAlign w:val="center"/>
          </w:tcPr>
          <w:p>
            <w:pPr>
              <w:pStyle w:val="12"/>
            </w:pPr>
            <w:r>
              <w:t>为环保等9项工作顺利开展提供足额资金</w:t>
            </w:r>
          </w:p>
        </w:tc>
        <w:tc>
          <w:tcPr>
            <w:tcW w:w="2268" w:type="dxa"/>
            <w:vAlign w:val="center"/>
          </w:tcPr>
          <w:p>
            <w:pPr>
              <w:pStyle w:val="12"/>
            </w:pPr>
            <w:r>
              <w:t>≥9项</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按时完成上级安排的环保等8项工作</w:t>
            </w:r>
          </w:p>
        </w:tc>
        <w:tc>
          <w:tcPr>
            <w:tcW w:w="2268" w:type="dxa"/>
            <w:vAlign w:val="center"/>
          </w:tcPr>
          <w:p>
            <w:pPr>
              <w:pStyle w:val="12"/>
            </w:pPr>
            <w:r>
              <w:t>按时完成上级安排的环保等8项工作</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经费等使用标准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各项工作在全镇形成的重要影响得到认可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4、公用经费（联防队员工资)绩效目标表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13010924P000001102619</w:t>
            </w:r>
          </w:p>
        </w:tc>
        <w:tc>
          <w:tcPr>
            <w:tcW w:w="2835" w:type="dxa"/>
            <w:vAlign w:val="center"/>
          </w:tcPr>
          <w:p>
            <w:pPr>
              <w:pStyle w:val="10"/>
            </w:pPr>
            <w:r>
              <w:t>项目名称</w:t>
            </w:r>
          </w:p>
        </w:tc>
        <w:tc>
          <w:tcPr>
            <w:tcW w:w="6094" w:type="dxa"/>
            <w:gridSpan w:val="3"/>
            <w:vAlign w:val="center"/>
          </w:tcPr>
          <w:p>
            <w:pPr>
              <w:pStyle w:val="12"/>
            </w:pPr>
            <w:r>
              <w:t>公用经费（联防队员工资)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w:t>
            </w:r>
          </w:p>
        </w:tc>
        <w:tc>
          <w:tcPr>
            <w:tcW w:w="2835" w:type="dxa"/>
            <w:vAlign w:val="center"/>
          </w:tcPr>
          <w:p>
            <w:pPr>
              <w:pStyle w:val="10"/>
            </w:pPr>
            <w:r>
              <w:t>其中：财政    资金</w:t>
            </w:r>
          </w:p>
        </w:tc>
        <w:tc>
          <w:tcPr>
            <w:tcW w:w="2551" w:type="dxa"/>
            <w:vAlign w:val="center"/>
          </w:tcPr>
          <w:p>
            <w:pPr>
              <w:pStyle w:val="12"/>
            </w:pPr>
            <w:r>
              <w:t>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按时发放联防队员及临时工作人员工资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1.按时发放联防队员及临时工作人员工资</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联防队员等人数</w:t>
            </w:r>
          </w:p>
        </w:tc>
        <w:tc>
          <w:tcPr>
            <w:tcW w:w="5386" w:type="dxa"/>
            <w:vAlign w:val="center"/>
          </w:tcPr>
          <w:p>
            <w:pPr>
              <w:pStyle w:val="12"/>
            </w:pPr>
            <w:r>
              <w:t>对联防队员等17人支付工资</w:t>
            </w:r>
          </w:p>
        </w:tc>
        <w:tc>
          <w:tcPr>
            <w:tcW w:w="2268" w:type="dxa"/>
            <w:vAlign w:val="center"/>
          </w:tcPr>
          <w:p>
            <w:pPr>
              <w:pStyle w:val="12"/>
            </w:pPr>
            <w:r>
              <w:t>≥17人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综合经费发放时间</w:t>
            </w:r>
          </w:p>
        </w:tc>
        <w:tc>
          <w:tcPr>
            <w:tcW w:w="5386" w:type="dxa"/>
            <w:vAlign w:val="center"/>
          </w:tcPr>
          <w:p>
            <w:pPr>
              <w:pStyle w:val="12"/>
            </w:pPr>
            <w:r>
              <w:t>综合经费发放时间</w:t>
            </w:r>
          </w:p>
        </w:tc>
        <w:tc>
          <w:tcPr>
            <w:tcW w:w="2268" w:type="dxa"/>
            <w:vAlign w:val="center"/>
          </w:tcPr>
          <w:p>
            <w:pPr>
              <w:pStyle w:val="12"/>
            </w:pPr>
            <w:r>
              <w:t>每季度发放一次</w:t>
            </w:r>
          </w:p>
        </w:tc>
        <w:tc>
          <w:tcPr>
            <w:tcW w:w="1276" w:type="dxa"/>
            <w:vAlign w:val="center"/>
          </w:tcPr>
          <w:p>
            <w:pPr>
              <w:pStyle w:val="12"/>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≥1800元/月</w:t>
            </w:r>
          </w:p>
        </w:tc>
        <w:tc>
          <w:tcPr>
            <w:tcW w:w="1276" w:type="dxa"/>
            <w:vAlign w:val="center"/>
          </w:tcPr>
          <w:p>
            <w:pPr>
              <w:pStyle w:val="12"/>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5、金五线拓宽增西路占地补偿绩效目标表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13010924P00000110263G</w:t>
            </w:r>
          </w:p>
        </w:tc>
        <w:tc>
          <w:tcPr>
            <w:tcW w:w="2835" w:type="dxa"/>
            <w:vAlign w:val="center"/>
          </w:tcPr>
          <w:p>
            <w:pPr>
              <w:pStyle w:val="10"/>
            </w:pPr>
            <w:r>
              <w:t>项目名称</w:t>
            </w:r>
          </w:p>
        </w:tc>
        <w:tc>
          <w:tcPr>
            <w:tcW w:w="6094" w:type="dxa"/>
            <w:gridSpan w:val="3"/>
            <w:vAlign w:val="center"/>
          </w:tcPr>
          <w:p>
            <w:pPr>
              <w:pStyle w:val="12"/>
            </w:pPr>
            <w:r>
              <w:t>金五线拓宽增西路占地补偿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24.04</w:t>
            </w:r>
          </w:p>
        </w:tc>
        <w:tc>
          <w:tcPr>
            <w:tcW w:w="2835" w:type="dxa"/>
            <w:vAlign w:val="center"/>
          </w:tcPr>
          <w:p>
            <w:pPr>
              <w:pStyle w:val="10"/>
            </w:pPr>
            <w:r>
              <w:t>其中：财政    资金</w:t>
            </w:r>
          </w:p>
        </w:tc>
        <w:tc>
          <w:tcPr>
            <w:tcW w:w="2551" w:type="dxa"/>
            <w:vAlign w:val="center"/>
          </w:tcPr>
          <w:p>
            <w:pPr>
              <w:pStyle w:val="12"/>
            </w:pPr>
            <w:r>
              <w:t>24.04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及时拨付金五线拓宽、增西路占地补偿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1.及时拨付金五线拓宽、增西路占地补偿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拨付占地补偿村数</w:t>
            </w:r>
          </w:p>
        </w:tc>
        <w:tc>
          <w:tcPr>
            <w:tcW w:w="5386" w:type="dxa"/>
            <w:vAlign w:val="center"/>
          </w:tcPr>
          <w:p>
            <w:pPr>
              <w:pStyle w:val="12"/>
            </w:pPr>
            <w:r>
              <w:t>拨付占地补偿村数</w:t>
            </w:r>
          </w:p>
        </w:tc>
        <w:tc>
          <w:tcPr>
            <w:tcW w:w="2268" w:type="dxa"/>
            <w:vAlign w:val="center"/>
          </w:tcPr>
          <w:p>
            <w:pPr>
              <w:pStyle w:val="12"/>
            </w:pPr>
            <w:r>
              <w:t>＝9个</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按时间节点拨付到村</w:t>
            </w:r>
          </w:p>
        </w:tc>
        <w:tc>
          <w:tcPr>
            <w:tcW w:w="2268" w:type="dxa"/>
            <w:vAlign w:val="center"/>
          </w:tcPr>
          <w:p>
            <w:pPr>
              <w:pStyle w:val="12"/>
            </w:pPr>
            <w:r>
              <w:t>每年3月31日、7月31日、12月31日前</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是否按照标准进行补偿</w:t>
            </w:r>
          </w:p>
        </w:tc>
        <w:tc>
          <w:tcPr>
            <w:tcW w:w="2268" w:type="dxa"/>
            <w:vAlign w:val="center"/>
          </w:tcPr>
          <w:p>
            <w:pPr>
              <w:pStyle w:val="12"/>
            </w:pPr>
            <w:r>
              <w:t>≥600元/亩</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6、石财预【2023】23号关于下达2023年革命老区转移支付预算的通知（梁家庄）绩效目标表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13010923P00003910059C</w:t>
            </w:r>
          </w:p>
        </w:tc>
        <w:tc>
          <w:tcPr>
            <w:tcW w:w="2835" w:type="dxa"/>
            <w:vAlign w:val="center"/>
          </w:tcPr>
          <w:p>
            <w:pPr>
              <w:pStyle w:val="10"/>
            </w:pPr>
            <w:r>
              <w:t>项目名称</w:t>
            </w:r>
          </w:p>
        </w:tc>
        <w:tc>
          <w:tcPr>
            <w:tcW w:w="6094" w:type="dxa"/>
            <w:gridSpan w:val="3"/>
            <w:vAlign w:val="center"/>
          </w:tcPr>
          <w:p>
            <w:pPr>
              <w:pStyle w:val="12"/>
            </w:pPr>
            <w:r>
              <w:t>石财预【2023】23号关于下达2023年革命老区转移支付预算的通知（梁家庄）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w:t>
            </w:r>
          </w:p>
        </w:tc>
        <w:tc>
          <w:tcPr>
            <w:tcW w:w="2835" w:type="dxa"/>
            <w:vAlign w:val="center"/>
          </w:tcPr>
          <w:p>
            <w:pPr>
              <w:pStyle w:val="10"/>
            </w:pPr>
            <w:r>
              <w:t>其中：财政    资金</w:t>
            </w:r>
          </w:p>
        </w:tc>
        <w:tc>
          <w:tcPr>
            <w:tcW w:w="2551" w:type="dxa"/>
            <w:vAlign w:val="center"/>
          </w:tcPr>
          <w:p>
            <w:pPr>
              <w:pStyle w:val="12"/>
            </w:pPr>
            <w:r>
              <w:t>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加强革命老区梁家庄村基础设施建设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1.加强革命老区梁家庄村基础设施建设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5386" w:type="dxa"/>
            <w:vAlign w:val="center"/>
          </w:tcPr>
          <w:p>
            <w:pPr>
              <w:pStyle w:val="12"/>
            </w:pPr>
            <w:r>
              <w:t>街道铺油改造</w:t>
            </w:r>
          </w:p>
        </w:tc>
        <w:tc>
          <w:tcPr>
            <w:tcW w:w="2268" w:type="dxa"/>
            <w:vAlign w:val="center"/>
          </w:tcPr>
          <w:p>
            <w:pPr>
              <w:pStyle w:val="12"/>
            </w:pPr>
            <w:r>
              <w:t>≥9000平米</w:t>
            </w:r>
          </w:p>
        </w:tc>
        <w:tc>
          <w:tcPr>
            <w:tcW w:w="1276" w:type="dxa"/>
            <w:vAlign w:val="center"/>
          </w:tcPr>
          <w:p>
            <w:pPr>
              <w:pStyle w:val="12"/>
            </w:pPr>
            <w:r>
              <w:t>查看工程预算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≥90%</w:t>
            </w:r>
          </w:p>
        </w:tc>
        <w:tc>
          <w:tcPr>
            <w:tcW w:w="1276" w:type="dxa"/>
            <w:vAlign w:val="center"/>
          </w:tcPr>
          <w:p>
            <w:pPr>
              <w:pStyle w:val="12"/>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是否按合同约定</w:t>
            </w:r>
          </w:p>
        </w:tc>
        <w:tc>
          <w:tcPr>
            <w:tcW w:w="1276" w:type="dxa"/>
            <w:vAlign w:val="center"/>
          </w:tcPr>
          <w:p>
            <w:pPr>
              <w:pStyle w:val="12"/>
            </w:pPr>
            <w:r>
              <w:t>查阅资料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≥8.8万元</w:t>
            </w:r>
          </w:p>
        </w:tc>
        <w:tc>
          <w:tcPr>
            <w:tcW w:w="1276" w:type="dxa"/>
            <w:vAlign w:val="center"/>
          </w:tcPr>
          <w:p>
            <w:pPr>
              <w:pStyle w:val="12"/>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需求满足率</w:t>
            </w:r>
          </w:p>
        </w:tc>
        <w:tc>
          <w:tcPr>
            <w:tcW w:w="5386" w:type="dxa"/>
            <w:vAlign w:val="center"/>
          </w:tcPr>
          <w:p>
            <w:pPr>
              <w:pStyle w:val="12"/>
            </w:pPr>
            <w:r>
              <w:t>需求满足率</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7、石财预【2023】40号关于提前下达2024年革命老区转移支付预算的通知(梁家庄）绩效目标表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13010924P00003810291A</w:t>
            </w:r>
          </w:p>
        </w:tc>
        <w:tc>
          <w:tcPr>
            <w:tcW w:w="2835" w:type="dxa"/>
            <w:vAlign w:val="center"/>
          </w:tcPr>
          <w:p>
            <w:pPr>
              <w:pStyle w:val="10"/>
            </w:pPr>
            <w:r>
              <w:t>项目名称</w:t>
            </w:r>
          </w:p>
        </w:tc>
        <w:tc>
          <w:tcPr>
            <w:tcW w:w="6094" w:type="dxa"/>
            <w:gridSpan w:val="3"/>
            <w:vAlign w:val="center"/>
          </w:tcPr>
          <w:p>
            <w:pPr>
              <w:pStyle w:val="12"/>
            </w:pPr>
            <w:r>
              <w:t>石财预【2023】40号关于提前下达2024年革命老区转移支付预算的通知(梁家庄）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用于加强梁家庄村基础设施建设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1.该资金用于加强革命老区梁家庄村基础设施建设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5386" w:type="dxa"/>
            <w:vAlign w:val="center"/>
          </w:tcPr>
          <w:p>
            <w:pPr>
              <w:pStyle w:val="12"/>
            </w:pPr>
            <w:r>
              <w:t>街道铺油改造、便道砖铺设</w:t>
            </w:r>
          </w:p>
        </w:tc>
        <w:tc>
          <w:tcPr>
            <w:tcW w:w="2268" w:type="dxa"/>
            <w:vAlign w:val="center"/>
          </w:tcPr>
          <w:p>
            <w:pPr>
              <w:pStyle w:val="12"/>
            </w:pPr>
            <w:r>
              <w:t>≤11380平米</w:t>
            </w:r>
          </w:p>
        </w:tc>
        <w:tc>
          <w:tcPr>
            <w:tcW w:w="1276" w:type="dxa"/>
            <w:vAlign w:val="center"/>
          </w:tcPr>
          <w:p>
            <w:pPr>
              <w:pStyle w:val="12"/>
            </w:pPr>
            <w:r>
              <w:t>查看工程预算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≥90%</w:t>
            </w:r>
          </w:p>
        </w:tc>
        <w:tc>
          <w:tcPr>
            <w:tcW w:w="1276" w:type="dxa"/>
            <w:vAlign w:val="center"/>
          </w:tcPr>
          <w:p>
            <w:pPr>
              <w:pStyle w:val="12"/>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是否按合同约定</w:t>
            </w:r>
          </w:p>
        </w:tc>
        <w:tc>
          <w:tcPr>
            <w:tcW w:w="1276" w:type="dxa"/>
            <w:vAlign w:val="center"/>
          </w:tcPr>
          <w:p>
            <w:pPr>
              <w:pStyle w:val="12"/>
            </w:pPr>
            <w:r>
              <w:t>查阅资料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105万元</w:t>
            </w:r>
          </w:p>
        </w:tc>
        <w:tc>
          <w:tcPr>
            <w:tcW w:w="1276" w:type="dxa"/>
            <w:vAlign w:val="center"/>
          </w:tcPr>
          <w:p>
            <w:pPr>
              <w:pStyle w:val="12"/>
            </w:pPr>
            <w:r>
              <w:t>查阅账目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需求满足率</w:t>
            </w:r>
          </w:p>
        </w:tc>
        <w:tc>
          <w:tcPr>
            <w:tcW w:w="5386" w:type="dxa"/>
            <w:vAlign w:val="center"/>
          </w:tcPr>
          <w:p>
            <w:pPr>
              <w:pStyle w:val="12"/>
            </w:pPr>
            <w:r>
              <w:t>需求满足率</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8、提前下达2023年科技特派员工作站补助资金绩效目标表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13010923P00000110503N</w:t>
            </w:r>
          </w:p>
        </w:tc>
        <w:tc>
          <w:tcPr>
            <w:tcW w:w="2835" w:type="dxa"/>
            <w:vAlign w:val="center"/>
          </w:tcPr>
          <w:p>
            <w:pPr>
              <w:pStyle w:val="10"/>
            </w:pPr>
            <w:r>
              <w:t>项目名称</w:t>
            </w:r>
          </w:p>
        </w:tc>
        <w:tc>
          <w:tcPr>
            <w:tcW w:w="6094" w:type="dxa"/>
            <w:gridSpan w:val="3"/>
            <w:vAlign w:val="center"/>
          </w:tcPr>
          <w:p>
            <w:pPr>
              <w:pStyle w:val="12"/>
            </w:pPr>
            <w:r>
              <w:t>提前下达2023年科技特派员工作站补助资金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用于科技特派员工作站相关支出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1.加强科技特派员工作站建设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举办活动场次</w:t>
            </w:r>
          </w:p>
        </w:tc>
        <w:tc>
          <w:tcPr>
            <w:tcW w:w="2268" w:type="dxa"/>
            <w:vAlign w:val="center"/>
          </w:tcPr>
          <w:p>
            <w:pPr>
              <w:pStyle w:val="12"/>
            </w:pPr>
            <w:r>
              <w:t>≥2次</w:t>
            </w:r>
          </w:p>
        </w:tc>
        <w:tc>
          <w:tcPr>
            <w:tcW w:w="1276" w:type="dxa"/>
            <w:vAlign w:val="center"/>
          </w:tcPr>
          <w:p>
            <w:pPr>
              <w:pStyle w:val="12"/>
            </w:pPr>
            <w:r>
              <w:t>实际举办活动场次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≥95百分比</w:t>
            </w:r>
          </w:p>
        </w:tc>
        <w:tc>
          <w:tcPr>
            <w:tcW w:w="1276" w:type="dxa"/>
            <w:vAlign w:val="center"/>
          </w:tcPr>
          <w:p>
            <w:pPr>
              <w:pStyle w:val="12"/>
            </w:pPr>
            <w: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实际完成工作时效与计划完成工作时效的比例</w:t>
            </w:r>
          </w:p>
        </w:tc>
        <w:tc>
          <w:tcPr>
            <w:tcW w:w="2268" w:type="dxa"/>
            <w:vAlign w:val="center"/>
          </w:tcPr>
          <w:p>
            <w:pPr>
              <w:pStyle w:val="12"/>
            </w:pPr>
            <w:r>
              <w:t>≥95百分比</w:t>
            </w:r>
          </w:p>
        </w:tc>
        <w:tc>
          <w:tcPr>
            <w:tcW w:w="1276" w:type="dxa"/>
            <w:vAlign w:val="center"/>
          </w:tcPr>
          <w:p>
            <w:pPr>
              <w:pStyle w:val="12"/>
            </w:pPr>
            <w: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≤5万元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保障镇政府及各村的各项工作顺利开展提升群众满意度</w:t>
            </w:r>
          </w:p>
        </w:tc>
        <w:tc>
          <w:tcPr>
            <w:tcW w:w="2268" w:type="dxa"/>
            <w:vAlign w:val="center"/>
          </w:tcPr>
          <w:p>
            <w:pPr>
              <w:pStyle w:val="12"/>
            </w:pPr>
            <w:r>
              <w:t>较上年提升</w:t>
            </w:r>
          </w:p>
        </w:tc>
        <w:tc>
          <w:tcPr>
            <w:tcW w:w="1276" w:type="dxa"/>
            <w:vAlign w:val="center"/>
          </w:tcPr>
          <w:p>
            <w:pPr>
              <w:pStyle w:val="12"/>
            </w:pPr>
            <w: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用数满意度</w:t>
            </w:r>
          </w:p>
        </w:tc>
        <w:tc>
          <w:tcPr>
            <w:tcW w:w="5386" w:type="dxa"/>
            <w:vAlign w:val="center"/>
          </w:tcPr>
          <w:p>
            <w:pPr>
              <w:pStyle w:val="12"/>
            </w:pPr>
            <w:r>
              <w:t>用户满意度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9、信访执法武装综合工作经费绩效目标表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13010924P00000110266B</w:t>
            </w:r>
          </w:p>
        </w:tc>
        <w:tc>
          <w:tcPr>
            <w:tcW w:w="2835" w:type="dxa"/>
            <w:vAlign w:val="center"/>
          </w:tcPr>
          <w:p>
            <w:pPr>
              <w:pStyle w:val="10"/>
            </w:pPr>
            <w:r>
              <w:t>项目名称</w:t>
            </w:r>
          </w:p>
        </w:tc>
        <w:tc>
          <w:tcPr>
            <w:tcW w:w="6094" w:type="dxa"/>
            <w:gridSpan w:val="3"/>
            <w:vAlign w:val="center"/>
          </w:tcPr>
          <w:p>
            <w:pPr>
              <w:pStyle w:val="12"/>
            </w:pPr>
            <w:r>
              <w:t>信访执法武装综合工作经费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84.30</w:t>
            </w:r>
          </w:p>
        </w:tc>
        <w:tc>
          <w:tcPr>
            <w:tcW w:w="2835" w:type="dxa"/>
            <w:vAlign w:val="center"/>
          </w:tcPr>
          <w:p>
            <w:pPr>
              <w:pStyle w:val="10"/>
            </w:pPr>
            <w:r>
              <w:t>其中：财政    资金</w:t>
            </w:r>
          </w:p>
        </w:tc>
        <w:tc>
          <w:tcPr>
            <w:tcW w:w="2551" w:type="dxa"/>
            <w:vAlign w:val="center"/>
          </w:tcPr>
          <w:p>
            <w:pPr>
              <w:pStyle w:val="12"/>
            </w:pPr>
            <w:r>
              <w:t>84.30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保证环保、人居环境整治、拆违、信访、武装、政府修缮等工作正常开展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1.保证环保、人居环境整治、拆违、信访、武装、政府修缮等工作正常开展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日常工作涉及村数</w:t>
            </w:r>
          </w:p>
        </w:tc>
        <w:tc>
          <w:tcPr>
            <w:tcW w:w="5386" w:type="dxa"/>
            <w:vAlign w:val="center"/>
          </w:tcPr>
          <w:p>
            <w:pPr>
              <w:pStyle w:val="12"/>
            </w:pPr>
            <w:r>
              <w:t>14个村人居环境和路域环境整治、信访维稳等工作</w:t>
            </w:r>
          </w:p>
        </w:tc>
        <w:tc>
          <w:tcPr>
            <w:tcW w:w="2268" w:type="dxa"/>
            <w:vAlign w:val="center"/>
          </w:tcPr>
          <w:p>
            <w:pPr>
              <w:pStyle w:val="12"/>
            </w:pPr>
            <w:r>
              <w:t>≥14村</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各项工作保障时间节点</w:t>
            </w:r>
          </w:p>
        </w:tc>
        <w:tc>
          <w:tcPr>
            <w:tcW w:w="2268" w:type="dxa"/>
            <w:vAlign w:val="center"/>
          </w:tcPr>
          <w:p>
            <w:pPr>
              <w:pStyle w:val="12"/>
            </w:pPr>
            <w:r>
              <w:t>按照主管部门工作安排完成任务</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经费等使用标准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各项工作在全镇形成的重要影响得到认可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13010924P000001102644</w:t>
            </w:r>
          </w:p>
        </w:tc>
        <w:tc>
          <w:tcPr>
            <w:tcW w:w="2835" w:type="dxa"/>
            <w:vAlign w:val="center"/>
          </w:tcPr>
          <w:p>
            <w:pPr>
              <w:pStyle w:val="10"/>
            </w:pPr>
            <w:r>
              <w:t>项目名称</w:t>
            </w:r>
          </w:p>
        </w:tc>
        <w:tc>
          <w:tcPr>
            <w:tcW w:w="6094"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11.85</w:t>
            </w:r>
          </w:p>
        </w:tc>
        <w:tc>
          <w:tcPr>
            <w:tcW w:w="2835" w:type="dxa"/>
            <w:vAlign w:val="center"/>
          </w:tcPr>
          <w:p>
            <w:pPr>
              <w:pStyle w:val="10"/>
            </w:pPr>
            <w:r>
              <w:t>其中：财政    资金</w:t>
            </w:r>
          </w:p>
        </w:tc>
        <w:tc>
          <w:tcPr>
            <w:tcW w:w="2551" w:type="dxa"/>
            <w:vAlign w:val="center"/>
          </w:tcPr>
          <w:p>
            <w:pPr>
              <w:pStyle w:val="12"/>
            </w:pPr>
            <w:r>
              <w:t>11.85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及时足额上缴工会费，保障工会工作的正常运转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1.及时足额上缴工会费，保障工会工作的正常运转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覆盖数</w:t>
            </w:r>
          </w:p>
        </w:tc>
        <w:tc>
          <w:tcPr>
            <w:tcW w:w="5386" w:type="dxa"/>
            <w:vAlign w:val="center"/>
          </w:tcPr>
          <w:p>
            <w:pPr>
              <w:pStyle w:val="12"/>
            </w:pPr>
            <w:r>
              <w:t>覆盖人数</w:t>
            </w:r>
          </w:p>
        </w:tc>
        <w:tc>
          <w:tcPr>
            <w:tcW w:w="2268" w:type="dxa"/>
            <w:vAlign w:val="center"/>
          </w:tcPr>
          <w:p>
            <w:pPr>
              <w:pStyle w:val="12"/>
            </w:pPr>
            <w:r>
              <w:t>289人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w:t>
            </w:r>
          </w:p>
        </w:tc>
        <w:tc>
          <w:tcPr>
            <w:tcW w:w="5386" w:type="dxa"/>
            <w:vAlign w:val="center"/>
          </w:tcPr>
          <w:p>
            <w:pPr>
              <w:pStyle w:val="12"/>
            </w:pPr>
            <w:r>
              <w:t>上缴资金及时</w:t>
            </w:r>
          </w:p>
        </w:tc>
        <w:tc>
          <w:tcPr>
            <w:tcW w:w="2268" w:type="dxa"/>
            <w:vAlign w:val="center"/>
          </w:tcPr>
          <w:p>
            <w:pPr>
              <w:pStyle w:val="12"/>
            </w:pPr>
            <w:r>
              <w:t>≥11月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工会缴费标准</w:t>
            </w:r>
          </w:p>
        </w:tc>
        <w:tc>
          <w:tcPr>
            <w:tcW w:w="5386" w:type="dxa"/>
            <w:vAlign w:val="center"/>
          </w:tcPr>
          <w:p>
            <w:pPr>
              <w:pStyle w:val="12"/>
            </w:pPr>
            <w:r>
              <w:t>工会缴费标准</w:t>
            </w:r>
          </w:p>
        </w:tc>
        <w:tc>
          <w:tcPr>
            <w:tcW w:w="2268" w:type="dxa"/>
            <w:vAlign w:val="center"/>
          </w:tcPr>
          <w:p>
            <w:pPr>
              <w:pStyle w:val="12"/>
            </w:pPr>
            <w:r>
              <w:t>按实际标准执行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对工会工作的满意度</w:t>
            </w:r>
          </w:p>
        </w:tc>
        <w:tc>
          <w:tcPr>
            <w:tcW w:w="2268" w:type="dxa"/>
            <w:vAlign w:val="center"/>
          </w:tcPr>
          <w:p>
            <w:pPr>
              <w:pStyle w:val="12"/>
            </w:pPr>
            <w:r>
              <w:t>≥90百分比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13010924P00000110265P</w:t>
            </w:r>
          </w:p>
        </w:tc>
        <w:tc>
          <w:tcPr>
            <w:tcW w:w="2835" w:type="dxa"/>
            <w:vAlign w:val="center"/>
          </w:tcPr>
          <w:p>
            <w:pPr>
              <w:pStyle w:val="10"/>
            </w:pPr>
            <w:r>
              <w:t>项目名称</w:t>
            </w:r>
          </w:p>
        </w:tc>
        <w:tc>
          <w:tcPr>
            <w:tcW w:w="6094"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w:t>
            </w:r>
          </w:p>
        </w:tc>
        <w:tc>
          <w:tcPr>
            <w:tcW w:w="2835" w:type="dxa"/>
            <w:vAlign w:val="center"/>
          </w:tcPr>
          <w:p>
            <w:pPr>
              <w:pStyle w:val="10"/>
            </w:pPr>
            <w:r>
              <w:t>其中：财政    资金</w:t>
            </w:r>
          </w:p>
        </w:tc>
        <w:tc>
          <w:tcPr>
            <w:tcW w:w="2551" w:type="dxa"/>
            <w:vAlign w:val="center"/>
          </w:tcPr>
          <w:p>
            <w:pPr>
              <w:pStyle w:val="12"/>
            </w:pPr>
            <w:r>
              <w:t>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及时足额上缴工会费，保障工会工作的正常运转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1.及时足额上缴工会费，保障工会工作的正常运转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覆盖人数</w:t>
            </w:r>
          </w:p>
        </w:tc>
        <w:tc>
          <w:tcPr>
            <w:tcW w:w="2268" w:type="dxa"/>
            <w:vAlign w:val="center"/>
          </w:tcPr>
          <w:p>
            <w:pPr>
              <w:pStyle w:val="12"/>
            </w:pPr>
            <w:r>
              <w:t>52人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w:t>
            </w:r>
          </w:p>
        </w:tc>
        <w:tc>
          <w:tcPr>
            <w:tcW w:w="5386" w:type="dxa"/>
            <w:vAlign w:val="center"/>
          </w:tcPr>
          <w:p>
            <w:pPr>
              <w:pStyle w:val="12"/>
            </w:pPr>
            <w:r>
              <w:t>按照区工会安排时间进度上缴工会费</w:t>
            </w:r>
          </w:p>
        </w:tc>
        <w:tc>
          <w:tcPr>
            <w:tcW w:w="2268" w:type="dxa"/>
            <w:vAlign w:val="center"/>
          </w:tcPr>
          <w:p>
            <w:pPr>
              <w:pStyle w:val="12"/>
            </w:pPr>
            <w:r>
              <w:t>≥11月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工会缴费标准</w:t>
            </w:r>
          </w:p>
        </w:tc>
        <w:tc>
          <w:tcPr>
            <w:tcW w:w="5386" w:type="dxa"/>
            <w:vAlign w:val="center"/>
          </w:tcPr>
          <w:p>
            <w:pPr>
              <w:pStyle w:val="12"/>
            </w:pPr>
            <w:r>
              <w:t>按要求执行工会缴费标准</w:t>
            </w:r>
          </w:p>
        </w:tc>
        <w:tc>
          <w:tcPr>
            <w:tcW w:w="2268" w:type="dxa"/>
            <w:vAlign w:val="center"/>
          </w:tcPr>
          <w:p>
            <w:pPr>
              <w:pStyle w:val="12"/>
            </w:pPr>
            <w:r>
              <w:t>按实际标准执行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对工会工作的满意度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105.00</w:t>
            </w:r>
          </w:p>
        </w:tc>
        <w:tc>
          <w:tcPr>
            <w:tcW w:w="964" w:type="dxa"/>
            <w:vAlign w:val="center"/>
          </w:tcPr>
          <w:p>
            <w:pPr>
              <w:pStyle w:val="15"/>
            </w:pPr>
            <w:r>
              <w:t>105.00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石家庄市藁城区西关镇人民政府本级小计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105.00</w:t>
            </w:r>
          </w:p>
        </w:tc>
        <w:tc>
          <w:tcPr>
            <w:tcW w:w="964" w:type="dxa"/>
            <w:vAlign w:val="center"/>
          </w:tcPr>
          <w:p>
            <w:pPr>
              <w:pStyle w:val="15"/>
            </w:pPr>
            <w:r>
              <w:t>105.00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石财预【2023】40号关于提前下达2024年革命老区转移支付预算的通知(梁家庄）</w:t>
            </w:r>
          </w:p>
        </w:tc>
        <w:tc>
          <w:tcPr>
            <w:tcW w:w="964" w:type="dxa"/>
            <w:vAlign w:val="center"/>
          </w:tcPr>
          <w:p>
            <w:pPr>
              <w:pStyle w:val="11"/>
            </w:pPr>
            <w:r>
              <w:t>105.00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105.00</w:t>
            </w:r>
          </w:p>
        </w:tc>
        <w:tc>
          <w:tcPr>
            <w:tcW w:w="964" w:type="dxa"/>
            <w:vAlign w:val="center"/>
          </w:tcPr>
          <w:p>
            <w:pPr>
              <w:pStyle w:val="11"/>
            </w:pPr>
            <w:r>
              <w:t>105.00</w:t>
            </w:r>
          </w:p>
        </w:tc>
        <w:tc>
          <w:tcPr>
            <w:tcW w:w="964" w:type="dxa"/>
            <w:vAlign w:val="center"/>
          </w:tcPr>
          <w:p>
            <w:pPr>
              <w:pStyle w:val="11"/>
            </w:pPr>
            <w:r>
              <w:t>105.00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石家庄市藁城区西关镇人民政府本级上年末固定资产金额为1756.08万元（详见下表）。本年度拟购置固定资产总额为0.00万元，已按要求列入政府采购预算，详见政府采购预算表。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815001石家庄市藁城区西关镇人民政府本级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1756.08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70966.81</w:t>
            </w:r>
          </w:p>
        </w:tc>
        <w:tc>
          <w:tcPr>
            <w:tcW w:w="2835" w:type="dxa"/>
            <w:vAlign w:val="center"/>
          </w:tcPr>
          <w:p>
            <w:pPr>
              <w:pStyle w:val="11"/>
            </w:pPr>
            <w:r>
              <w:t>1403.31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40.48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202</w:t>
            </w:r>
          </w:p>
        </w:tc>
        <w:tc>
          <w:tcPr>
            <w:tcW w:w="2835" w:type="dxa"/>
            <w:vAlign w:val="center"/>
          </w:tcPr>
          <w:p>
            <w:pPr>
              <w:pStyle w:val="11"/>
            </w:pPr>
            <w:r>
              <w:t>312.29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DU0ZDRiNjBiYjI1MzM3YzkzZmMwOTM3OTY3ODg0OWMifQ=="/>
  </w:docVars>
  <w:rsids>
    <w:rsidRoot w:val="00000000"/>
    <w:rsid w:val="203053C8"/>
    <w:rsid w:val="59350339"/>
    <w:rsid w:val="61961AD8"/>
    <w:rsid w:val="76BA2C9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2024-03-01T09:43:03Z</dcterms:created>
  <dcterms:modified xsi:type="dcterms:W3CDTF">2024-03-01T01:43:03Z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2024-03-01T09:43:04Z</dcterms:created>
  <dcterms:modified xsi:type="dcterms:W3CDTF">2024-03-01T01:43:04Z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2024-03-01T09:43:05Z</dcterms:created>
  <dcterms:modified xsi:type="dcterms:W3CDTF">2024-03-01T01:43:05Z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2024-03-01T09:43:06Z</dcterms:created>
  <dcterms:modified xsi:type="dcterms:W3CDTF">2024-03-01T01:43:06Z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2024-03-01T09:43:00Z</dcterms:created>
  <dcterms:modified xsi:type="dcterms:W3CDTF">2024-03-01T01:43:00Z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2024-03-01T09:43:07Z</dcterms:created>
  <dcterms:modified xsi:type="dcterms:W3CDTF">2024-03-01T01:43:06Z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2024-03-01T09:43:07Z</dcterms:created>
  <dcterms:modified xsi:type="dcterms:W3CDTF">2024-03-01T01:43:07Z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2024-03-01T09:43:08Z</dcterms:created>
  <dcterms:modified xsi:type="dcterms:W3CDTF">2024-03-01T01:43:08Z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2024-03-01T09:43:12Z</dcterms:created>
  <dcterms:modified xsi:type="dcterms:W3CDTF">2024-03-01T01:43:12Z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2024-03-01T09:42:18Z</dcterms:created>
  <dcterms:modified xsi:type="dcterms:W3CDTF">2024-03-01T01:42:18Z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2024-03-01T09:43:13Z</dcterms:created>
  <dcterms:modified xsi:type="dcterms:W3CDTF">2024-03-01T01:43:13Z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2024-03-01T09:43:00Z</dcterms:created>
  <dcterms:modified xsi:type="dcterms:W3CDTF">2024-03-01T01:43:00Z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2024-03-01T09:43:01Z</dcterms:created>
  <dcterms:modified xsi:type="dcterms:W3CDTF">2024-03-01T01:43:01Z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2024-03-01T09:42:13Z</dcterms:created>
  <dcterms:modified xsi:type="dcterms:W3CDTF">2024-03-01T01:42:13Z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2024-03-01T09:43:01Z</dcterms:created>
  <dcterms:modified xsi:type="dcterms:W3CDTF">2024-03-01T01:43:01Z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2024-03-01T09:43:02Z</dcterms:created>
  <dcterms:modified xsi:type="dcterms:W3CDTF">2024-03-01T01:43:02Z</dcterms:modified>
</cp:coreProperties>
</file>

<file path=customXml/itemProps1.xml><?xml version="1.0" encoding="utf-8"?>
<ds:datastoreItem xmlns:ds="http://schemas.openxmlformats.org/officeDocument/2006/customXml" ds:itemID="{c4b17064-b795-4c64-b9c3-fa459b30d5be}">
  <ds:schemaRefs/>
</ds:datastoreItem>
</file>

<file path=customXml/itemProps10.xml><?xml version="1.0" encoding="utf-8"?>
<ds:datastoreItem xmlns:ds="http://schemas.openxmlformats.org/officeDocument/2006/customXml" ds:itemID="{e5386aef-93fb-42c8-a7c2-2cd5ed6a665b}">
  <ds:schemaRefs/>
</ds:datastoreItem>
</file>

<file path=customXml/itemProps11.xml><?xml version="1.0" encoding="utf-8"?>
<ds:datastoreItem xmlns:ds="http://schemas.openxmlformats.org/officeDocument/2006/customXml" ds:itemID="{4481423f-1dd7-403d-b95d-357aa2266f23}">
  <ds:schemaRefs/>
</ds:datastoreItem>
</file>

<file path=customXml/itemProps12.xml><?xml version="1.0" encoding="utf-8"?>
<ds:datastoreItem xmlns:ds="http://schemas.openxmlformats.org/officeDocument/2006/customXml" ds:itemID="{46143d8e-274f-4b9a-ba88-b076ef085659}">
  <ds:schemaRefs/>
</ds:datastoreItem>
</file>

<file path=customXml/itemProps13.xml><?xml version="1.0" encoding="utf-8"?>
<ds:datastoreItem xmlns:ds="http://schemas.openxmlformats.org/officeDocument/2006/customXml" ds:itemID="{d1251994-ed4d-4bb1-82ec-35686a1336e2}">
  <ds:schemaRefs/>
</ds:datastoreItem>
</file>

<file path=customXml/itemProps14.xml><?xml version="1.0" encoding="utf-8"?>
<ds:datastoreItem xmlns:ds="http://schemas.openxmlformats.org/officeDocument/2006/customXml" ds:itemID="{9e50d5c5-ce57-41b0-b0b5-6b04d07f8401}">
  <ds:schemaRefs/>
</ds:datastoreItem>
</file>

<file path=customXml/itemProps15.xml><?xml version="1.0" encoding="utf-8"?>
<ds:datastoreItem xmlns:ds="http://schemas.openxmlformats.org/officeDocument/2006/customXml" ds:itemID="{ee821a10-14ba-41ff-9878-c6836db42a32}">
  <ds:schemaRefs/>
</ds:datastoreItem>
</file>

<file path=customXml/itemProps16.xml><?xml version="1.0" encoding="utf-8"?>
<ds:datastoreItem xmlns:ds="http://schemas.openxmlformats.org/officeDocument/2006/customXml" ds:itemID="{08c62ba0-0c4f-425d-b532-d0acb11f0b32}">
  <ds:schemaRefs/>
</ds:datastoreItem>
</file>

<file path=customXml/itemProps17.xml><?xml version="1.0" encoding="utf-8"?>
<ds:datastoreItem xmlns:ds="http://schemas.openxmlformats.org/officeDocument/2006/customXml" ds:itemID="{57b3a9d7-73b2-420b-b878-7cfc40f5e966}">
  <ds:schemaRefs/>
</ds:datastoreItem>
</file>

<file path=customXml/itemProps18.xml><?xml version="1.0" encoding="utf-8"?>
<ds:datastoreItem xmlns:ds="http://schemas.openxmlformats.org/officeDocument/2006/customXml" ds:itemID="{77651c99-a03a-49a4-9674-08fccc1181a9}">
  <ds:schemaRefs/>
</ds:datastoreItem>
</file>

<file path=customXml/itemProps19.xml><?xml version="1.0" encoding="utf-8"?>
<ds:datastoreItem xmlns:ds="http://schemas.openxmlformats.org/officeDocument/2006/customXml" ds:itemID="{561b30f4-5a95-48ec-8dae-50aa8c3d91fa}">
  <ds:schemaRefs/>
</ds:datastoreItem>
</file>

<file path=customXml/itemProps2.xml><?xml version="1.0" encoding="utf-8"?>
<ds:datastoreItem xmlns:ds="http://schemas.openxmlformats.org/officeDocument/2006/customXml" ds:itemID="{cf721221-c967-48ed-93d3-61542c337015}">
  <ds:schemaRefs/>
</ds:datastoreItem>
</file>

<file path=customXml/itemProps20.xml><?xml version="1.0" encoding="utf-8"?>
<ds:datastoreItem xmlns:ds="http://schemas.openxmlformats.org/officeDocument/2006/customXml" ds:itemID="{559672c1-dea6-41e8-b449-85233edd9d43}">
  <ds:schemaRefs/>
</ds:datastoreItem>
</file>

<file path=customXml/itemProps21.xml><?xml version="1.0" encoding="utf-8"?>
<ds:datastoreItem xmlns:ds="http://schemas.openxmlformats.org/officeDocument/2006/customXml" ds:itemID="{2add7b54-04af-44d5-9c1b-0917fac0154f}">
  <ds:schemaRefs/>
</ds:datastoreItem>
</file>

<file path=customXml/itemProps22.xml><?xml version="1.0" encoding="utf-8"?>
<ds:datastoreItem xmlns:ds="http://schemas.openxmlformats.org/officeDocument/2006/customXml" ds:itemID="{150771a5-574a-441a-8abc-86fe0a5c760e}">
  <ds:schemaRefs/>
</ds:datastoreItem>
</file>

<file path=customXml/itemProps23.xml><?xml version="1.0" encoding="utf-8"?>
<ds:datastoreItem xmlns:ds="http://schemas.openxmlformats.org/officeDocument/2006/customXml" ds:itemID="{914992ec-2d13-4943-ab51-6b0f79870903}">
  <ds:schemaRefs/>
</ds:datastoreItem>
</file>

<file path=customXml/itemProps24.xml><?xml version="1.0" encoding="utf-8"?>
<ds:datastoreItem xmlns:ds="http://schemas.openxmlformats.org/officeDocument/2006/customXml" ds:itemID="{0999f177-3441-43cd-8f5e-4123ec1718e5}">
  <ds:schemaRefs/>
</ds:datastoreItem>
</file>

<file path=customXml/itemProps25.xml><?xml version="1.0" encoding="utf-8"?>
<ds:datastoreItem xmlns:ds="http://schemas.openxmlformats.org/officeDocument/2006/customXml" ds:itemID="{d5ff9837-e7a4-4a06-9e28-84cd920bcad8}">
  <ds:schemaRefs/>
</ds:datastoreItem>
</file>

<file path=customXml/itemProps26.xml><?xml version="1.0" encoding="utf-8"?>
<ds:datastoreItem xmlns:ds="http://schemas.openxmlformats.org/officeDocument/2006/customXml" ds:itemID="{746dbbdd-a967-47b2-8b13-c41dc013f885}">
  <ds:schemaRefs/>
</ds:datastoreItem>
</file>

<file path=customXml/itemProps27.xml><?xml version="1.0" encoding="utf-8"?>
<ds:datastoreItem xmlns:ds="http://schemas.openxmlformats.org/officeDocument/2006/customXml" ds:itemID="{607cda18-313b-4902-bc28-841c51fb56b5}">
  <ds:schemaRefs/>
</ds:datastoreItem>
</file>

<file path=customXml/itemProps28.xml><?xml version="1.0" encoding="utf-8"?>
<ds:datastoreItem xmlns:ds="http://schemas.openxmlformats.org/officeDocument/2006/customXml" ds:itemID="{af1416ee-0cac-495c-a722-77d8ceef7825}">
  <ds:schemaRefs/>
</ds:datastoreItem>
</file>

<file path=customXml/itemProps29.xml><?xml version="1.0" encoding="utf-8"?>
<ds:datastoreItem xmlns:ds="http://schemas.openxmlformats.org/officeDocument/2006/customXml" ds:itemID="{6eff55cf-7944-4e86-a398-82531dab772a}">
  <ds:schemaRefs/>
</ds:datastoreItem>
</file>

<file path=customXml/itemProps3.xml><?xml version="1.0" encoding="utf-8"?>
<ds:datastoreItem xmlns:ds="http://schemas.openxmlformats.org/officeDocument/2006/customXml" ds:itemID="{88427a09-c68d-406a-b440-d8678627ab9a}">
  <ds:schemaRefs/>
</ds:datastoreItem>
</file>

<file path=customXml/itemProps30.xml><?xml version="1.0" encoding="utf-8"?>
<ds:datastoreItem xmlns:ds="http://schemas.openxmlformats.org/officeDocument/2006/customXml" ds:itemID="{fa3e6ae0-4d27-49e8-a727-79817d3fa35f}">
  <ds:schemaRefs/>
</ds:datastoreItem>
</file>

<file path=customXml/itemProps31.xml><?xml version="1.0" encoding="utf-8"?>
<ds:datastoreItem xmlns:ds="http://schemas.openxmlformats.org/officeDocument/2006/customXml" ds:itemID="{0d42c193-4d05-458f-88fe-6ce8b38f7135}">
  <ds:schemaRefs/>
</ds:datastoreItem>
</file>

<file path=customXml/itemProps32.xml><?xml version="1.0" encoding="utf-8"?>
<ds:datastoreItem xmlns:ds="http://schemas.openxmlformats.org/officeDocument/2006/customXml" ds:itemID="{8aeafca7-f5e2-4f14-a16e-7867d3d59289}">
  <ds:schemaRefs/>
</ds:datastoreItem>
</file>

<file path=customXml/itemProps4.xml><?xml version="1.0" encoding="utf-8"?>
<ds:datastoreItem xmlns:ds="http://schemas.openxmlformats.org/officeDocument/2006/customXml" ds:itemID="{d9591d9d-5e38-4f8a-8af4-e2bbe7b8df41}">
  <ds:schemaRefs/>
</ds:datastoreItem>
</file>

<file path=customXml/itemProps5.xml><?xml version="1.0" encoding="utf-8"?>
<ds:datastoreItem xmlns:ds="http://schemas.openxmlformats.org/officeDocument/2006/customXml" ds:itemID="{0661e1af-a46d-4540-a1a6-fcd6458fb9ba}">
  <ds:schemaRefs/>
</ds:datastoreItem>
</file>

<file path=customXml/itemProps6.xml><?xml version="1.0" encoding="utf-8"?>
<ds:datastoreItem xmlns:ds="http://schemas.openxmlformats.org/officeDocument/2006/customXml" ds:itemID="{d8e974ca-97e7-41aa-9fed-55d806af638b}">
  <ds:schemaRefs/>
</ds:datastoreItem>
</file>

<file path=customXml/itemProps7.xml><?xml version="1.0" encoding="utf-8"?>
<ds:datastoreItem xmlns:ds="http://schemas.openxmlformats.org/officeDocument/2006/customXml" ds:itemID="{091becbb-9865-46ef-b30f-c989ec19cdb7}">
  <ds:schemaRefs/>
</ds:datastoreItem>
</file>

<file path=customXml/itemProps8.xml><?xml version="1.0" encoding="utf-8"?>
<ds:datastoreItem xmlns:ds="http://schemas.openxmlformats.org/officeDocument/2006/customXml" ds:itemID="{bb896d9f-7bf5-4a4e-9c69-be564fdb3ac0}">
  <ds:schemaRefs/>
</ds:datastoreItem>
</file>

<file path=customXml/itemProps9.xml><?xml version="1.0" encoding="utf-8"?>
<ds:datastoreItem xmlns:ds="http://schemas.openxmlformats.org/officeDocument/2006/customXml" ds:itemID="{8eb47ab3-cecc-442b-ba83-21150d1a9d32}">
  <ds:schemaRefs/>
</ds:datastoreItem>
</file>

<file path=docProps/app.xml><?xml version="1.0" encoding="utf-8"?>
<Properties xmlns="http://schemas.openxmlformats.org/officeDocument/2006/extended-properties" xmlns:vt="http://schemas.openxmlformats.org/officeDocument/2006/docPropsVTypes">
  <TotalTime>14</TotalTime>
  <ScaleCrop>false</ScaleCrop>
  <LinksUpToDate>false</LinksUpToDate>
  <Application>WPS Office_12.1.0.16399_F1E327BC-269C-435d-A152-05C5408002CA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2024-03-01T09:43:00Z</dcterms:created>
  <dc:creator>Administrator</dc:creator>
  <cp:lastModifiedBy>Administrator</cp:lastModifiedBy>
  <dcterms:modified xsi:type="dcterms:W3CDTF">2024-03-04T06:40:26Z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E4DCB9ED61554D81965C38A939A8DCCD_12</vt:lpwstr>
  </property>
</Properties>
</file>