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一、中国共产党石家庄市藁城区委员会统战部本级收支预算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一、中国共产党石家庄市藁城区委员会统战部本级</w:t>
      </w:r>
      <w:bookmarkStart w:id="1" w:name="_GoBack"/>
      <w:bookmarkEnd w:id="1"/>
      <w:r>
        <w:rPr>
          <w:rFonts w:ascii="方正小标宋_GBK" w:hAnsi="方正小标宋_GBK" w:eastAsia="方正小标宋_GBK" w:cs="方正小标宋_GBK"/>
          <w:b w:val="0"/>
          <w:color w:val="000000"/>
          <w:sz w:val="44"/>
        </w:rPr>
        <w:t>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232.71</w:t>
            </w:r>
          </w:p>
        </w:tc>
        <w:tc>
          <w:tcPr>
            <w:tcW w:w="4535" w:type="dxa"/>
            <w:vAlign w:val="center"/>
          </w:tcPr>
          <w:p>
            <w:pPr>
              <w:pStyle w:val="12"/>
            </w:pPr>
            <w:r>
              <w:t>一、一般公共服务支出</w:t>
            </w:r>
          </w:p>
        </w:tc>
        <w:tc>
          <w:tcPr>
            <w:tcW w:w="2126" w:type="dxa"/>
            <w:vAlign w:val="center"/>
          </w:tcPr>
          <w:p>
            <w:pPr>
              <w:pStyle w:val="11"/>
            </w:pPr>
            <w:r>
              <w:t>245.05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232.71</w:t>
            </w:r>
          </w:p>
        </w:tc>
        <w:tc>
          <w:tcPr>
            <w:tcW w:w="4535" w:type="dxa"/>
            <w:vAlign w:val="center"/>
          </w:tcPr>
          <w:p>
            <w:pPr>
              <w:pStyle w:val="14"/>
            </w:pPr>
            <w:r>
              <w:t>本年支出合计</w:t>
            </w:r>
          </w:p>
        </w:tc>
        <w:tc>
          <w:tcPr>
            <w:tcW w:w="2126" w:type="dxa"/>
            <w:vAlign w:val="center"/>
          </w:tcPr>
          <w:p>
            <w:pPr>
              <w:pStyle w:val="15"/>
            </w:pPr>
            <w:r>
              <w:t>245.05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12.34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245.05</w:t>
            </w:r>
          </w:p>
        </w:tc>
        <w:tc>
          <w:tcPr>
            <w:tcW w:w="4535" w:type="dxa"/>
            <w:vAlign w:val="center"/>
          </w:tcPr>
          <w:p>
            <w:pPr>
              <w:pStyle w:val="14"/>
            </w:pPr>
            <w:r>
              <w:t>支出总计</w:t>
            </w:r>
          </w:p>
        </w:tc>
        <w:tc>
          <w:tcPr>
            <w:tcW w:w="2126" w:type="dxa"/>
            <w:vAlign w:val="center"/>
          </w:tcPr>
          <w:p>
            <w:pPr>
              <w:pStyle w:val="15"/>
            </w:pPr>
            <w:r>
              <w:t>245.05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245.05</w:t>
            </w:r>
          </w:p>
        </w:tc>
        <w:tc>
          <w:tcPr>
            <w:tcW w:w="1134" w:type="dxa"/>
            <w:vAlign w:val="center"/>
          </w:tcPr>
          <w:p>
            <w:pPr>
              <w:pStyle w:val="15"/>
            </w:pPr>
            <w:r>
              <w:t>232.71</w:t>
            </w:r>
          </w:p>
        </w:tc>
        <w:tc>
          <w:tcPr>
            <w:tcW w:w="1134" w:type="dxa"/>
            <w:vAlign w:val="center"/>
          </w:tcPr>
          <w:p>
            <w:pPr>
              <w:pStyle w:val="15"/>
            </w:pPr>
            <w:r>
              <w:t>232.71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245.05</w:t>
            </w:r>
          </w:p>
        </w:tc>
        <w:tc>
          <w:tcPr>
            <w:tcW w:w="1134" w:type="dxa"/>
            <w:vAlign w:val="center"/>
          </w:tcPr>
          <w:p>
            <w:pPr>
              <w:pStyle w:val="11"/>
            </w:pPr>
            <w:r>
              <w:t>232.71</w:t>
            </w:r>
          </w:p>
        </w:tc>
        <w:tc>
          <w:tcPr>
            <w:tcW w:w="1134" w:type="dxa"/>
            <w:vAlign w:val="center"/>
          </w:tcPr>
          <w:p>
            <w:pPr>
              <w:pStyle w:val="11"/>
            </w:pPr>
            <w:r>
              <w:t>232.71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245.05</w:t>
            </w:r>
          </w:p>
        </w:tc>
        <w:tc>
          <w:tcPr>
            <w:tcW w:w="1134" w:type="dxa"/>
            <w:vAlign w:val="center"/>
          </w:tcPr>
          <w:p>
            <w:pPr>
              <w:pStyle w:val="11"/>
            </w:pPr>
            <w:r>
              <w:t>232.71</w:t>
            </w:r>
          </w:p>
        </w:tc>
        <w:tc>
          <w:tcPr>
            <w:tcW w:w="1134" w:type="dxa"/>
            <w:vAlign w:val="center"/>
          </w:tcPr>
          <w:p>
            <w:pPr>
              <w:pStyle w:val="11"/>
            </w:pPr>
            <w:r>
              <w:t>232.71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216.42</w:t>
            </w:r>
          </w:p>
        </w:tc>
        <w:tc>
          <w:tcPr>
            <w:tcW w:w="1134" w:type="dxa"/>
            <w:vAlign w:val="center"/>
          </w:tcPr>
          <w:p>
            <w:pPr>
              <w:pStyle w:val="11"/>
            </w:pPr>
            <w:r>
              <w:t>216.42</w:t>
            </w:r>
          </w:p>
        </w:tc>
        <w:tc>
          <w:tcPr>
            <w:tcW w:w="1134" w:type="dxa"/>
            <w:vAlign w:val="center"/>
          </w:tcPr>
          <w:p>
            <w:pPr>
              <w:pStyle w:val="11"/>
            </w:pPr>
            <w:r>
              <w:t>216.42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21.34</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1"/>
            </w:pPr>
            <w:r>
              <w:t>0.24</w:t>
            </w:r>
          </w:p>
        </w:tc>
        <w:tc>
          <w:tcPr>
            <w:tcW w:w="1134" w:type="dxa"/>
            <w:vAlign w:val="center"/>
          </w:tcPr>
          <w:p>
            <w:pPr>
              <w:pStyle w:val="11"/>
            </w:pPr>
            <w:r>
              <w:t>0.24</w:t>
            </w:r>
          </w:p>
        </w:tc>
        <w:tc>
          <w:tcPr>
            <w:tcW w:w="1134" w:type="dxa"/>
            <w:vAlign w:val="center"/>
          </w:tcPr>
          <w:p>
            <w:pPr>
              <w:pStyle w:val="11"/>
            </w:pPr>
            <w:r>
              <w:t>0.24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245.05</w:t>
            </w:r>
          </w:p>
        </w:tc>
        <w:tc>
          <w:tcPr>
            <w:tcW w:w="1361" w:type="dxa"/>
            <w:vAlign w:val="center"/>
          </w:tcPr>
          <w:p>
            <w:pPr>
              <w:pStyle w:val="15"/>
            </w:pPr>
            <w:r>
              <w:t>216.42</w:t>
            </w:r>
          </w:p>
        </w:tc>
        <w:tc>
          <w:tcPr>
            <w:tcW w:w="1361" w:type="dxa"/>
            <w:vAlign w:val="center"/>
          </w:tcPr>
          <w:p>
            <w:pPr>
              <w:pStyle w:val="15"/>
            </w:pPr>
            <w:r>
              <w:t>28.63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245.05</w:t>
            </w:r>
          </w:p>
        </w:tc>
        <w:tc>
          <w:tcPr>
            <w:tcW w:w="1361" w:type="dxa"/>
            <w:vAlign w:val="center"/>
          </w:tcPr>
          <w:p>
            <w:pPr>
              <w:pStyle w:val="11"/>
            </w:pPr>
            <w:r>
              <w:t>216.42</w:t>
            </w:r>
          </w:p>
        </w:tc>
        <w:tc>
          <w:tcPr>
            <w:tcW w:w="1361" w:type="dxa"/>
            <w:vAlign w:val="center"/>
          </w:tcPr>
          <w:p>
            <w:pPr>
              <w:pStyle w:val="11"/>
            </w:pPr>
            <w:r>
              <w:t>28.63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245.05</w:t>
            </w:r>
          </w:p>
        </w:tc>
        <w:tc>
          <w:tcPr>
            <w:tcW w:w="1361" w:type="dxa"/>
            <w:vAlign w:val="center"/>
          </w:tcPr>
          <w:p>
            <w:pPr>
              <w:pStyle w:val="11"/>
            </w:pPr>
            <w:r>
              <w:t>216.42</w:t>
            </w:r>
          </w:p>
        </w:tc>
        <w:tc>
          <w:tcPr>
            <w:tcW w:w="1361" w:type="dxa"/>
            <w:vAlign w:val="center"/>
          </w:tcPr>
          <w:p>
            <w:pPr>
              <w:pStyle w:val="11"/>
            </w:pPr>
            <w:r>
              <w:t>28.63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216.42</w:t>
            </w:r>
          </w:p>
        </w:tc>
        <w:tc>
          <w:tcPr>
            <w:tcW w:w="1361" w:type="dxa"/>
            <w:vAlign w:val="center"/>
          </w:tcPr>
          <w:p>
            <w:pPr>
              <w:pStyle w:val="11"/>
            </w:pPr>
            <w:r>
              <w:t>216.42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7.05</w:t>
            </w:r>
          </w:p>
        </w:tc>
        <w:tc>
          <w:tcPr>
            <w:tcW w:w="1361" w:type="dxa"/>
            <w:vAlign w:val="center"/>
          </w:tcPr>
          <w:p>
            <w:pPr>
              <w:pStyle w:val="11"/>
            </w:pPr>
          </w:p>
        </w:tc>
        <w:tc>
          <w:tcPr>
            <w:tcW w:w="1361" w:type="dxa"/>
            <w:vAlign w:val="center"/>
          </w:tcPr>
          <w:p>
            <w:pPr>
              <w:pStyle w:val="11"/>
            </w:pPr>
            <w:r>
              <w:t>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21.34</w:t>
            </w:r>
          </w:p>
        </w:tc>
        <w:tc>
          <w:tcPr>
            <w:tcW w:w="1361" w:type="dxa"/>
            <w:vAlign w:val="center"/>
          </w:tcPr>
          <w:p>
            <w:pPr>
              <w:pStyle w:val="11"/>
            </w:pPr>
          </w:p>
        </w:tc>
        <w:tc>
          <w:tcPr>
            <w:tcW w:w="1361" w:type="dxa"/>
            <w:vAlign w:val="center"/>
          </w:tcPr>
          <w:p>
            <w:pPr>
              <w:pStyle w:val="11"/>
            </w:pPr>
            <w:r>
              <w:t>21.34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1"/>
            </w:pPr>
            <w:r>
              <w:t>0.24</w:t>
            </w:r>
          </w:p>
        </w:tc>
        <w:tc>
          <w:tcPr>
            <w:tcW w:w="1361" w:type="dxa"/>
            <w:vAlign w:val="center"/>
          </w:tcPr>
          <w:p>
            <w:pPr>
              <w:pStyle w:val="11"/>
            </w:pPr>
          </w:p>
        </w:tc>
        <w:tc>
          <w:tcPr>
            <w:tcW w:w="1361" w:type="dxa"/>
            <w:vAlign w:val="center"/>
          </w:tcPr>
          <w:p>
            <w:pPr>
              <w:pStyle w:val="11"/>
            </w:pPr>
            <w:r>
              <w:t>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232.71</w:t>
            </w:r>
          </w:p>
        </w:tc>
        <w:tc>
          <w:tcPr>
            <w:tcW w:w="3402" w:type="dxa"/>
            <w:vAlign w:val="center"/>
          </w:tcPr>
          <w:p>
            <w:pPr>
              <w:pStyle w:val="12"/>
            </w:pPr>
            <w:r>
              <w:t>一、一般公共服务支出</w:t>
            </w:r>
          </w:p>
        </w:tc>
        <w:tc>
          <w:tcPr>
            <w:tcW w:w="1474" w:type="dxa"/>
            <w:vAlign w:val="center"/>
          </w:tcPr>
          <w:p>
            <w:pPr>
              <w:pStyle w:val="11"/>
            </w:pPr>
            <w:r>
              <w:t>245.05</w:t>
            </w:r>
          </w:p>
        </w:tc>
        <w:tc>
          <w:tcPr>
            <w:tcW w:w="1474" w:type="dxa"/>
            <w:vAlign w:val="center"/>
          </w:tcPr>
          <w:p>
            <w:pPr>
              <w:pStyle w:val="11"/>
            </w:pPr>
            <w:r>
              <w:t>245.05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232.71</w:t>
            </w:r>
          </w:p>
        </w:tc>
        <w:tc>
          <w:tcPr>
            <w:tcW w:w="3402" w:type="dxa"/>
            <w:vAlign w:val="center"/>
          </w:tcPr>
          <w:p>
            <w:pPr>
              <w:pStyle w:val="14"/>
            </w:pPr>
            <w:r>
              <w:t>本年支出合计</w:t>
            </w:r>
          </w:p>
        </w:tc>
        <w:tc>
          <w:tcPr>
            <w:tcW w:w="1474" w:type="dxa"/>
            <w:vAlign w:val="center"/>
          </w:tcPr>
          <w:p>
            <w:pPr>
              <w:pStyle w:val="15"/>
            </w:pPr>
            <w:r>
              <w:t>245.05</w:t>
            </w:r>
          </w:p>
        </w:tc>
        <w:tc>
          <w:tcPr>
            <w:tcW w:w="1474" w:type="dxa"/>
            <w:vAlign w:val="center"/>
          </w:tcPr>
          <w:p>
            <w:pPr>
              <w:pStyle w:val="15"/>
            </w:pPr>
            <w:r>
              <w:t>245.05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12.34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12.34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245.05</w:t>
            </w:r>
          </w:p>
        </w:tc>
        <w:tc>
          <w:tcPr>
            <w:tcW w:w="3402" w:type="dxa"/>
            <w:vAlign w:val="center"/>
          </w:tcPr>
          <w:p>
            <w:pPr>
              <w:pStyle w:val="14"/>
            </w:pPr>
            <w:r>
              <w:t>支出总计</w:t>
            </w:r>
          </w:p>
        </w:tc>
        <w:tc>
          <w:tcPr>
            <w:tcW w:w="1474" w:type="dxa"/>
            <w:vAlign w:val="center"/>
          </w:tcPr>
          <w:p>
            <w:pPr>
              <w:pStyle w:val="15"/>
            </w:pPr>
            <w:r>
              <w:t>245.05</w:t>
            </w:r>
          </w:p>
        </w:tc>
        <w:tc>
          <w:tcPr>
            <w:tcW w:w="1474" w:type="dxa"/>
            <w:vAlign w:val="center"/>
          </w:tcPr>
          <w:p>
            <w:pPr>
              <w:pStyle w:val="15"/>
            </w:pPr>
            <w:r>
              <w:t>245.05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245.05</w:t>
            </w:r>
          </w:p>
        </w:tc>
        <w:tc>
          <w:tcPr>
            <w:tcW w:w="2551" w:type="dxa"/>
            <w:vAlign w:val="center"/>
          </w:tcPr>
          <w:p>
            <w:pPr>
              <w:pStyle w:val="15"/>
            </w:pPr>
            <w:r>
              <w:t>216.42</w:t>
            </w:r>
          </w:p>
        </w:tc>
        <w:tc>
          <w:tcPr>
            <w:tcW w:w="2551" w:type="dxa"/>
            <w:vAlign w:val="center"/>
          </w:tcPr>
          <w:p>
            <w:pPr>
              <w:pStyle w:val="15"/>
            </w:pPr>
            <w:r>
              <w:t>28.63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245.05</w:t>
            </w:r>
          </w:p>
        </w:tc>
        <w:tc>
          <w:tcPr>
            <w:tcW w:w="2551" w:type="dxa"/>
            <w:vAlign w:val="center"/>
          </w:tcPr>
          <w:p>
            <w:pPr>
              <w:pStyle w:val="11"/>
            </w:pPr>
            <w:r>
              <w:t>216.42</w:t>
            </w:r>
          </w:p>
        </w:tc>
        <w:tc>
          <w:tcPr>
            <w:tcW w:w="2551" w:type="dxa"/>
            <w:vAlign w:val="center"/>
          </w:tcPr>
          <w:p>
            <w:pPr>
              <w:pStyle w:val="11"/>
            </w:pPr>
            <w:r>
              <w:t>28.63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245.05</w:t>
            </w:r>
          </w:p>
        </w:tc>
        <w:tc>
          <w:tcPr>
            <w:tcW w:w="2551" w:type="dxa"/>
            <w:vAlign w:val="center"/>
          </w:tcPr>
          <w:p>
            <w:pPr>
              <w:pStyle w:val="11"/>
            </w:pPr>
            <w:r>
              <w:t>216.42</w:t>
            </w:r>
          </w:p>
        </w:tc>
        <w:tc>
          <w:tcPr>
            <w:tcW w:w="2551" w:type="dxa"/>
            <w:vAlign w:val="center"/>
          </w:tcPr>
          <w:p>
            <w:pPr>
              <w:pStyle w:val="11"/>
            </w:pPr>
            <w:r>
              <w:t>28.63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216.42</w:t>
            </w:r>
          </w:p>
        </w:tc>
        <w:tc>
          <w:tcPr>
            <w:tcW w:w="2551" w:type="dxa"/>
            <w:vAlign w:val="center"/>
          </w:tcPr>
          <w:p>
            <w:pPr>
              <w:pStyle w:val="11"/>
            </w:pPr>
            <w:r>
              <w:t>216.42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7.05</w:t>
            </w:r>
          </w:p>
        </w:tc>
        <w:tc>
          <w:tcPr>
            <w:tcW w:w="2551" w:type="dxa"/>
            <w:vAlign w:val="center"/>
          </w:tcPr>
          <w:p>
            <w:pPr>
              <w:pStyle w:val="11"/>
            </w:pPr>
          </w:p>
        </w:tc>
        <w:tc>
          <w:tcPr>
            <w:tcW w:w="2551" w:type="dxa"/>
            <w:vAlign w:val="center"/>
          </w:tcPr>
          <w:p>
            <w:pPr>
              <w:pStyle w:val="11"/>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21.34</w:t>
            </w:r>
          </w:p>
        </w:tc>
        <w:tc>
          <w:tcPr>
            <w:tcW w:w="2551" w:type="dxa"/>
            <w:vAlign w:val="center"/>
          </w:tcPr>
          <w:p>
            <w:pPr>
              <w:pStyle w:val="11"/>
            </w:pPr>
          </w:p>
        </w:tc>
        <w:tc>
          <w:tcPr>
            <w:tcW w:w="2551" w:type="dxa"/>
            <w:vAlign w:val="center"/>
          </w:tcPr>
          <w:p>
            <w:pPr>
              <w:pStyle w:val="11"/>
            </w:pPr>
            <w:r>
              <w:t>21.34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216.42</w:t>
            </w:r>
          </w:p>
        </w:tc>
        <w:tc>
          <w:tcPr>
            <w:tcW w:w="2551" w:type="dxa"/>
            <w:vAlign w:val="center"/>
          </w:tcPr>
          <w:p>
            <w:pPr>
              <w:pStyle w:val="15"/>
            </w:pPr>
            <w:r>
              <w:t>203.14</w:t>
            </w:r>
          </w:p>
        </w:tc>
        <w:tc>
          <w:tcPr>
            <w:tcW w:w="2551" w:type="dxa"/>
            <w:vAlign w:val="center"/>
          </w:tcPr>
          <w:p>
            <w:pPr>
              <w:pStyle w:val="15"/>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158.30</w:t>
            </w:r>
          </w:p>
        </w:tc>
        <w:tc>
          <w:tcPr>
            <w:tcW w:w="2551" w:type="dxa"/>
            <w:vAlign w:val="center"/>
          </w:tcPr>
          <w:p>
            <w:pPr>
              <w:pStyle w:val="11"/>
            </w:pPr>
            <w:r>
              <w:t>158.30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38.68</w:t>
            </w:r>
          </w:p>
        </w:tc>
        <w:tc>
          <w:tcPr>
            <w:tcW w:w="2551" w:type="dxa"/>
            <w:vAlign w:val="center"/>
          </w:tcPr>
          <w:p>
            <w:pPr>
              <w:pStyle w:val="11"/>
            </w:pPr>
            <w:r>
              <w:t>38.68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36.60</w:t>
            </w:r>
          </w:p>
        </w:tc>
        <w:tc>
          <w:tcPr>
            <w:tcW w:w="2551" w:type="dxa"/>
            <w:vAlign w:val="center"/>
          </w:tcPr>
          <w:p>
            <w:pPr>
              <w:pStyle w:val="11"/>
            </w:pPr>
            <w:r>
              <w:t>36.60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17.97</w:t>
            </w:r>
          </w:p>
        </w:tc>
        <w:tc>
          <w:tcPr>
            <w:tcW w:w="2551" w:type="dxa"/>
            <w:vAlign w:val="center"/>
          </w:tcPr>
          <w:p>
            <w:pPr>
              <w:pStyle w:val="11"/>
            </w:pPr>
            <w:r>
              <w:t>17.97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15.96</w:t>
            </w:r>
          </w:p>
        </w:tc>
        <w:tc>
          <w:tcPr>
            <w:tcW w:w="2551" w:type="dxa"/>
            <w:vAlign w:val="center"/>
          </w:tcPr>
          <w:p>
            <w:pPr>
              <w:pStyle w:val="11"/>
            </w:pPr>
            <w:r>
              <w:t>15.96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17.88</w:t>
            </w:r>
          </w:p>
        </w:tc>
        <w:tc>
          <w:tcPr>
            <w:tcW w:w="2551" w:type="dxa"/>
            <w:vAlign w:val="center"/>
          </w:tcPr>
          <w:p>
            <w:pPr>
              <w:pStyle w:val="11"/>
            </w:pPr>
            <w:r>
              <w:t>17.88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6.25</w:t>
            </w:r>
          </w:p>
        </w:tc>
        <w:tc>
          <w:tcPr>
            <w:tcW w:w="2551" w:type="dxa"/>
            <w:vAlign w:val="center"/>
          </w:tcPr>
          <w:p>
            <w:pPr>
              <w:pStyle w:val="11"/>
            </w:pPr>
            <w:r>
              <w:t>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6.47</w:t>
            </w:r>
          </w:p>
        </w:tc>
        <w:tc>
          <w:tcPr>
            <w:tcW w:w="2551" w:type="dxa"/>
            <w:vAlign w:val="center"/>
          </w:tcPr>
          <w:p>
            <w:pPr>
              <w:pStyle w:val="11"/>
            </w:pPr>
            <w:r>
              <w:t>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13.66</w:t>
            </w:r>
          </w:p>
        </w:tc>
        <w:tc>
          <w:tcPr>
            <w:tcW w:w="2551" w:type="dxa"/>
            <w:vAlign w:val="center"/>
          </w:tcPr>
          <w:p>
            <w:pPr>
              <w:pStyle w:val="11"/>
            </w:pPr>
            <w:r>
              <w:t>13.66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13.28</w:t>
            </w:r>
          </w:p>
        </w:tc>
        <w:tc>
          <w:tcPr>
            <w:tcW w:w="2551" w:type="dxa"/>
            <w:vAlign w:val="center"/>
          </w:tcPr>
          <w:p>
            <w:pPr>
              <w:pStyle w:val="11"/>
            </w:pPr>
          </w:p>
        </w:tc>
        <w:tc>
          <w:tcPr>
            <w:tcW w:w="2551" w:type="dxa"/>
            <w:vAlign w:val="center"/>
          </w:tcPr>
          <w:p>
            <w:pPr>
              <w:pStyle w:val="11"/>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3.44</w:t>
            </w:r>
          </w:p>
        </w:tc>
        <w:tc>
          <w:tcPr>
            <w:tcW w:w="2551" w:type="dxa"/>
            <w:vAlign w:val="center"/>
          </w:tcPr>
          <w:p>
            <w:pPr>
              <w:pStyle w:val="11"/>
            </w:pPr>
          </w:p>
        </w:tc>
        <w:tc>
          <w:tcPr>
            <w:tcW w:w="2551"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4.26</w:t>
            </w:r>
          </w:p>
        </w:tc>
        <w:tc>
          <w:tcPr>
            <w:tcW w:w="2551" w:type="dxa"/>
            <w:vAlign w:val="center"/>
          </w:tcPr>
          <w:p>
            <w:pPr>
              <w:pStyle w:val="11"/>
            </w:pPr>
          </w:p>
        </w:tc>
        <w:tc>
          <w:tcPr>
            <w:tcW w:w="2551" w:type="dxa"/>
            <w:vAlign w:val="center"/>
          </w:tcPr>
          <w:p>
            <w:pPr>
              <w:pStyle w:val="11"/>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0.83</w:t>
            </w:r>
          </w:p>
        </w:tc>
        <w:tc>
          <w:tcPr>
            <w:tcW w:w="2551" w:type="dxa"/>
            <w:vAlign w:val="center"/>
          </w:tcPr>
          <w:p>
            <w:pPr>
              <w:pStyle w:val="11"/>
            </w:pPr>
          </w:p>
        </w:tc>
        <w:tc>
          <w:tcPr>
            <w:tcW w:w="2551" w:type="dxa"/>
            <w:vAlign w:val="center"/>
          </w:tcPr>
          <w:p>
            <w:pPr>
              <w:pStyle w:val="11"/>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44.84</w:t>
            </w:r>
          </w:p>
        </w:tc>
        <w:tc>
          <w:tcPr>
            <w:tcW w:w="2551" w:type="dxa"/>
            <w:vAlign w:val="center"/>
          </w:tcPr>
          <w:p>
            <w:pPr>
              <w:pStyle w:val="11"/>
            </w:pPr>
            <w:r>
              <w:t>44.84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44.84</w:t>
            </w:r>
          </w:p>
        </w:tc>
        <w:tc>
          <w:tcPr>
            <w:tcW w:w="2551" w:type="dxa"/>
            <w:vAlign w:val="center"/>
          </w:tcPr>
          <w:p>
            <w:pPr>
              <w:pStyle w:val="11"/>
            </w:pPr>
            <w:r>
              <w:t>44.84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中国共产党石家庄市藁城区委员会统战部本级2024年单位预算信息公开情况说明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按照《中华人民共和国预算法》、《地方预决算公开操作规程》和《关于进一步推进预算公开工作的实施意见》规定，现将中国共产党石家庄市藁城区委员会统战部本级2024年单位预算公开如下：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pStyle w:val="22"/>
      </w:pPr>
      <w: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pStyle w:val="22"/>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22"/>
      </w:pPr>
      <w:r>
        <w:t>（四）贯彻落实党的宣传工作方针，统筹推进全区统一战线宣传工作，拟订全区统一战线宣传工作规划并组织实施，研判涉及统一战线的舆情并协调有关部门应对处置。</w:t>
      </w:r>
    </w:p>
    <w:p>
      <w:pPr>
        <w:pStyle w:val="22"/>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22"/>
      </w:pPr>
      <w: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pStyle w:val="22"/>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pStyle w:val="22"/>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22"/>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22"/>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22"/>
      </w:pPr>
      <w: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pStyle w:val="22"/>
      </w:pPr>
      <w:r>
        <w:t>（十二)负责统战系统干部的培训工作；协助做好民族宗教部门领导班子成员推荐工作；受区委委托，领导区工商联党组，指导区工商联工作。做好统一战线有关单位和团体的管理工作。</w:t>
      </w:r>
    </w:p>
    <w:p>
      <w:pPr>
        <w:pStyle w:val="22"/>
      </w:pPr>
      <w:r>
        <w:t>（十三)完成区委交办的其他任务。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中国共产党石家庄市藁城区委员会统战部本级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反映本单位当年全年收入。2024年预算收入245.05万元，其中：一般公共预算收入232.71万元，上年结转结余12.34万元，基金预算收入0万元，财政专户核拨收入0万元，其他来源收入0万元。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245.05万元，其中基本支出216.42万元，包括人员经费203.14万元和日常公用经费13.28万元；项目支出28.63万元。主要为年初预算提前下达专款9万元，预算执行上级转移支付项目4.34万元；关于下达2023年省市宗教事务管理补助经费8万元，归国华侨退休职工补贴经费0.24万元，民营经济统战工作经费1.5万元，民主党派工作经费1.05万元，民族宗教领域社会稳定专项经费3万元，新的社会阶层人士统战工作经费1.5万元</w:t>
      </w:r>
    </w:p>
    <w:p>
      <w:pPr>
        <w:pStyle w:val="18"/>
      </w:pPr>
      <w:r>
        <w:t>3、比上年增减情况</w:t>
      </w:r>
    </w:p>
    <w:p>
      <w:pPr>
        <w:pStyle w:val="18"/>
      </w:pPr>
      <w:r>
        <w:t>2024年预算单位收支安排245.05万元，较2023年减少44.07万元，其中：基本支出减少41.96万元，主要是人员减少，相应减少人员经费和日常公用经费。项目支出减少2.1万元，主要是年初预算本级项目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eastAsia="zh-CN"/>
        </w:rPr>
        <w:t>单位</w:t>
      </w:r>
      <w:r>
        <w:t>机关运行经费共计安排13.28万元，主要用于保证机关正常运转的办公及邮电费、离退休干部经费、公务交通补贴、工会费、福利费、党组织活动经费等支出。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1、2023年省级基层宗教事务管理补助经费绩效目标表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13010923P000038100293</w:t>
            </w:r>
          </w:p>
        </w:tc>
        <w:tc>
          <w:tcPr>
            <w:tcW w:w="2835" w:type="dxa"/>
            <w:vAlign w:val="center"/>
          </w:tcPr>
          <w:p>
            <w:pPr>
              <w:pStyle w:val="10"/>
            </w:pPr>
            <w:r>
              <w:t>项目名称</w:t>
            </w:r>
          </w:p>
        </w:tc>
        <w:tc>
          <w:tcPr>
            <w:tcW w:w="6094" w:type="dxa"/>
            <w:gridSpan w:val="3"/>
            <w:vAlign w:val="center"/>
          </w:tcPr>
          <w:p>
            <w:pPr>
              <w:pStyle w:val="12"/>
            </w:pPr>
            <w:r>
              <w:t>2023年省级基层宗教事务管理补助经费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w:t>
            </w:r>
          </w:p>
        </w:tc>
        <w:tc>
          <w:tcPr>
            <w:tcW w:w="2835" w:type="dxa"/>
            <w:vAlign w:val="center"/>
          </w:tcPr>
          <w:p>
            <w:pPr>
              <w:pStyle w:val="10"/>
            </w:pPr>
            <w:r>
              <w:t>其中：财政    资金</w:t>
            </w:r>
          </w:p>
        </w:tc>
        <w:tc>
          <w:tcPr>
            <w:tcW w:w="2551" w:type="dxa"/>
            <w:vAlign w:val="center"/>
          </w:tcPr>
          <w:p>
            <w:pPr>
              <w:pStyle w:val="12"/>
            </w:pPr>
            <w:r>
              <w:t>4.34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1.加强宗教工作队伍建设。2加强对宗教领域问题排查整治，维护宗教领域和谐稳定。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1.贯彻落实宗教工作的方针政策，维护宗教领域和谐稳定，团结宗教界代表人士。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补助经费金额</w:t>
            </w:r>
          </w:p>
        </w:tc>
        <w:tc>
          <w:tcPr>
            <w:tcW w:w="5386" w:type="dxa"/>
            <w:vAlign w:val="center"/>
          </w:tcPr>
          <w:p>
            <w:pPr>
              <w:pStyle w:val="12"/>
            </w:pPr>
            <w:r>
              <w:t>拨付补助金额</w:t>
            </w:r>
          </w:p>
        </w:tc>
        <w:tc>
          <w:tcPr>
            <w:tcW w:w="2268" w:type="dxa"/>
            <w:vAlign w:val="center"/>
          </w:tcPr>
          <w:p>
            <w:pPr>
              <w:pStyle w:val="12"/>
            </w:pPr>
            <w:r>
              <w:t>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加强宗教工作干部队伍建设</w:t>
            </w:r>
          </w:p>
        </w:tc>
        <w:tc>
          <w:tcPr>
            <w:tcW w:w="5386" w:type="dxa"/>
            <w:vAlign w:val="center"/>
          </w:tcPr>
          <w:p>
            <w:pPr>
              <w:pStyle w:val="12"/>
            </w:pPr>
            <w:r>
              <w:t>提升宗教事务管理能力</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按照进度完成支出计划</w:t>
            </w:r>
          </w:p>
        </w:tc>
        <w:tc>
          <w:tcPr>
            <w:tcW w:w="5386" w:type="dxa"/>
            <w:vAlign w:val="center"/>
          </w:tcPr>
          <w:p>
            <w:pPr>
              <w:pStyle w:val="12"/>
            </w:pPr>
            <w:r>
              <w:t>根据工作进度按时支出</w:t>
            </w:r>
          </w:p>
        </w:tc>
        <w:tc>
          <w:tcPr>
            <w:tcW w:w="2268" w:type="dxa"/>
            <w:vAlign w:val="center"/>
          </w:tcPr>
          <w:p>
            <w:pPr>
              <w:pStyle w:val="12"/>
            </w:pPr>
            <w:r>
              <w:t>≤12月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严格控制预算成本</w:t>
            </w:r>
          </w:p>
        </w:tc>
        <w:tc>
          <w:tcPr>
            <w:tcW w:w="2268" w:type="dxa"/>
            <w:vAlign w:val="center"/>
          </w:tcPr>
          <w:p>
            <w:pPr>
              <w:pStyle w:val="12"/>
            </w:pPr>
            <w:r>
              <w:t>≤5万元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治理宗教领域问题</w:t>
            </w:r>
          </w:p>
        </w:tc>
        <w:tc>
          <w:tcPr>
            <w:tcW w:w="5386" w:type="dxa"/>
            <w:vAlign w:val="center"/>
          </w:tcPr>
          <w:p>
            <w:pPr>
              <w:pStyle w:val="12"/>
            </w:pPr>
            <w:r>
              <w:t>维护宗教领域和谐稳定</w:t>
            </w:r>
          </w:p>
        </w:tc>
        <w:tc>
          <w:tcPr>
            <w:tcW w:w="2268" w:type="dxa"/>
            <w:vAlign w:val="center"/>
          </w:tcPr>
          <w:p>
            <w:pPr>
              <w:pStyle w:val="12"/>
            </w:pPr>
            <w:r>
              <w:t>确保宗教领域和谐稳定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宗教界人士满意度调查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2、关于下达2023年省市宗教事务管理补助经费的通知绩效目标表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13010923P00000211099H</w:t>
            </w:r>
          </w:p>
        </w:tc>
        <w:tc>
          <w:tcPr>
            <w:tcW w:w="2835" w:type="dxa"/>
            <w:vAlign w:val="center"/>
          </w:tcPr>
          <w:p>
            <w:pPr>
              <w:pStyle w:val="10"/>
            </w:pPr>
            <w:r>
              <w:t>项目名称</w:t>
            </w:r>
          </w:p>
        </w:tc>
        <w:tc>
          <w:tcPr>
            <w:tcW w:w="6094" w:type="dxa"/>
            <w:gridSpan w:val="3"/>
            <w:vAlign w:val="center"/>
          </w:tcPr>
          <w:p>
            <w:pPr>
              <w:pStyle w:val="12"/>
            </w:pPr>
            <w:r>
              <w:t>关于下达2023年省市宗教事务管理补助经费的通知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用于宗教领域统战工作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1.调查研究、协调检查落实有关宗教工作的重大方针、政策问题，教育团结宗教界代表人物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进行政策宣传、走访慰问次数</w:t>
            </w:r>
          </w:p>
        </w:tc>
        <w:tc>
          <w:tcPr>
            <w:tcW w:w="5386" w:type="dxa"/>
            <w:vAlign w:val="center"/>
          </w:tcPr>
          <w:p>
            <w:pPr>
              <w:pStyle w:val="12"/>
            </w:pPr>
            <w:r>
              <w:t>进行政策宣传培训、走访慰问次数</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工作专干能力提高率</w:t>
            </w:r>
          </w:p>
        </w:tc>
        <w:tc>
          <w:tcPr>
            <w:tcW w:w="5386" w:type="dxa"/>
            <w:vAlign w:val="center"/>
          </w:tcPr>
          <w:p>
            <w:pPr>
              <w:pStyle w:val="12"/>
            </w:pPr>
            <w:r>
              <w:t>民族宗教工作专干能力提高率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民族宗教领域和谐稳定</w:t>
            </w:r>
          </w:p>
        </w:tc>
        <w:tc>
          <w:tcPr>
            <w:tcW w:w="5386" w:type="dxa"/>
            <w:vAlign w:val="center"/>
          </w:tcPr>
          <w:p>
            <w:pPr>
              <w:pStyle w:val="12"/>
            </w:pPr>
            <w:r>
              <w:t>民族宗教领域和谐稳定</w:t>
            </w:r>
          </w:p>
        </w:tc>
        <w:tc>
          <w:tcPr>
            <w:tcW w:w="2268" w:type="dxa"/>
            <w:vAlign w:val="center"/>
          </w:tcPr>
          <w:p>
            <w:pPr>
              <w:pStyle w:val="12"/>
            </w:pPr>
            <w:r>
              <w:t>确保民族宗教领域社会稳定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民族宗教界人士满意度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3、关于下达2023年省市宗教事务管理补助经费的通知绩效目标表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13010923P00000211100F</w:t>
            </w:r>
          </w:p>
        </w:tc>
        <w:tc>
          <w:tcPr>
            <w:tcW w:w="2835" w:type="dxa"/>
            <w:vAlign w:val="center"/>
          </w:tcPr>
          <w:p>
            <w:pPr>
              <w:pStyle w:val="10"/>
            </w:pPr>
            <w:r>
              <w:t>项目名称</w:t>
            </w:r>
          </w:p>
        </w:tc>
        <w:tc>
          <w:tcPr>
            <w:tcW w:w="6094" w:type="dxa"/>
            <w:gridSpan w:val="3"/>
            <w:vAlign w:val="center"/>
          </w:tcPr>
          <w:p>
            <w:pPr>
              <w:pStyle w:val="12"/>
            </w:pPr>
            <w:r>
              <w:t>关于下达2023年省市宗教事务管理补助经费的通知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用于宗教领域统战工作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1.调查研究、协调检查落实有关宗教工作的重大方针、政策问题，教育团结宗教界代表人物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进行政策宣传、走访慰问次数</w:t>
            </w:r>
          </w:p>
        </w:tc>
        <w:tc>
          <w:tcPr>
            <w:tcW w:w="5386" w:type="dxa"/>
            <w:vAlign w:val="center"/>
          </w:tcPr>
          <w:p>
            <w:pPr>
              <w:pStyle w:val="12"/>
            </w:pPr>
            <w:r>
              <w:t>进行政策宣传培训、走访慰问次数</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工作专干能力提高率</w:t>
            </w:r>
          </w:p>
        </w:tc>
        <w:tc>
          <w:tcPr>
            <w:tcW w:w="5386" w:type="dxa"/>
            <w:vAlign w:val="center"/>
          </w:tcPr>
          <w:p>
            <w:pPr>
              <w:pStyle w:val="12"/>
            </w:pPr>
            <w:r>
              <w:t>民族宗教工作专干能力提高率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民族宗教领域和谐稳定</w:t>
            </w:r>
          </w:p>
        </w:tc>
        <w:tc>
          <w:tcPr>
            <w:tcW w:w="5386" w:type="dxa"/>
            <w:vAlign w:val="center"/>
          </w:tcPr>
          <w:p>
            <w:pPr>
              <w:pStyle w:val="12"/>
            </w:pPr>
            <w:r>
              <w:t>民族宗教领域和谐稳定</w:t>
            </w:r>
          </w:p>
        </w:tc>
        <w:tc>
          <w:tcPr>
            <w:tcW w:w="2268" w:type="dxa"/>
            <w:vAlign w:val="center"/>
          </w:tcPr>
          <w:p>
            <w:pPr>
              <w:pStyle w:val="12"/>
            </w:pPr>
            <w:r>
              <w:t>确保民族宗教领域社会稳定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民族宗教界人士满意度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4、归国华侨退休职工生活补贴经费绩效目标表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13010924P00208610002E</w:t>
            </w:r>
          </w:p>
        </w:tc>
        <w:tc>
          <w:tcPr>
            <w:tcW w:w="2835" w:type="dxa"/>
            <w:vAlign w:val="center"/>
          </w:tcPr>
          <w:p>
            <w:pPr>
              <w:pStyle w:val="10"/>
            </w:pPr>
            <w:r>
              <w:t>项目名称</w:t>
            </w:r>
          </w:p>
        </w:tc>
        <w:tc>
          <w:tcPr>
            <w:tcW w:w="6094" w:type="dxa"/>
            <w:gridSpan w:val="3"/>
            <w:vAlign w:val="center"/>
          </w:tcPr>
          <w:p>
            <w:pPr>
              <w:pStyle w:val="12"/>
            </w:pPr>
            <w:r>
              <w:t>归国华侨退休职工生活补贴经费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0.24</w:t>
            </w:r>
          </w:p>
        </w:tc>
        <w:tc>
          <w:tcPr>
            <w:tcW w:w="2835" w:type="dxa"/>
            <w:vAlign w:val="center"/>
          </w:tcPr>
          <w:p>
            <w:pPr>
              <w:pStyle w:val="10"/>
            </w:pPr>
            <w:r>
              <w:t>其中：财政    资金</w:t>
            </w:r>
          </w:p>
        </w:tc>
        <w:tc>
          <w:tcPr>
            <w:tcW w:w="2551" w:type="dxa"/>
            <w:vAlign w:val="center"/>
          </w:tcPr>
          <w:p>
            <w:pPr>
              <w:pStyle w:val="12"/>
            </w:pPr>
            <w:r>
              <w:t>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归侨职工退休补贴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1.使广大归侨退休职工的生活得到了基本保障，得到广大归侨侨眷和海外侨胞的衷心拥护和赞扬，较好的凝聚侨心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归侨职工退休补贴人数</w:t>
            </w:r>
          </w:p>
        </w:tc>
        <w:tc>
          <w:tcPr>
            <w:tcW w:w="5386" w:type="dxa"/>
            <w:vAlign w:val="center"/>
          </w:tcPr>
          <w:p>
            <w:pPr>
              <w:pStyle w:val="12"/>
            </w:pPr>
            <w:r>
              <w:t>归侨职工退休补贴人数</w:t>
            </w:r>
          </w:p>
        </w:tc>
        <w:tc>
          <w:tcPr>
            <w:tcW w:w="2268" w:type="dxa"/>
            <w:vAlign w:val="center"/>
          </w:tcPr>
          <w:p>
            <w:pPr>
              <w:pStyle w:val="12"/>
            </w:pPr>
            <w:r>
              <w:t>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是否全部按标准发放</w:t>
            </w:r>
          </w:p>
        </w:tc>
        <w:tc>
          <w:tcPr>
            <w:tcW w:w="5386" w:type="dxa"/>
            <w:vAlign w:val="center"/>
          </w:tcPr>
          <w:p>
            <w:pPr>
              <w:pStyle w:val="12"/>
            </w:pPr>
            <w:r>
              <w:t>是否全部按标准发放</w:t>
            </w:r>
          </w:p>
        </w:tc>
        <w:tc>
          <w:tcPr>
            <w:tcW w:w="2268" w:type="dxa"/>
            <w:vAlign w:val="center"/>
          </w:tcPr>
          <w:p>
            <w:pPr>
              <w:pStyle w:val="12"/>
            </w:pPr>
            <w:r>
              <w:t>100%，到年底足额发放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2024-12-31前完成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补贴经费标准</w:t>
            </w:r>
          </w:p>
        </w:tc>
        <w:tc>
          <w:tcPr>
            <w:tcW w:w="2268" w:type="dxa"/>
            <w:vAlign w:val="center"/>
          </w:tcPr>
          <w:p>
            <w:pPr>
              <w:pStyle w:val="12"/>
            </w:pPr>
            <w:r>
              <w:t>每人每月100元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受补助人员生活水平提高程度</w:t>
            </w:r>
          </w:p>
        </w:tc>
        <w:tc>
          <w:tcPr>
            <w:tcW w:w="5386" w:type="dxa"/>
            <w:vAlign w:val="center"/>
          </w:tcPr>
          <w:p>
            <w:pPr>
              <w:pStyle w:val="12"/>
            </w:pPr>
            <w:r>
              <w:t>受补助人员生活水平提高程度</w:t>
            </w:r>
          </w:p>
        </w:tc>
        <w:tc>
          <w:tcPr>
            <w:tcW w:w="2268" w:type="dxa"/>
            <w:vAlign w:val="center"/>
          </w:tcPr>
          <w:p>
            <w:pPr>
              <w:pStyle w:val="12"/>
            </w:pPr>
            <w:r>
              <w:t>受补助人员生活水平提高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归侨职工满意度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5、民营经济统战工作经费绩效目标表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13010924P00000211317M</w:t>
            </w:r>
          </w:p>
        </w:tc>
        <w:tc>
          <w:tcPr>
            <w:tcW w:w="2835" w:type="dxa"/>
            <w:vAlign w:val="center"/>
          </w:tcPr>
          <w:p>
            <w:pPr>
              <w:pStyle w:val="10"/>
            </w:pPr>
            <w:r>
              <w:t>项目名称</w:t>
            </w:r>
          </w:p>
        </w:tc>
        <w:tc>
          <w:tcPr>
            <w:tcW w:w="6094" w:type="dxa"/>
            <w:gridSpan w:val="3"/>
            <w:vAlign w:val="center"/>
          </w:tcPr>
          <w:p>
            <w:pPr>
              <w:pStyle w:val="12"/>
            </w:pPr>
            <w:r>
              <w:t>民营经济统战工作经费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民营经济统战工作经费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1.通过调查研究，帮助解决实际困难，进一步优化营商环境，提升企业生产经营和管理水平，为全区经济社会高质量发展做出贡献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走访慰问民营企业、组织开展爱国主义教育活动</w:t>
            </w:r>
          </w:p>
        </w:tc>
        <w:tc>
          <w:tcPr>
            <w:tcW w:w="5386" w:type="dxa"/>
            <w:vAlign w:val="center"/>
          </w:tcPr>
          <w:p>
            <w:pPr>
              <w:pStyle w:val="12"/>
            </w:pPr>
            <w:r>
              <w:t>引导民营经济人士增强爱党爱国情怀</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民营经济统战工作完成率</w:t>
            </w:r>
          </w:p>
        </w:tc>
        <w:tc>
          <w:tcPr>
            <w:tcW w:w="5386" w:type="dxa"/>
            <w:vAlign w:val="center"/>
          </w:tcPr>
          <w:p>
            <w:pPr>
              <w:pStyle w:val="12"/>
            </w:pPr>
            <w:r>
              <w:t>民营经济统战工作完成率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提升民营企业家综合素质、促进民营企业发展</w:t>
            </w:r>
          </w:p>
        </w:tc>
        <w:tc>
          <w:tcPr>
            <w:tcW w:w="2268" w:type="dxa"/>
            <w:vAlign w:val="center"/>
          </w:tcPr>
          <w:p>
            <w:pPr>
              <w:pStyle w:val="12"/>
            </w:pPr>
            <w:r>
              <w:t>提升民营企业家综合素质、促进民营企业发展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民营经济人士满意度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6、民主党派工作经费绩效目标表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13010924P000002113189</w:t>
            </w:r>
          </w:p>
        </w:tc>
        <w:tc>
          <w:tcPr>
            <w:tcW w:w="2835" w:type="dxa"/>
            <w:vAlign w:val="center"/>
          </w:tcPr>
          <w:p>
            <w:pPr>
              <w:pStyle w:val="10"/>
            </w:pPr>
            <w:r>
              <w:t>项目名称</w:t>
            </w:r>
          </w:p>
        </w:tc>
        <w:tc>
          <w:tcPr>
            <w:tcW w:w="6094" w:type="dxa"/>
            <w:gridSpan w:val="3"/>
            <w:vAlign w:val="center"/>
          </w:tcPr>
          <w:p>
            <w:pPr>
              <w:pStyle w:val="12"/>
            </w:pPr>
            <w:r>
              <w:t>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1.进一步加强中国共产党领导的多党合作和政治协商制度建设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学习培训</w:t>
            </w:r>
          </w:p>
        </w:tc>
        <w:tc>
          <w:tcPr>
            <w:tcW w:w="5386" w:type="dxa"/>
            <w:vAlign w:val="center"/>
          </w:tcPr>
          <w:p>
            <w:pPr>
              <w:pStyle w:val="12"/>
            </w:pPr>
            <w:r>
              <w:t>每季度组织学习培训</w:t>
            </w:r>
          </w:p>
        </w:tc>
        <w:tc>
          <w:tcPr>
            <w:tcW w:w="2268" w:type="dxa"/>
            <w:vAlign w:val="center"/>
          </w:tcPr>
          <w:p>
            <w:pPr>
              <w:pStyle w:val="12"/>
            </w:pPr>
            <w:r>
              <w:t>≥4次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民主党派统战工作完成率</w:t>
            </w:r>
          </w:p>
        </w:tc>
        <w:tc>
          <w:tcPr>
            <w:tcW w:w="5386" w:type="dxa"/>
            <w:vAlign w:val="center"/>
          </w:tcPr>
          <w:p>
            <w:pPr>
              <w:pStyle w:val="12"/>
            </w:pPr>
            <w:r>
              <w:t>民主党派统战工作完成率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发挥民主党派职能作用</w:t>
            </w:r>
          </w:p>
        </w:tc>
        <w:tc>
          <w:tcPr>
            <w:tcW w:w="5386" w:type="dxa"/>
            <w:vAlign w:val="center"/>
          </w:tcPr>
          <w:p>
            <w:pPr>
              <w:pStyle w:val="12"/>
            </w:pPr>
            <w:r>
              <w:t>发挥民主党派职能作用</w:t>
            </w:r>
          </w:p>
        </w:tc>
        <w:tc>
          <w:tcPr>
            <w:tcW w:w="2268" w:type="dxa"/>
            <w:vAlign w:val="center"/>
          </w:tcPr>
          <w:p>
            <w:pPr>
              <w:pStyle w:val="12"/>
            </w:pPr>
            <w:r>
              <w:t>发挥民主党派职能作用</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民主党派人士满意度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7、民族宗教领域社会稳定专项经费绩效目标表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13010924P000002113208</w:t>
            </w:r>
          </w:p>
        </w:tc>
        <w:tc>
          <w:tcPr>
            <w:tcW w:w="2835" w:type="dxa"/>
            <w:vAlign w:val="center"/>
          </w:tcPr>
          <w:p>
            <w:pPr>
              <w:pStyle w:val="10"/>
            </w:pPr>
            <w:r>
              <w:t>项目名称</w:t>
            </w:r>
          </w:p>
        </w:tc>
        <w:tc>
          <w:tcPr>
            <w:tcW w:w="6094" w:type="dxa"/>
            <w:gridSpan w:val="3"/>
            <w:vAlign w:val="center"/>
          </w:tcPr>
          <w:p>
            <w:pPr>
              <w:pStyle w:val="12"/>
            </w:pPr>
            <w:r>
              <w:t>民族宗教领域社会稳定专项经费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民族宗教领域社会稳定专项经费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1.积极引导宗教与社会主义社会相适应，维护宗教领域社会稳定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进行政策宣传、走访慰问次数</w:t>
            </w:r>
          </w:p>
        </w:tc>
        <w:tc>
          <w:tcPr>
            <w:tcW w:w="5386" w:type="dxa"/>
            <w:vAlign w:val="center"/>
          </w:tcPr>
          <w:p>
            <w:pPr>
              <w:pStyle w:val="12"/>
            </w:pPr>
            <w:r>
              <w:t>进行政策宣传培训、走访慰问次数</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工作专干能力提高率</w:t>
            </w:r>
          </w:p>
        </w:tc>
        <w:tc>
          <w:tcPr>
            <w:tcW w:w="5386" w:type="dxa"/>
            <w:vAlign w:val="center"/>
          </w:tcPr>
          <w:p>
            <w:pPr>
              <w:pStyle w:val="12"/>
            </w:pPr>
            <w:r>
              <w:t>民族宗教工作专干能力提高率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民族宗教领域和谐稳定</w:t>
            </w:r>
          </w:p>
        </w:tc>
        <w:tc>
          <w:tcPr>
            <w:tcW w:w="5386" w:type="dxa"/>
            <w:vAlign w:val="center"/>
          </w:tcPr>
          <w:p>
            <w:pPr>
              <w:pStyle w:val="12"/>
            </w:pPr>
            <w:r>
              <w:t>民族宗教领域和谐稳定</w:t>
            </w:r>
          </w:p>
        </w:tc>
        <w:tc>
          <w:tcPr>
            <w:tcW w:w="2268" w:type="dxa"/>
            <w:vAlign w:val="center"/>
          </w:tcPr>
          <w:p>
            <w:pPr>
              <w:pStyle w:val="12"/>
            </w:pPr>
            <w:r>
              <w:t>确保民族宗教领域社会稳定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民族宗教界人士满意度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8、石财行[2023]46号2024年省级基层宗教事务管理补助经费绩效目标表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13010924P00000110530X</w:t>
            </w:r>
          </w:p>
        </w:tc>
        <w:tc>
          <w:tcPr>
            <w:tcW w:w="2835" w:type="dxa"/>
            <w:vAlign w:val="center"/>
          </w:tcPr>
          <w:p>
            <w:pPr>
              <w:pStyle w:val="10"/>
            </w:pPr>
            <w:r>
              <w:t>项目名称</w:t>
            </w:r>
          </w:p>
        </w:tc>
        <w:tc>
          <w:tcPr>
            <w:tcW w:w="6094" w:type="dxa"/>
            <w:gridSpan w:val="3"/>
            <w:vAlign w:val="center"/>
          </w:tcPr>
          <w:p>
            <w:pPr>
              <w:pStyle w:val="12"/>
            </w:pPr>
            <w:r>
              <w:t>石财行[2023]46号2024年省级基层宗教事务管理补助经费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维护宗教领域和谐稳定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1.维护宗教领域和谐稳定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进行政策宣传、走访慰问次数</w:t>
            </w:r>
          </w:p>
        </w:tc>
        <w:tc>
          <w:tcPr>
            <w:tcW w:w="5386" w:type="dxa"/>
            <w:vAlign w:val="center"/>
          </w:tcPr>
          <w:p>
            <w:pPr>
              <w:pStyle w:val="12"/>
            </w:pPr>
            <w:r>
              <w:t>进行政策宣传培训、走访慰问次数</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工作专干能力提高率</w:t>
            </w:r>
          </w:p>
        </w:tc>
        <w:tc>
          <w:tcPr>
            <w:tcW w:w="5386" w:type="dxa"/>
            <w:vAlign w:val="center"/>
          </w:tcPr>
          <w:p>
            <w:pPr>
              <w:pStyle w:val="12"/>
            </w:pPr>
            <w:r>
              <w:t>民族宗教工作专干能力提高率</w:t>
            </w:r>
          </w:p>
        </w:tc>
        <w:tc>
          <w:tcPr>
            <w:tcW w:w="2268" w:type="dxa"/>
            <w:vAlign w:val="center"/>
          </w:tcPr>
          <w:p>
            <w:pPr>
              <w:pStyle w:val="12"/>
            </w:pPr>
            <w:r>
              <w:t>提升宗教事务管理能力</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治理宗教领域问题</w:t>
            </w:r>
          </w:p>
        </w:tc>
        <w:tc>
          <w:tcPr>
            <w:tcW w:w="5386" w:type="dxa"/>
            <w:vAlign w:val="center"/>
          </w:tcPr>
          <w:p>
            <w:pPr>
              <w:pStyle w:val="12"/>
            </w:pPr>
            <w:r>
              <w:t>宗教领域和谐稳定</w:t>
            </w:r>
          </w:p>
        </w:tc>
        <w:tc>
          <w:tcPr>
            <w:tcW w:w="2268" w:type="dxa"/>
            <w:vAlign w:val="center"/>
          </w:tcPr>
          <w:p>
            <w:pPr>
              <w:pStyle w:val="12"/>
            </w:pPr>
            <w:r>
              <w:t>确保宗教领域社会稳定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9、新的社会阶层人士统战工作经费绩效目标表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13010924P00000211322F</w:t>
            </w:r>
          </w:p>
        </w:tc>
        <w:tc>
          <w:tcPr>
            <w:tcW w:w="2835" w:type="dxa"/>
            <w:vAlign w:val="center"/>
          </w:tcPr>
          <w:p>
            <w:pPr>
              <w:pStyle w:val="10"/>
            </w:pPr>
            <w:r>
              <w:t>项目名称</w:t>
            </w:r>
          </w:p>
        </w:tc>
        <w:tc>
          <w:tcPr>
            <w:tcW w:w="6094" w:type="dxa"/>
            <w:gridSpan w:val="3"/>
            <w:vAlign w:val="center"/>
          </w:tcPr>
          <w:p>
            <w:pPr>
              <w:pStyle w:val="12"/>
            </w:pPr>
            <w:r>
              <w:t>新的社会阶层人士统战工作经费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新的社会阶层人士统战工作经费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1.加强政治引领，提升思想政治水平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组织开展教育培训、座谈会，进行调研</w:t>
            </w:r>
          </w:p>
        </w:tc>
        <w:tc>
          <w:tcPr>
            <w:tcW w:w="5386" w:type="dxa"/>
            <w:vAlign w:val="center"/>
          </w:tcPr>
          <w:p>
            <w:pPr>
              <w:pStyle w:val="12"/>
            </w:pPr>
            <w:r>
              <w:t>组织开展教育培训、座谈会，进行调研</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新的社会阶层人士统战工作完成率</w:t>
            </w:r>
          </w:p>
        </w:tc>
        <w:tc>
          <w:tcPr>
            <w:tcW w:w="5386" w:type="dxa"/>
            <w:vAlign w:val="center"/>
          </w:tcPr>
          <w:p>
            <w:pPr>
              <w:pStyle w:val="12"/>
            </w:pPr>
            <w:r>
              <w:t>新的社会阶层人士统战工作完成率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按照进度完成支出计划</w:t>
            </w:r>
          </w:p>
        </w:tc>
        <w:tc>
          <w:tcPr>
            <w:tcW w:w="2268" w:type="dxa"/>
            <w:vAlign w:val="center"/>
          </w:tcPr>
          <w:p>
            <w:pPr>
              <w:pStyle w:val="12"/>
            </w:pPr>
            <w:r>
              <w:t>2024年1月至12月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按实际支出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利用各种渠道扩大协商参与面</w:t>
            </w:r>
          </w:p>
        </w:tc>
        <w:tc>
          <w:tcPr>
            <w:tcW w:w="5386" w:type="dxa"/>
            <w:vAlign w:val="center"/>
          </w:tcPr>
          <w:p>
            <w:pPr>
              <w:pStyle w:val="12"/>
            </w:pPr>
            <w:r>
              <w:t>组织新的社会阶层人士参与到人大协商、政府协商、人民团体协商、基层协商以及社会组织协商中</w:t>
            </w:r>
          </w:p>
        </w:tc>
        <w:tc>
          <w:tcPr>
            <w:tcW w:w="2268" w:type="dxa"/>
            <w:vAlign w:val="center"/>
          </w:tcPr>
          <w:p>
            <w:pPr>
              <w:pStyle w:val="12"/>
            </w:pPr>
            <w:r>
              <w:t>进行社会调研、举办社会公益等活动不少于3次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新的社会阶层人士满意度</w:t>
            </w:r>
          </w:p>
        </w:tc>
        <w:tc>
          <w:tcPr>
            <w:tcW w:w="5386" w:type="dxa"/>
            <w:vAlign w:val="center"/>
          </w:tcPr>
          <w:p>
            <w:pPr>
              <w:pStyle w:val="12"/>
            </w:pPr>
            <w:r>
              <w:t>满意度调查</w:t>
            </w:r>
          </w:p>
        </w:tc>
        <w:tc>
          <w:tcPr>
            <w:tcW w:w="2268" w:type="dxa"/>
            <w:vAlign w:val="center"/>
          </w:tcPr>
          <w:p>
            <w:pPr>
              <w:pStyle w:val="12"/>
            </w:pPr>
            <w:r>
              <w:t>≥90%，满意度达到90%以上</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中国共产党石家庄市藁城区委员会统战部本级上年末固定资产金额为18.96万元（详见下表）。本年度拟购置固定资产总额为0.00万元，已按要求列入政府采购预算，详见政府采购预算表。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213001中国共产党石家庄市藁城区委员会统战部本级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54</w:t>
            </w:r>
          </w:p>
        </w:tc>
        <w:tc>
          <w:tcPr>
            <w:tcW w:w="2835" w:type="dxa"/>
            <w:vAlign w:val="center"/>
          </w:tcPr>
          <w:p>
            <w:pPr>
              <w:pStyle w:val="11"/>
            </w:pPr>
            <w:r>
              <w:t>18.96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VlYmQ2NzAwN2E4MmI4ZDAzMzVlZTJkYmIyNDhmMzAifQ=="/>
  </w:docVars>
  <w:rsids>
    <w:rsidRoot w:val="00000000"/>
    <w:rsid w:val="716578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2024-02-29T11:34:39Z</dcterms:created>
  <dcterms:modified xsi:type="dcterms:W3CDTF">2024-02-29T03:34:39Z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2024-02-29T11:34:38Z</dcterms:created>
  <dcterms:modified xsi:type="dcterms:W3CDTF">2024-02-29T03:34:38Z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2024-02-29T11:34:38Z</dcterms:created>
  <dcterms:modified xsi:type="dcterms:W3CDTF">2024-02-29T03:34:38Z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2024-02-29T11:34:37Z</dcterms:created>
  <dcterms:modified xsi:type="dcterms:W3CDTF">2024-02-29T03:34:37Z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2024-02-29T11:34:37Z</dcterms:created>
  <dcterms:modified xsi:type="dcterms:W3CDTF">2024-02-29T03:34:37Z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2024-02-29T11:33:52Z</dcterms:created>
  <dcterms:modified xsi:type="dcterms:W3CDTF">2024-02-29T03:33:52Z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2024-02-29T11:34:35Z</dcterms:created>
  <dcterms:modified xsi:type="dcterms:W3CDTF">2024-02-29T03:34:35Z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2024-02-29T11:33:56Z</dcterms:created>
  <dcterms:modified xsi:type="dcterms:W3CDTF">2024-02-29T03:33:56Z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2024-02-29T11:34:40Z</dcterms:created>
  <dcterms:modified xsi:type="dcterms:W3CDTF">2024-02-29T03:34:40Z</dcterms:modified>
</cp:coreProperties>
</file>

<file path=customXml/itemProps1.xml><?xml version="1.0" encoding="utf-8"?>
<ds:datastoreItem xmlns:ds="http://schemas.openxmlformats.org/officeDocument/2006/customXml" ds:itemID="{ffcf9d95-dbd2-4931-97ef-9d8b0fc1cc3a}">
  <ds:schemaRefs/>
</ds:datastoreItem>
</file>

<file path=customXml/itemProps10.xml><?xml version="1.0" encoding="utf-8"?>
<ds:datastoreItem xmlns:ds="http://schemas.openxmlformats.org/officeDocument/2006/customXml" ds:itemID="{e3a475f1-e86e-4872-9cb2-ef5dfccc3dce}">
  <ds:schemaRefs/>
</ds:datastoreItem>
</file>

<file path=customXml/itemProps11.xml><?xml version="1.0" encoding="utf-8"?>
<ds:datastoreItem xmlns:ds="http://schemas.openxmlformats.org/officeDocument/2006/customXml" ds:itemID="{dbdd0990-1413-4d4e-aad5-c421ab188221}">
  <ds:schemaRefs/>
</ds:datastoreItem>
</file>

<file path=customXml/itemProps12.xml><?xml version="1.0" encoding="utf-8"?>
<ds:datastoreItem xmlns:ds="http://schemas.openxmlformats.org/officeDocument/2006/customXml" ds:itemID="{2d2a1bcd-f05f-454a-8dec-5759687be3a0}">
  <ds:schemaRefs/>
</ds:datastoreItem>
</file>

<file path=customXml/itemProps13.xml><?xml version="1.0" encoding="utf-8"?>
<ds:datastoreItem xmlns:ds="http://schemas.openxmlformats.org/officeDocument/2006/customXml" ds:itemID="{bfec63b1-1a96-4f4c-86b6-c2b541e9af1d}">
  <ds:schemaRefs/>
</ds:datastoreItem>
</file>

<file path=customXml/itemProps14.xml><?xml version="1.0" encoding="utf-8"?>
<ds:datastoreItem xmlns:ds="http://schemas.openxmlformats.org/officeDocument/2006/customXml" ds:itemID="{77b86d27-97fb-4d22-ae55-662643ad3366}">
  <ds:schemaRefs/>
</ds:datastoreItem>
</file>

<file path=customXml/itemProps15.xml><?xml version="1.0" encoding="utf-8"?>
<ds:datastoreItem xmlns:ds="http://schemas.openxmlformats.org/officeDocument/2006/customXml" ds:itemID="{0168544f-72c4-42a8-9bcb-f8bebf9cc1d8}">
  <ds:schemaRefs/>
</ds:datastoreItem>
</file>

<file path=customXml/itemProps16.xml><?xml version="1.0" encoding="utf-8"?>
<ds:datastoreItem xmlns:ds="http://schemas.openxmlformats.org/officeDocument/2006/customXml" ds:itemID="{f8d6ddea-1da7-4664-a532-a4b4da7bfc46}">
  <ds:schemaRefs/>
</ds:datastoreItem>
</file>

<file path=customXml/itemProps17.xml><?xml version="1.0" encoding="utf-8"?>
<ds:datastoreItem xmlns:ds="http://schemas.openxmlformats.org/officeDocument/2006/customXml" ds:itemID="{58832260-4bd8-4e6a-b657-6f00e33ca08a}">
  <ds:schemaRefs/>
</ds:datastoreItem>
</file>

<file path=customXml/itemProps18.xml><?xml version="1.0" encoding="utf-8"?>
<ds:datastoreItem xmlns:ds="http://schemas.openxmlformats.org/officeDocument/2006/customXml" ds:itemID="{054ed45c-3064-4020-b5c7-dd57af660a02}">
  <ds:schemaRefs/>
</ds:datastoreItem>
</file>

<file path=customXml/itemProps19.xml><?xml version="1.0" encoding="utf-8"?>
<ds:datastoreItem xmlns:ds="http://schemas.openxmlformats.org/officeDocument/2006/customXml" ds:itemID="{6c9312f4-6b77-4cbf-8779-3269baa00f6f}">
  <ds:schemaRefs/>
</ds:datastoreItem>
</file>

<file path=customXml/itemProps2.xml><?xml version="1.0" encoding="utf-8"?>
<ds:datastoreItem xmlns:ds="http://schemas.openxmlformats.org/officeDocument/2006/customXml" ds:itemID="{f64b8f47-32bb-457a-b2a8-fc3011f17e1f}">
  <ds:schemaRefs/>
</ds:datastoreItem>
</file>

<file path=customXml/itemProps20.xml><?xml version="1.0" encoding="utf-8"?>
<ds:datastoreItem xmlns:ds="http://schemas.openxmlformats.org/officeDocument/2006/customXml" ds:itemID="{9cb4c0a9-1862-4565-a58e-4508f470db51}">
  <ds:schemaRefs/>
</ds:datastoreItem>
</file>

<file path=customXml/itemProps21.xml><?xml version="1.0" encoding="utf-8"?>
<ds:datastoreItem xmlns:ds="http://schemas.openxmlformats.org/officeDocument/2006/customXml" ds:itemID="{f66c4d05-cbdd-466d-9cec-c1743f708b95}">
  <ds:schemaRefs/>
</ds:datastoreItem>
</file>

<file path=customXml/itemProps22.xml><?xml version="1.0" encoding="utf-8"?>
<ds:datastoreItem xmlns:ds="http://schemas.openxmlformats.org/officeDocument/2006/customXml" ds:itemID="{6da335ca-51f1-4c22-a7ad-370116337b0a}">
  <ds:schemaRefs/>
</ds:datastoreItem>
</file>

<file path=customXml/itemProps23.xml><?xml version="1.0" encoding="utf-8"?>
<ds:datastoreItem xmlns:ds="http://schemas.openxmlformats.org/officeDocument/2006/customXml" ds:itemID="{afdd4401-58b5-4ca1-aff7-85b4ec9c326b}">
  <ds:schemaRefs/>
</ds:datastoreItem>
</file>

<file path=customXml/itemProps24.xml><?xml version="1.0" encoding="utf-8"?>
<ds:datastoreItem xmlns:ds="http://schemas.openxmlformats.org/officeDocument/2006/customXml" ds:itemID="{6c6408fe-d0ec-408d-988d-e608e919294e}">
  <ds:schemaRefs/>
</ds:datastoreItem>
</file>

<file path=customXml/itemProps3.xml><?xml version="1.0" encoding="utf-8"?>
<ds:datastoreItem xmlns:ds="http://schemas.openxmlformats.org/officeDocument/2006/customXml" ds:itemID="{987dd032-daaa-4c9e-8a71-f40d3026ff2e}">
  <ds:schemaRefs/>
</ds:datastoreItem>
</file>

<file path=customXml/itemProps4.xml><?xml version="1.0" encoding="utf-8"?>
<ds:datastoreItem xmlns:ds="http://schemas.openxmlformats.org/officeDocument/2006/customXml" ds:itemID="{007b37bf-e956-43ce-a435-8b1cdb0bf4e2}">
  <ds:schemaRefs/>
</ds:datastoreItem>
</file>

<file path=customXml/itemProps5.xml><?xml version="1.0" encoding="utf-8"?>
<ds:datastoreItem xmlns:ds="http://schemas.openxmlformats.org/officeDocument/2006/customXml" ds:itemID="{47ef4053-5df2-4b35-9902-bc9d4cec715e}">
  <ds:schemaRefs/>
</ds:datastoreItem>
</file>

<file path=customXml/itemProps6.xml><?xml version="1.0" encoding="utf-8"?>
<ds:datastoreItem xmlns:ds="http://schemas.openxmlformats.org/officeDocument/2006/customXml" ds:itemID="{2788c453-a358-40d8-9976-914e8bfe41b1}">
  <ds:schemaRefs/>
</ds:datastoreItem>
</file>

<file path=customXml/itemProps7.xml><?xml version="1.0" encoding="utf-8"?>
<ds:datastoreItem xmlns:ds="http://schemas.openxmlformats.org/officeDocument/2006/customXml" ds:itemID="{17bc7661-8491-47c1-a2e1-9720cc77f60a}">
  <ds:schemaRefs/>
</ds:datastoreItem>
</file>

<file path=customXml/itemProps8.xml><?xml version="1.0" encoding="utf-8"?>
<ds:datastoreItem xmlns:ds="http://schemas.openxmlformats.org/officeDocument/2006/customXml" ds:itemID="{a264f9b7-62af-474d-8d28-919edec88245}">
  <ds:schemaRefs/>
</ds:datastoreItem>
</file>

<file path=customXml/itemProps9.xml><?xml version="1.0" encoding="utf-8"?>
<ds:datastoreItem xmlns:ds="http://schemas.openxmlformats.org/officeDocument/2006/customXml" ds:itemID="{83d0a8ab-c5ca-455b-b06c-3c0674a51b0d}">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2024-02-29T11:34:00Z</dcterms:created>
  <dc:creator>Administrator</dc:creator>
  <cp:lastModifiedBy>Administrator</cp:lastModifiedBy>
  <dcterms:modified xsi:type="dcterms:W3CDTF">2024-03-04T06:07:44Z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CD8A16897DDF4E3A9A29F531820826C4_12</vt:lpwstr>
  </property>
</Properties>
</file>