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1371.54</w:t>
            </w:r>
          </w:p>
        </w:tc>
        <w:tc>
          <w:tcPr>
            <w:tcW w:w="4535" w:type="dxa"/>
            <w:vAlign w:val="center"/>
          </w:tcPr>
          <w:p>
            <w:pPr>
              <w:pStyle w:val="15"/>
            </w:pPr>
            <w:r>
              <w:t>一、一般公共服务支出</w:t>
            </w:r>
          </w:p>
        </w:tc>
        <w:tc>
          <w:tcPr>
            <w:tcW w:w="2126" w:type="dxa"/>
            <w:vAlign w:val="center"/>
          </w:tcPr>
          <w:p>
            <w:pPr>
              <w:pStyle w:val="14"/>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151.00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r>
              <w:t>1325.06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1522.54</w:t>
            </w:r>
          </w:p>
        </w:tc>
        <w:tc>
          <w:tcPr>
            <w:tcW w:w="4535" w:type="dxa"/>
            <w:vAlign w:val="center"/>
          </w:tcPr>
          <w:p>
            <w:pPr>
              <w:pStyle w:val="17"/>
            </w:pPr>
            <w:r>
              <w:t>本年支出合计</w:t>
            </w:r>
          </w:p>
        </w:tc>
        <w:tc>
          <w:tcPr>
            <w:tcW w:w="2126" w:type="dxa"/>
            <w:vAlign w:val="center"/>
          </w:tcPr>
          <w:p>
            <w:pPr>
              <w:pStyle w:val="18"/>
            </w:pPr>
            <w:r>
              <w:t>1528.56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6.02</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1528.56</w:t>
            </w:r>
          </w:p>
        </w:tc>
        <w:tc>
          <w:tcPr>
            <w:tcW w:w="4535" w:type="dxa"/>
            <w:vAlign w:val="center"/>
          </w:tcPr>
          <w:p>
            <w:pPr>
              <w:pStyle w:val="17"/>
            </w:pPr>
            <w:r>
              <w:t>支出总计</w:t>
            </w:r>
          </w:p>
        </w:tc>
        <w:tc>
          <w:tcPr>
            <w:tcW w:w="2126" w:type="dxa"/>
            <w:vAlign w:val="center"/>
          </w:tcPr>
          <w:p>
            <w:pPr>
              <w:pStyle w:val="18"/>
            </w:pPr>
            <w:r>
              <w:t>1528.56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907石家庄市藁城区融媒体中心</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1528.56</w:t>
            </w:r>
          </w:p>
        </w:tc>
        <w:tc>
          <w:tcPr>
            <w:tcW w:w="1134" w:type="dxa"/>
            <w:vAlign w:val="center"/>
          </w:tcPr>
          <w:p>
            <w:pPr>
              <w:pStyle w:val="18"/>
            </w:pPr>
            <w:r>
              <w:t>1522.54</w:t>
            </w:r>
          </w:p>
        </w:tc>
        <w:tc>
          <w:tcPr>
            <w:tcW w:w="1134" w:type="dxa"/>
            <w:vAlign w:val="center"/>
          </w:tcPr>
          <w:p>
            <w:pPr>
              <w:pStyle w:val="18"/>
            </w:pPr>
            <w:r>
              <w:t>1522.54</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20133</w:t>
            </w:r>
          </w:p>
        </w:tc>
        <w:tc>
          <w:tcPr>
            <w:tcW w:w="1559" w:type="dxa"/>
            <w:vAlign w:val="center"/>
          </w:tcPr>
          <w:p>
            <w:pPr>
              <w:pStyle w:val="15"/>
            </w:pPr>
            <w:r>
              <w:t>宣传事务</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2013350</w:t>
            </w:r>
          </w:p>
        </w:tc>
        <w:tc>
          <w:tcPr>
            <w:tcW w:w="1559" w:type="dxa"/>
            <w:vAlign w:val="center"/>
          </w:tcPr>
          <w:p>
            <w:pPr>
              <w:pStyle w:val="15"/>
            </w:pPr>
            <w:r>
              <w:t>事业运行</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207</w:t>
            </w:r>
          </w:p>
        </w:tc>
        <w:tc>
          <w:tcPr>
            <w:tcW w:w="1559" w:type="dxa"/>
            <w:vAlign w:val="center"/>
          </w:tcPr>
          <w:p>
            <w:pPr>
              <w:pStyle w:val="15"/>
            </w:pPr>
            <w:r>
              <w:t>文化旅游体育与传媒支出</w:t>
            </w:r>
          </w:p>
        </w:tc>
        <w:tc>
          <w:tcPr>
            <w:tcW w:w="1134" w:type="dxa"/>
            <w:vAlign w:val="center"/>
          </w:tcPr>
          <w:p>
            <w:pPr>
              <w:pStyle w:val="14"/>
            </w:pPr>
            <w:r>
              <w:t>1325.06</w:t>
            </w:r>
          </w:p>
        </w:tc>
        <w:tc>
          <w:tcPr>
            <w:tcW w:w="1134" w:type="dxa"/>
            <w:vAlign w:val="center"/>
          </w:tcPr>
          <w:p>
            <w:pPr>
              <w:pStyle w:val="14"/>
            </w:pPr>
            <w:r>
              <w:t>1319.04</w:t>
            </w:r>
          </w:p>
        </w:tc>
        <w:tc>
          <w:tcPr>
            <w:tcW w:w="1134" w:type="dxa"/>
            <w:vAlign w:val="center"/>
          </w:tcPr>
          <w:p>
            <w:pPr>
              <w:pStyle w:val="14"/>
            </w:pPr>
            <w:r>
              <w:t>1319.04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20706</w:t>
            </w:r>
          </w:p>
        </w:tc>
        <w:tc>
          <w:tcPr>
            <w:tcW w:w="1559" w:type="dxa"/>
            <w:vAlign w:val="center"/>
          </w:tcPr>
          <w:p>
            <w:pPr>
              <w:pStyle w:val="15"/>
            </w:pPr>
            <w:r>
              <w:t>新闻出版电影</w:t>
            </w:r>
          </w:p>
        </w:tc>
        <w:tc>
          <w:tcPr>
            <w:tcW w:w="1134" w:type="dxa"/>
            <w:vAlign w:val="center"/>
          </w:tcPr>
          <w:p>
            <w:pPr>
              <w:pStyle w:val="14"/>
            </w:pPr>
            <w:r>
              <w:t>1319.04</w:t>
            </w:r>
          </w:p>
        </w:tc>
        <w:tc>
          <w:tcPr>
            <w:tcW w:w="1134" w:type="dxa"/>
            <w:vAlign w:val="center"/>
          </w:tcPr>
          <w:p>
            <w:pPr>
              <w:pStyle w:val="14"/>
            </w:pPr>
            <w:r>
              <w:t>1319.04</w:t>
            </w:r>
          </w:p>
        </w:tc>
        <w:tc>
          <w:tcPr>
            <w:tcW w:w="1134" w:type="dxa"/>
            <w:vAlign w:val="center"/>
          </w:tcPr>
          <w:p>
            <w:pPr>
              <w:pStyle w:val="14"/>
            </w:pPr>
            <w:r>
              <w:t>1319.04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2070604</w:t>
            </w:r>
          </w:p>
        </w:tc>
        <w:tc>
          <w:tcPr>
            <w:tcW w:w="1559" w:type="dxa"/>
            <w:vAlign w:val="center"/>
          </w:tcPr>
          <w:p>
            <w:pPr>
              <w:pStyle w:val="15"/>
            </w:pPr>
            <w:r>
              <w:t>新闻通讯</w:t>
            </w:r>
          </w:p>
        </w:tc>
        <w:tc>
          <w:tcPr>
            <w:tcW w:w="1134" w:type="dxa"/>
            <w:vAlign w:val="center"/>
          </w:tcPr>
          <w:p>
            <w:pPr>
              <w:pStyle w:val="14"/>
            </w:pPr>
            <w:r>
              <w:t>1319.04</w:t>
            </w:r>
          </w:p>
        </w:tc>
        <w:tc>
          <w:tcPr>
            <w:tcW w:w="1134" w:type="dxa"/>
            <w:vAlign w:val="center"/>
          </w:tcPr>
          <w:p>
            <w:pPr>
              <w:pStyle w:val="14"/>
            </w:pPr>
            <w:r>
              <w:t>1319.04</w:t>
            </w:r>
          </w:p>
        </w:tc>
        <w:tc>
          <w:tcPr>
            <w:tcW w:w="1134" w:type="dxa"/>
            <w:vAlign w:val="center"/>
          </w:tcPr>
          <w:p>
            <w:pPr>
              <w:pStyle w:val="14"/>
            </w:pPr>
            <w:r>
              <w:t>1319.04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20799</w:t>
            </w:r>
          </w:p>
        </w:tc>
        <w:tc>
          <w:tcPr>
            <w:tcW w:w="1559" w:type="dxa"/>
            <w:vAlign w:val="center"/>
          </w:tcPr>
          <w:p>
            <w:pPr>
              <w:pStyle w:val="15"/>
            </w:pPr>
            <w:r>
              <w:t>其他文化旅游体育与传媒支出</w:t>
            </w:r>
          </w:p>
        </w:tc>
        <w:tc>
          <w:tcPr>
            <w:tcW w:w="1134" w:type="dxa"/>
            <w:vAlign w:val="center"/>
          </w:tcPr>
          <w:p>
            <w:pPr>
              <w:pStyle w:val="14"/>
            </w:pPr>
            <w:r>
              <w:t>6.02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2079999</w:t>
            </w:r>
          </w:p>
        </w:tc>
        <w:tc>
          <w:tcPr>
            <w:tcW w:w="1559" w:type="dxa"/>
            <w:vAlign w:val="center"/>
          </w:tcPr>
          <w:p>
            <w:pPr>
              <w:pStyle w:val="15"/>
            </w:pPr>
            <w:r>
              <w:t>其他文化旅游体育与传媒支出</w:t>
            </w:r>
          </w:p>
        </w:tc>
        <w:tc>
          <w:tcPr>
            <w:tcW w:w="1134" w:type="dxa"/>
            <w:vAlign w:val="center"/>
          </w:tcPr>
          <w:p>
            <w:pPr>
              <w:pStyle w:val="14"/>
            </w:pPr>
            <w:r>
              <w:t>6.02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151.00</w:t>
            </w:r>
          </w:p>
        </w:tc>
        <w:tc>
          <w:tcPr>
            <w:tcW w:w="1134" w:type="dxa"/>
            <w:vAlign w:val="center"/>
          </w:tcPr>
          <w:p>
            <w:pPr>
              <w:pStyle w:val="14"/>
            </w:pPr>
            <w:r>
              <w:t>151.00</w:t>
            </w:r>
          </w:p>
        </w:tc>
        <w:tc>
          <w:tcPr>
            <w:tcW w:w="1134" w:type="dxa"/>
            <w:vAlign w:val="center"/>
          </w:tcPr>
          <w:p>
            <w:pPr>
              <w:pStyle w:val="14"/>
            </w:pPr>
            <w:r>
              <w:t>151.00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21208</w:t>
            </w:r>
          </w:p>
        </w:tc>
        <w:tc>
          <w:tcPr>
            <w:tcW w:w="1559" w:type="dxa"/>
            <w:vAlign w:val="center"/>
          </w:tcPr>
          <w:p>
            <w:pPr>
              <w:pStyle w:val="15"/>
            </w:pPr>
            <w:r>
              <w:t>国有土地使用权出让收入安排的支出</w:t>
            </w:r>
          </w:p>
        </w:tc>
        <w:tc>
          <w:tcPr>
            <w:tcW w:w="1134" w:type="dxa"/>
            <w:vAlign w:val="center"/>
          </w:tcPr>
          <w:p>
            <w:pPr>
              <w:pStyle w:val="14"/>
            </w:pPr>
            <w:r>
              <w:t>151.00</w:t>
            </w:r>
          </w:p>
        </w:tc>
        <w:tc>
          <w:tcPr>
            <w:tcW w:w="1134" w:type="dxa"/>
            <w:vAlign w:val="center"/>
          </w:tcPr>
          <w:p>
            <w:pPr>
              <w:pStyle w:val="14"/>
            </w:pPr>
            <w:r>
              <w:t>151.00</w:t>
            </w:r>
          </w:p>
        </w:tc>
        <w:tc>
          <w:tcPr>
            <w:tcW w:w="1134" w:type="dxa"/>
            <w:vAlign w:val="center"/>
          </w:tcPr>
          <w:p>
            <w:pPr>
              <w:pStyle w:val="14"/>
            </w:pPr>
            <w:r>
              <w:t>151.00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2120803</w:t>
            </w:r>
          </w:p>
        </w:tc>
        <w:tc>
          <w:tcPr>
            <w:tcW w:w="1559" w:type="dxa"/>
            <w:vAlign w:val="center"/>
          </w:tcPr>
          <w:p>
            <w:pPr>
              <w:pStyle w:val="15"/>
            </w:pPr>
            <w:r>
              <w:t>城市建设支出</w:t>
            </w:r>
          </w:p>
        </w:tc>
        <w:tc>
          <w:tcPr>
            <w:tcW w:w="1134" w:type="dxa"/>
            <w:vAlign w:val="center"/>
          </w:tcPr>
          <w:p>
            <w:pPr>
              <w:pStyle w:val="14"/>
            </w:pPr>
            <w:r>
              <w:t>151.00</w:t>
            </w:r>
          </w:p>
        </w:tc>
        <w:tc>
          <w:tcPr>
            <w:tcW w:w="1134" w:type="dxa"/>
            <w:vAlign w:val="center"/>
          </w:tcPr>
          <w:p>
            <w:pPr>
              <w:pStyle w:val="14"/>
            </w:pPr>
            <w:r>
              <w:t>151.00</w:t>
            </w:r>
          </w:p>
        </w:tc>
        <w:tc>
          <w:tcPr>
            <w:tcW w:w="1134" w:type="dxa"/>
            <w:vAlign w:val="center"/>
          </w:tcPr>
          <w:p>
            <w:pPr>
              <w:pStyle w:val="14"/>
            </w:pPr>
            <w:r>
              <w:t>151.00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1528.56</w:t>
            </w:r>
          </w:p>
        </w:tc>
        <w:tc>
          <w:tcPr>
            <w:tcW w:w="1361" w:type="dxa"/>
            <w:vAlign w:val="center"/>
          </w:tcPr>
          <w:p>
            <w:pPr>
              <w:pStyle w:val="18"/>
            </w:pPr>
            <w:r>
              <w:t>941.70</w:t>
            </w:r>
          </w:p>
        </w:tc>
        <w:tc>
          <w:tcPr>
            <w:tcW w:w="1361" w:type="dxa"/>
            <w:vAlign w:val="center"/>
          </w:tcPr>
          <w:p>
            <w:pPr>
              <w:pStyle w:val="18"/>
            </w:pPr>
            <w:r>
              <w:t>586.86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20133</w:t>
            </w:r>
          </w:p>
        </w:tc>
        <w:tc>
          <w:tcPr>
            <w:tcW w:w="4535" w:type="dxa"/>
            <w:vAlign w:val="center"/>
          </w:tcPr>
          <w:p>
            <w:pPr>
              <w:pStyle w:val="15"/>
            </w:pPr>
            <w:r>
              <w:t>宣传事务</w:t>
            </w: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2013350</w:t>
            </w:r>
          </w:p>
        </w:tc>
        <w:tc>
          <w:tcPr>
            <w:tcW w:w="4535" w:type="dxa"/>
            <w:vAlign w:val="center"/>
          </w:tcPr>
          <w:p>
            <w:pPr>
              <w:pStyle w:val="15"/>
            </w:pPr>
            <w:r>
              <w:t>事业运行</w:t>
            </w: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207</w:t>
            </w:r>
          </w:p>
        </w:tc>
        <w:tc>
          <w:tcPr>
            <w:tcW w:w="4535" w:type="dxa"/>
            <w:vAlign w:val="center"/>
          </w:tcPr>
          <w:p>
            <w:pPr>
              <w:pStyle w:val="15"/>
            </w:pPr>
            <w:r>
              <w:t>文化旅游体育与传媒支出</w:t>
            </w:r>
          </w:p>
        </w:tc>
        <w:tc>
          <w:tcPr>
            <w:tcW w:w="1361" w:type="dxa"/>
            <w:vAlign w:val="center"/>
          </w:tcPr>
          <w:p>
            <w:pPr>
              <w:pStyle w:val="14"/>
            </w:pPr>
            <w:r>
              <w:t>1325.06</w:t>
            </w:r>
          </w:p>
        </w:tc>
        <w:tc>
          <w:tcPr>
            <w:tcW w:w="1361" w:type="dxa"/>
            <w:vAlign w:val="center"/>
          </w:tcPr>
          <w:p>
            <w:pPr>
              <w:pStyle w:val="14"/>
            </w:pPr>
            <w:r>
              <w:t>941.70</w:t>
            </w:r>
          </w:p>
        </w:tc>
        <w:tc>
          <w:tcPr>
            <w:tcW w:w="1361" w:type="dxa"/>
            <w:vAlign w:val="center"/>
          </w:tcPr>
          <w:p>
            <w:pPr>
              <w:pStyle w:val="14"/>
            </w:pPr>
            <w:r>
              <w:t>383.36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20706</w:t>
            </w:r>
          </w:p>
        </w:tc>
        <w:tc>
          <w:tcPr>
            <w:tcW w:w="4535" w:type="dxa"/>
            <w:vAlign w:val="center"/>
          </w:tcPr>
          <w:p>
            <w:pPr>
              <w:pStyle w:val="15"/>
            </w:pPr>
            <w:r>
              <w:t>新闻出版电影</w:t>
            </w:r>
          </w:p>
        </w:tc>
        <w:tc>
          <w:tcPr>
            <w:tcW w:w="1361" w:type="dxa"/>
            <w:vAlign w:val="center"/>
          </w:tcPr>
          <w:p>
            <w:pPr>
              <w:pStyle w:val="14"/>
            </w:pPr>
            <w:r>
              <w:t>1319.04</w:t>
            </w:r>
          </w:p>
        </w:tc>
        <w:tc>
          <w:tcPr>
            <w:tcW w:w="1361" w:type="dxa"/>
            <w:vAlign w:val="center"/>
          </w:tcPr>
          <w:p>
            <w:pPr>
              <w:pStyle w:val="14"/>
            </w:pPr>
            <w:r>
              <w:t>941.70</w:t>
            </w:r>
          </w:p>
        </w:tc>
        <w:tc>
          <w:tcPr>
            <w:tcW w:w="1361" w:type="dxa"/>
            <w:vAlign w:val="center"/>
          </w:tcPr>
          <w:p>
            <w:pPr>
              <w:pStyle w:val="14"/>
            </w:pPr>
            <w:r>
              <w:t>377.34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2070604</w:t>
            </w:r>
          </w:p>
        </w:tc>
        <w:tc>
          <w:tcPr>
            <w:tcW w:w="4535" w:type="dxa"/>
            <w:vAlign w:val="center"/>
          </w:tcPr>
          <w:p>
            <w:pPr>
              <w:pStyle w:val="15"/>
            </w:pPr>
            <w:r>
              <w:t>新闻通讯</w:t>
            </w:r>
          </w:p>
        </w:tc>
        <w:tc>
          <w:tcPr>
            <w:tcW w:w="1361" w:type="dxa"/>
            <w:vAlign w:val="center"/>
          </w:tcPr>
          <w:p>
            <w:pPr>
              <w:pStyle w:val="14"/>
            </w:pPr>
            <w:r>
              <w:t>1319.04</w:t>
            </w:r>
          </w:p>
        </w:tc>
        <w:tc>
          <w:tcPr>
            <w:tcW w:w="1361" w:type="dxa"/>
            <w:vAlign w:val="center"/>
          </w:tcPr>
          <w:p>
            <w:pPr>
              <w:pStyle w:val="14"/>
            </w:pPr>
            <w:r>
              <w:t>941.70</w:t>
            </w:r>
          </w:p>
        </w:tc>
        <w:tc>
          <w:tcPr>
            <w:tcW w:w="1361" w:type="dxa"/>
            <w:vAlign w:val="center"/>
          </w:tcPr>
          <w:p>
            <w:pPr>
              <w:pStyle w:val="14"/>
            </w:pPr>
            <w:r>
              <w:t>377.34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20799</w:t>
            </w:r>
          </w:p>
        </w:tc>
        <w:tc>
          <w:tcPr>
            <w:tcW w:w="4535" w:type="dxa"/>
            <w:vAlign w:val="center"/>
          </w:tcPr>
          <w:p>
            <w:pPr>
              <w:pStyle w:val="15"/>
            </w:pPr>
            <w:r>
              <w:t>其他文化旅游体育与传媒支出</w:t>
            </w:r>
          </w:p>
        </w:tc>
        <w:tc>
          <w:tcPr>
            <w:tcW w:w="1361" w:type="dxa"/>
            <w:vAlign w:val="center"/>
          </w:tcPr>
          <w:p>
            <w:pPr>
              <w:pStyle w:val="14"/>
            </w:pPr>
            <w:r>
              <w:t>6.02</w:t>
            </w:r>
          </w:p>
        </w:tc>
        <w:tc>
          <w:tcPr>
            <w:tcW w:w="1361" w:type="dxa"/>
            <w:vAlign w:val="center"/>
          </w:tcPr>
          <w:p>
            <w:pPr>
              <w:pStyle w:val="14"/>
            </w:pPr>
          </w:p>
        </w:tc>
        <w:tc>
          <w:tcPr>
            <w:tcW w:w="1361" w:type="dxa"/>
            <w:vAlign w:val="center"/>
          </w:tcPr>
          <w:p>
            <w:pPr>
              <w:pStyle w:val="14"/>
            </w:pPr>
            <w:r>
              <w:t>6.02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2079999</w:t>
            </w:r>
          </w:p>
        </w:tc>
        <w:tc>
          <w:tcPr>
            <w:tcW w:w="4535" w:type="dxa"/>
            <w:vAlign w:val="center"/>
          </w:tcPr>
          <w:p>
            <w:pPr>
              <w:pStyle w:val="15"/>
            </w:pPr>
            <w:r>
              <w:t>其他文化旅游体育与传媒支出</w:t>
            </w:r>
          </w:p>
        </w:tc>
        <w:tc>
          <w:tcPr>
            <w:tcW w:w="1361" w:type="dxa"/>
            <w:vAlign w:val="center"/>
          </w:tcPr>
          <w:p>
            <w:pPr>
              <w:pStyle w:val="14"/>
            </w:pPr>
            <w:r>
              <w:t>6.02</w:t>
            </w:r>
          </w:p>
        </w:tc>
        <w:tc>
          <w:tcPr>
            <w:tcW w:w="1361" w:type="dxa"/>
            <w:vAlign w:val="center"/>
          </w:tcPr>
          <w:p>
            <w:pPr>
              <w:pStyle w:val="14"/>
            </w:pPr>
          </w:p>
        </w:tc>
        <w:tc>
          <w:tcPr>
            <w:tcW w:w="1361" w:type="dxa"/>
            <w:vAlign w:val="center"/>
          </w:tcPr>
          <w:p>
            <w:pPr>
              <w:pStyle w:val="14"/>
            </w:pPr>
            <w:r>
              <w:t>6.02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151.00</w:t>
            </w:r>
          </w:p>
        </w:tc>
        <w:tc>
          <w:tcPr>
            <w:tcW w:w="1361" w:type="dxa"/>
            <w:vAlign w:val="center"/>
          </w:tcPr>
          <w:p>
            <w:pPr>
              <w:pStyle w:val="14"/>
            </w:pPr>
          </w:p>
        </w:tc>
        <w:tc>
          <w:tcPr>
            <w:tcW w:w="1361" w:type="dxa"/>
            <w:vAlign w:val="center"/>
          </w:tcPr>
          <w:p>
            <w:pPr>
              <w:pStyle w:val="14"/>
            </w:pPr>
            <w:r>
              <w:t>151.00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21208</w:t>
            </w:r>
          </w:p>
        </w:tc>
        <w:tc>
          <w:tcPr>
            <w:tcW w:w="4535" w:type="dxa"/>
            <w:vAlign w:val="center"/>
          </w:tcPr>
          <w:p>
            <w:pPr>
              <w:pStyle w:val="15"/>
            </w:pPr>
            <w:r>
              <w:t>国有土地使用权出让收入安排的支出</w:t>
            </w:r>
          </w:p>
        </w:tc>
        <w:tc>
          <w:tcPr>
            <w:tcW w:w="1361" w:type="dxa"/>
            <w:vAlign w:val="center"/>
          </w:tcPr>
          <w:p>
            <w:pPr>
              <w:pStyle w:val="14"/>
            </w:pPr>
            <w:r>
              <w:t>151.00</w:t>
            </w:r>
          </w:p>
        </w:tc>
        <w:tc>
          <w:tcPr>
            <w:tcW w:w="1361" w:type="dxa"/>
            <w:vAlign w:val="center"/>
          </w:tcPr>
          <w:p>
            <w:pPr>
              <w:pStyle w:val="14"/>
            </w:pPr>
          </w:p>
        </w:tc>
        <w:tc>
          <w:tcPr>
            <w:tcW w:w="1361" w:type="dxa"/>
            <w:vAlign w:val="center"/>
          </w:tcPr>
          <w:p>
            <w:pPr>
              <w:pStyle w:val="14"/>
            </w:pPr>
            <w:r>
              <w:t>151.00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2120803</w:t>
            </w:r>
          </w:p>
        </w:tc>
        <w:tc>
          <w:tcPr>
            <w:tcW w:w="4535" w:type="dxa"/>
            <w:vAlign w:val="center"/>
          </w:tcPr>
          <w:p>
            <w:pPr>
              <w:pStyle w:val="15"/>
            </w:pPr>
            <w:r>
              <w:t>城市建设支出</w:t>
            </w:r>
          </w:p>
        </w:tc>
        <w:tc>
          <w:tcPr>
            <w:tcW w:w="1361" w:type="dxa"/>
            <w:vAlign w:val="center"/>
          </w:tcPr>
          <w:p>
            <w:pPr>
              <w:pStyle w:val="14"/>
            </w:pPr>
            <w:r>
              <w:t>151.00</w:t>
            </w:r>
          </w:p>
        </w:tc>
        <w:tc>
          <w:tcPr>
            <w:tcW w:w="1361" w:type="dxa"/>
            <w:vAlign w:val="center"/>
          </w:tcPr>
          <w:p>
            <w:pPr>
              <w:pStyle w:val="14"/>
            </w:pPr>
          </w:p>
        </w:tc>
        <w:tc>
          <w:tcPr>
            <w:tcW w:w="1361" w:type="dxa"/>
            <w:vAlign w:val="center"/>
          </w:tcPr>
          <w:p>
            <w:pPr>
              <w:pStyle w:val="14"/>
            </w:pPr>
            <w:r>
              <w:t>151.00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1371.54</w:t>
            </w:r>
          </w:p>
        </w:tc>
        <w:tc>
          <w:tcPr>
            <w:tcW w:w="3402" w:type="dxa"/>
            <w:vAlign w:val="center"/>
          </w:tcPr>
          <w:p>
            <w:pPr>
              <w:pStyle w:val="15"/>
            </w:pPr>
            <w:r>
              <w:t>一、一般公共服务支出</w:t>
            </w:r>
          </w:p>
        </w:tc>
        <w:tc>
          <w:tcPr>
            <w:tcW w:w="1474" w:type="dxa"/>
            <w:vAlign w:val="center"/>
          </w:tcPr>
          <w:p>
            <w:pPr>
              <w:pStyle w:val="14"/>
            </w:pPr>
            <w:r>
              <w:t>52.50</w:t>
            </w:r>
          </w:p>
        </w:tc>
        <w:tc>
          <w:tcPr>
            <w:tcW w:w="1474" w:type="dxa"/>
            <w:vAlign w:val="center"/>
          </w:tcPr>
          <w:p>
            <w:pPr>
              <w:pStyle w:val="14"/>
            </w:pPr>
            <w:r>
              <w:t>52.50</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151.00</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r>
              <w:t>1325.06</w:t>
            </w:r>
          </w:p>
        </w:tc>
        <w:tc>
          <w:tcPr>
            <w:tcW w:w="1474" w:type="dxa"/>
            <w:vAlign w:val="center"/>
          </w:tcPr>
          <w:p>
            <w:pPr>
              <w:pStyle w:val="14"/>
            </w:pPr>
            <w:r>
              <w:t>1325.06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151.00</w:t>
            </w:r>
          </w:p>
        </w:tc>
        <w:tc>
          <w:tcPr>
            <w:tcW w:w="1474" w:type="dxa"/>
            <w:vAlign w:val="center"/>
          </w:tcPr>
          <w:p>
            <w:pPr>
              <w:pStyle w:val="14"/>
            </w:pPr>
          </w:p>
        </w:tc>
        <w:tc>
          <w:tcPr>
            <w:tcW w:w="1474" w:type="dxa"/>
            <w:vAlign w:val="center"/>
          </w:tcPr>
          <w:p>
            <w:pPr>
              <w:pStyle w:val="14"/>
            </w:pPr>
            <w:r>
              <w:t>151.00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1522.54</w:t>
            </w:r>
          </w:p>
        </w:tc>
        <w:tc>
          <w:tcPr>
            <w:tcW w:w="3402" w:type="dxa"/>
            <w:vAlign w:val="center"/>
          </w:tcPr>
          <w:p>
            <w:pPr>
              <w:pStyle w:val="17"/>
            </w:pPr>
            <w:r>
              <w:t>本年支出合计</w:t>
            </w:r>
          </w:p>
        </w:tc>
        <w:tc>
          <w:tcPr>
            <w:tcW w:w="1474" w:type="dxa"/>
            <w:vAlign w:val="center"/>
          </w:tcPr>
          <w:p>
            <w:pPr>
              <w:pStyle w:val="18"/>
            </w:pPr>
            <w:r>
              <w:t>1528.56</w:t>
            </w:r>
          </w:p>
        </w:tc>
        <w:tc>
          <w:tcPr>
            <w:tcW w:w="1474" w:type="dxa"/>
            <w:vAlign w:val="center"/>
          </w:tcPr>
          <w:p>
            <w:pPr>
              <w:pStyle w:val="18"/>
            </w:pPr>
            <w:r>
              <w:t>1377.56</w:t>
            </w:r>
          </w:p>
        </w:tc>
        <w:tc>
          <w:tcPr>
            <w:tcW w:w="1474" w:type="dxa"/>
            <w:vAlign w:val="center"/>
          </w:tcPr>
          <w:p>
            <w:pPr>
              <w:pStyle w:val="18"/>
            </w:pPr>
            <w:r>
              <w:t>151.00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6.02</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6.02</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1528.56</w:t>
            </w:r>
          </w:p>
        </w:tc>
        <w:tc>
          <w:tcPr>
            <w:tcW w:w="3402" w:type="dxa"/>
            <w:vAlign w:val="center"/>
          </w:tcPr>
          <w:p>
            <w:pPr>
              <w:pStyle w:val="17"/>
            </w:pPr>
            <w:r>
              <w:t>支出总计</w:t>
            </w:r>
          </w:p>
        </w:tc>
        <w:tc>
          <w:tcPr>
            <w:tcW w:w="1474" w:type="dxa"/>
            <w:vAlign w:val="center"/>
          </w:tcPr>
          <w:p>
            <w:pPr>
              <w:pStyle w:val="18"/>
            </w:pPr>
            <w:r>
              <w:t>1528.56</w:t>
            </w:r>
          </w:p>
        </w:tc>
        <w:tc>
          <w:tcPr>
            <w:tcW w:w="1474" w:type="dxa"/>
            <w:vAlign w:val="center"/>
          </w:tcPr>
          <w:p>
            <w:pPr>
              <w:pStyle w:val="18"/>
            </w:pPr>
            <w:r>
              <w:t>1377.56</w:t>
            </w:r>
          </w:p>
        </w:tc>
        <w:tc>
          <w:tcPr>
            <w:tcW w:w="1474" w:type="dxa"/>
            <w:vAlign w:val="center"/>
          </w:tcPr>
          <w:p>
            <w:pPr>
              <w:pStyle w:val="18"/>
            </w:pPr>
            <w:r>
              <w:t>151.00</w:t>
            </w: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1377.56</w:t>
            </w:r>
          </w:p>
        </w:tc>
        <w:tc>
          <w:tcPr>
            <w:tcW w:w="2551" w:type="dxa"/>
            <w:vAlign w:val="center"/>
          </w:tcPr>
          <w:p>
            <w:pPr>
              <w:pStyle w:val="18"/>
            </w:pPr>
            <w:r>
              <w:t>941.70</w:t>
            </w:r>
          </w:p>
        </w:tc>
        <w:tc>
          <w:tcPr>
            <w:tcW w:w="2551" w:type="dxa"/>
            <w:vAlign w:val="center"/>
          </w:tcPr>
          <w:p>
            <w:pPr>
              <w:pStyle w:val="18"/>
            </w:pPr>
            <w:r>
              <w:t>435.86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52.50</w:t>
            </w:r>
          </w:p>
        </w:tc>
        <w:tc>
          <w:tcPr>
            <w:tcW w:w="2551" w:type="dxa"/>
            <w:vAlign w:val="center"/>
          </w:tcPr>
          <w:p>
            <w:pPr>
              <w:pStyle w:val="14"/>
            </w:pPr>
          </w:p>
        </w:tc>
        <w:tc>
          <w:tcPr>
            <w:tcW w:w="2551" w:type="dxa"/>
            <w:vAlign w:val="center"/>
          </w:tcPr>
          <w:p>
            <w:pPr>
              <w:pStyle w:val="14"/>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20133</w:t>
            </w:r>
          </w:p>
        </w:tc>
        <w:tc>
          <w:tcPr>
            <w:tcW w:w="4535" w:type="dxa"/>
            <w:vAlign w:val="center"/>
          </w:tcPr>
          <w:p>
            <w:pPr>
              <w:pStyle w:val="15"/>
            </w:pPr>
            <w:r>
              <w:t>宣传事务</w:t>
            </w:r>
          </w:p>
        </w:tc>
        <w:tc>
          <w:tcPr>
            <w:tcW w:w="2551" w:type="dxa"/>
            <w:vAlign w:val="center"/>
          </w:tcPr>
          <w:p>
            <w:pPr>
              <w:pStyle w:val="14"/>
            </w:pPr>
            <w:r>
              <w:t>52.50</w:t>
            </w:r>
          </w:p>
        </w:tc>
        <w:tc>
          <w:tcPr>
            <w:tcW w:w="2551" w:type="dxa"/>
            <w:vAlign w:val="center"/>
          </w:tcPr>
          <w:p>
            <w:pPr>
              <w:pStyle w:val="14"/>
            </w:pPr>
          </w:p>
        </w:tc>
        <w:tc>
          <w:tcPr>
            <w:tcW w:w="2551" w:type="dxa"/>
            <w:vAlign w:val="center"/>
          </w:tcPr>
          <w:p>
            <w:pPr>
              <w:pStyle w:val="14"/>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2013350</w:t>
            </w:r>
          </w:p>
        </w:tc>
        <w:tc>
          <w:tcPr>
            <w:tcW w:w="4535" w:type="dxa"/>
            <w:vAlign w:val="center"/>
          </w:tcPr>
          <w:p>
            <w:pPr>
              <w:pStyle w:val="15"/>
            </w:pPr>
            <w:r>
              <w:t>事业运行</w:t>
            </w:r>
          </w:p>
        </w:tc>
        <w:tc>
          <w:tcPr>
            <w:tcW w:w="2551" w:type="dxa"/>
            <w:vAlign w:val="center"/>
          </w:tcPr>
          <w:p>
            <w:pPr>
              <w:pStyle w:val="14"/>
            </w:pPr>
            <w:r>
              <w:t>52.50</w:t>
            </w:r>
          </w:p>
        </w:tc>
        <w:tc>
          <w:tcPr>
            <w:tcW w:w="2551" w:type="dxa"/>
            <w:vAlign w:val="center"/>
          </w:tcPr>
          <w:p>
            <w:pPr>
              <w:pStyle w:val="14"/>
            </w:pPr>
          </w:p>
        </w:tc>
        <w:tc>
          <w:tcPr>
            <w:tcW w:w="2551" w:type="dxa"/>
            <w:vAlign w:val="center"/>
          </w:tcPr>
          <w:p>
            <w:pPr>
              <w:pStyle w:val="14"/>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207</w:t>
            </w:r>
          </w:p>
        </w:tc>
        <w:tc>
          <w:tcPr>
            <w:tcW w:w="4535" w:type="dxa"/>
            <w:vAlign w:val="center"/>
          </w:tcPr>
          <w:p>
            <w:pPr>
              <w:pStyle w:val="15"/>
            </w:pPr>
            <w:r>
              <w:t>文化旅游体育与传媒支出</w:t>
            </w:r>
          </w:p>
        </w:tc>
        <w:tc>
          <w:tcPr>
            <w:tcW w:w="2551" w:type="dxa"/>
            <w:vAlign w:val="center"/>
          </w:tcPr>
          <w:p>
            <w:pPr>
              <w:pStyle w:val="14"/>
            </w:pPr>
            <w:r>
              <w:t>1325.06</w:t>
            </w:r>
          </w:p>
        </w:tc>
        <w:tc>
          <w:tcPr>
            <w:tcW w:w="2551" w:type="dxa"/>
            <w:vAlign w:val="center"/>
          </w:tcPr>
          <w:p>
            <w:pPr>
              <w:pStyle w:val="14"/>
            </w:pPr>
            <w:r>
              <w:t>941.70</w:t>
            </w:r>
          </w:p>
        </w:tc>
        <w:tc>
          <w:tcPr>
            <w:tcW w:w="2551" w:type="dxa"/>
            <w:vAlign w:val="center"/>
          </w:tcPr>
          <w:p>
            <w:pPr>
              <w:pStyle w:val="14"/>
            </w:pPr>
            <w:r>
              <w:t>383.36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20706</w:t>
            </w:r>
          </w:p>
        </w:tc>
        <w:tc>
          <w:tcPr>
            <w:tcW w:w="4535" w:type="dxa"/>
            <w:vAlign w:val="center"/>
          </w:tcPr>
          <w:p>
            <w:pPr>
              <w:pStyle w:val="15"/>
            </w:pPr>
            <w:r>
              <w:t>新闻出版电影</w:t>
            </w:r>
          </w:p>
        </w:tc>
        <w:tc>
          <w:tcPr>
            <w:tcW w:w="2551" w:type="dxa"/>
            <w:vAlign w:val="center"/>
          </w:tcPr>
          <w:p>
            <w:pPr>
              <w:pStyle w:val="14"/>
            </w:pPr>
            <w:r>
              <w:t>1319.04</w:t>
            </w:r>
          </w:p>
        </w:tc>
        <w:tc>
          <w:tcPr>
            <w:tcW w:w="2551" w:type="dxa"/>
            <w:vAlign w:val="center"/>
          </w:tcPr>
          <w:p>
            <w:pPr>
              <w:pStyle w:val="14"/>
            </w:pPr>
            <w:r>
              <w:t>941.70</w:t>
            </w:r>
          </w:p>
        </w:tc>
        <w:tc>
          <w:tcPr>
            <w:tcW w:w="2551" w:type="dxa"/>
            <w:vAlign w:val="center"/>
          </w:tcPr>
          <w:p>
            <w:pPr>
              <w:pStyle w:val="14"/>
            </w:pPr>
            <w:r>
              <w:t>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2070604</w:t>
            </w:r>
          </w:p>
        </w:tc>
        <w:tc>
          <w:tcPr>
            <w:tcW w:w="4535" w:type="dxa"/>
            <w:vAlign w:val="center"/>
          </w:tcPr>
          <w:p>
            <w:pPr>
              <w:pStyle w:val="15"/>
            </w:pPr>
            <w:r>
              <w:t>新闻通讯</w:t>
            </w:r>
          </w:p>
        </w:tc>
        <w:tc>
          <w:tcPr>
            <w:tcW w:w="2551" w:type="dxa"/>
            <w:vAlign w:val="center"/>
          </w:tcPr>
          <w:p>
            <w:pPr>
              <w:pStyle w:val="14"/>
            </w:pPr>
            <w:r>
              <w:t>1319.04</w:t>
            </w:r>
          </w:p>
        </w:tc>
        <w:tc>
          <w:tcPr>
            <w:tcW w:w="2551" w:type="dxa"/>
            <w:vAlign w:val="center"/>
          </w:tcPr>
          <w:p>
            <w:pPr>
              <w:pStyle w:val="14"/>
            </w:pPr>
            <w:r>
              <w:t>941.70</w:t>
            </w:r>
          </w:p>
        </w:tc>
        <w:tc>
          <w:tcPr>
            <w:tcW w:w="2551" w:type="dxa"/>
            <w:vAlign w:val="center"/>
          </w:tcPr>
          <w:p>
            <w:pPr>
              <w:pStyle w:val="14"/>
            </w:pPr>
            <w:r>
              <w:t>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20799</w:t>
            </w:r>
          </w:p>
        </w:tc>
        <w:tc>
          <w:tcPr>
            <w:tcW w:w="4535" w:type="dxa"/>
            <w:vAlign w:val="center"/>
          </w:tcPr>
          <w:p>
            <w:pPr>
              <w:pStyle w:val="15"/>
            </w:pPr>
            <w:r>
              <w:t>其他文化旅游体育与传媒支出</w:t>
            </w:r>
          </w:p>
        </w:tc>
        <w:tc>
          <w:tcPr>
            <w:tcW w:w="2551" w:type="dxa"/>
            <w:vAlign w:val="center"/>
          </w:tcPr>
          <w:p>
            <w:pPr>
              <w:pStyle w:val="14"/>
            </w:pPr>
            <w:r>
              <w:t>6.02</w:t>
            </w:r>
          </w:p>
        </w:tc>
        <w:tc>
          <w:tcPr>
            <w:tcW w:w="2551" w:type="dxa"/>
            <w:vAlign w:val="center"/>
          </w:tcPr>
          <w:p>
            <w:pPr>
              <w:pStyle w:val="14"/>
            </w:pPr>
          </w:p>
        </w:tc>
        <w:tc>
          <w:tcPr>
            <w:tcW w:w="2551" w:type="dxa"/>
            <w:vAlign w:val="center"/>
          </w:tcPr>
          <w:p>
            <w:pPr>
              <w:pStyle w:val="14"/>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2079999</w:t>
            </w:r>
          </w:p>
        </w:tc>
        <w:tc>
          <w:tcPr>
            <w:tcW w:w="4535" w:type="dxa"/>
            <w:vAlign w:val="center"/>
          </w:tcPr>
          <w:p>
            <w:pPr>
              <w:pStyle w:val="15"/>
            </w:pPr>
            <w:r>
              <w:t>其他文化旅游体育与传媒支出</w:t>
            </w:r>
          </w:p>
        </w:tc>
        <w:tc>
          <w:tcPr>
            <w:tcW w:w="2551" w:type="dxa"/>
            <w:vAlign w:val="center"/>
          </w:tcPr>
          <w:p>
            <w:pPr>
              <w:pStyle w:val="14"/>
            </w:pPr>
            <w:r>
              <w:t>6.02</w:t>
            </w:r>
          </w:p>
        </w:tc>
        <w:tc>
          <w:tcPr>
            <w:tcW w:w="2551" w:type="dxa"/>
            <w:vAlign w:val="center"/>
          </w:tcPr>
          <w:p>
            <w:pPr>
              <w:pStyle w:val="14"/>
            </w:pPr>
          </w:p>
        </w:tc>
        <w:tc>
          <w:tcPr>
            <w:tcW w:w="2551" w:type="dxa"/>
            <w:vAlign w:val="center"/>
          </w:tcPr>
          <w:p>
            <w:pPr>
              <w:pStyle w:val="14"/>
            </w:pPr>
            <w:r>
              <w:t>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941.70</w:t>
            </w:r>
          </w:p>
        </w:tc>
        <w:tc>
          <w:tcPr>
            <w:tcW w:w="2551" w:type="dxa"/>
            <w:vAlign w:val="center"/>
          </w:tcPr>
          <w:p>
            <w:pPr>
              <w:pStyle w:val="18"/>
            </w:pPr>
            <w:r>
              <w:t>909.92</w:t>
            </w:r>
          </w:p>
        </w:tc>
        <w:tc>
          <w:tcPr>
            <w:tcW w:w="2551" w:type="dxa"/>
            <w:vAlign w:val="center"/>
          </w:tcPr>
          <w:p>
            <w:pPr>
              <w:pStyle w:val="18"/>
            </w:pPr>
            <w:r>
              <w:t>31.78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730.49</w:t>
            </w:r>
          </w:p>
        </w:tc>
        <w:tc>
          <w:tcPr>
            <w:tcW w:w="2551" w:type="dxa"/>
            <w:vAlign w:val="center"/>
          </w:tcPr>
          <w:p>
            <w:pPr>
              <w:pStyle w:val="14"/>
            </w:pPr>
            <w:r>
              <w:t>730.49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179.38</w:t>
            </w:r>
          </w:p>
        </w:tc>
        <w:tc>
          <w:tcPr>
            <w:tcW w:w="2551" w:type="dxa"/>
            <w:vAlign w:val="center"/>
          </w:tcPr>
          <w:p>
            <w:pPr>
              <w:pStyle w:val="14"/>
            </w:pPr>
            <w:r>
              <w:t>179.38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85.48</w:t>
            </w:r>
          </w:p>
        </w:tc>
        <w:tc>
          <w:tcPr>
            <w:tcW w:w="2551" w:type="dxa"/>
            <w:vAlign w:val="center"/>
          </w:tcPr>
          <w:p>
            <w:pPr>
              <w:pStyle w:val="14"/>
            </w:pPr>
            <w:r>
              <w:t>85.48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0.58</w:t>
            </w:r>
          </w:p>
        </w:tc>
        <w:tc>
          <w:tcPr>
            <w:tcW w:w="2551" w:type="dxa"/>
            <w:vAlign w:val="center"/>
          </w:tcPr>
          <w:p>
            <w:pPr>
              <w:pStyle w:val="14"/>
            </w:pPr>
            <w:r>
              <w:t>0.58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238.72</w:t>
            </w:r>
          </w:p>
        </w:tc>
        <w:tc>
          <w:tcPr>
            <w:tcW w:w="2551" w:type="dxa"/>
            <w:vAlign w:val="center"/>
          </w:tcPr>
          <w:p>
            <w:pPr>
              <w:pStyle w:val="14"/>
            </w:pPr>
            <w:r>
              <w:t>238.72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82.44</w:t>
            </w:r>
          </w:p>
        </w:tc>
        <w:tc>
          <w:tcPr>
            <w:tcW w:w="2551" w:type="dxa"/>
            <w:vAlign w:val="center"/>
          </w:tcPr>
          <w:p>
            <w:pPr>
              <w:pStyle w:val="14"/>
            </w:pPr>
            <w:r>
              <w:t>82.44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28.67</w:t>
            </w:r>
          </w:p>
        </w:tc>
        <w:tc>
          <w:tcPr>
            <w:tcW w:w="2551" w:type="dxa"/>
            <w:vAlign w:val="center"/>
          </w:tcPr>
          <w:p>
            <w:pPr>
              <w:pStyle w:val="14"/>
            </w:pPr>
            <w:r>
              <w:t>28.67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22.18</w:t>
            </w:r>
          </w:p>
        </w:tc>
        <w:tc>
          <w:tcPr>
            <w:tcW w:w="2551" w:type="dxa"/>
            <w:vAlign w:val="center"/>
          </w:tcPr>
          <w:p>
            <w:pPr>
              <w:pStyle w:val="14"/>
            </w:pPr>
            <w:r>
              <w:t>22.18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30.07</w:t>
            </w:r>
          </w:p>
        </w:tc>
        <w:tc>
          <w:tcPr>
            <w:tcW w:w="2551" w:type="dxa"/>
            <w:vAlign w:val="center"/>
          </w:tcPr>
          <w:p>
            <w:pPr>
              <w:pStyle w:val="14"/>
            </w:pPr>
            <w:r>
              <w:t>30.07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62.97</w:t>
            </w:r>
          </w:p>
        </w:tc>
        <w:tc>
          <w:tcPr>
            <w:tcW w:w="2551" w:type="dxa"/>
            <w:vAlign w:val="center"/>
          </w:tcPr>
          <w:p>
            <w:pPr>
              <w:pStyle w:val="14"/>
            </w:pPr>
            <w:r>
              <w:t>62.97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31.78</w:t>
            </w:r>
          </w:p>
        </w:tc>
        <w:tc>
          <w:tcPr>
            <w:tcW w:w="2551" w:type="dxa"/>
            <w:vAlign w:val="center"/>
          </w:tcPr>
          <w:p>
            <w:pPr>
              <w:pStyle w:val="14"/>
            </w:pPr>
          </w:p>
        </w:tc>
        <w:tc>
          <w:tcPr>
            <w:tcW w:w="2551" w:type="dxa"/>
            <w:vAlign w:val="center"/>
          </w:tcPr>
          <w:p>
            <w:pPr>
              <w:pStyle w:val="14"/>
            </w:pPr>
            <w:r>
              <w:t>31.78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11.00</w:t>
            </w:r>
          </w:p>
        </w:tc>
        <w:tc>
          <w:tcPr>
            <w:tcW w:w="2551" w:type="dxa"/>
            <w:vAlign w:val="center"/>
          </w:tcPr>
          <w:p>
            <w:pPr>
              <w:pStyle w:val="14"/>
            </w:pPr>
          </w:p>
        </w:tc>
        <w:tc>
          <w:tcPr>
            <w:tcW w:w="2551" w:type="dxa"/>
            <w:vAlign w:val="center"/>
          </w:tcPr>
          <w:p>
            <w:pPr>
              <w:pStyle w:val="14"/>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1.20</w:t>
            </w:r>
          </w:p>
        </w:tc>
        <w:tc>
          <w:tcPr>
            <w:tcW w:w="2551" w:type="dxa"/>
            <w:vAlign w:val="center"/>
          </w:tcPr>
          <w:p>
            <w:pPr>
              <w:pStyle w:val="14"/>
            </w:pPr>
          </w:p>
        </w:tc>
        <w:tc>
          <w:tcPr>
            <w:tcW w:w="2551"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30209</w:t>
            </w:r>
          </w:p>
        </w:tc>
        <w:tc>
          <w:tcPr>
            <w:tcW w:w="4535" w:type="dxa"/>
            <w:vAlign w:val="center"/>
          </w:tcPr>
          <w:p>
            <w:pPr>
              <w:pStyle w:val="15"/>
            </w:pPr>
            <w:r>
              <w:t>物业管理费</w:t>
            </w:r>
          </w:p>
        </w:tc>
        <w:tc>
          <w:tcPr>
            <w:tcW w:w="2551" w:type="dxa"/>
            <w:vAlign w:val="center"/>
          </w:tcPr>
          <w:p>
            <w:pPr>
              <w:pStyle w:val="14"/>
            </w:pPr>
            <w:r>
              <w:t>3.60</w:t>
            </w:r>
          </w:p>
        </w:tc>
        <w:tc>
          <w:tcPr>
            <w:tcW w:w="2551" w:type="dxa"/>
            <w:vAlign w:val="center"/>
          </w:tcPr>
          <w:p>
            <w:pPr>
              <w:pStyle w:val="14"/>
            </w:pPr>
          </w:p>
        </w:tc>
        <w:tc>
          <w:tcPr>
            <w:tcW w:w="2551" w:type="dxa"/>
            <w:vAlign w:val="center"/>
          </w:tcPr>
          <w:p>
            <w:pPr>
              <w:pStyle w:val="14"/>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5.02</w:t>
            </w:r>
          </w:p>
        </w:tc>
        <w:tc>
          <w:tcPr>
            <w:tcW w:w="2551" w:type="dxa"/>
            <w:vAlign w:val="center"/>
          </w:tcPr>
          <w:p>
            <w:pPr>
              <w:pStyle w:val="14"/>
            </w:pPr>
          </w:p>
        </w:tc>
        <w:tc>
          <w:tcPr>
            <w:tcW w:w="2551" w:type="dxa"/>
            <w:vAlign w:val="center"/>
          </w:tcPr>
          <w:p>
            <w:pPr>
              <w:pStyle w:val="14"/>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4.48</w:t>
            </w:r>
          </w:p>
        </w:tc>
        <w:tc>
          <w:tcPr>
            <w:tcW w:w="2551" w:type="dxa"/>
            <w:vAlign w:val="center"/>
          </w:tcPr>
          <w:p>
            <w:pPr>
              <w:pStyle w:val="14"/>
            </w:pPr>
          </w:p>
        </w:tc>
        <w:tc>
          <w:tcPr>
            <w:tcW w:w="2551" w:type="dxa"/>
            <w:vAlign w:val="center"/>
          </w:tcPr>
          <w:p>
            <w:pPr>
              <w:pStyle w:val="14"/>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1.98</w:t>
            </w:r>
          </w:p>
        </w:tc>
        <w:tc>
          <w:tcPr>
            <w:tcW w:w="2551" w:type="dxa"/>
            <w:vAlign w:val="center"/>
          </w:tcPr>
          <w:p>
            <w:pPr>
              <w:pStyle w:val="14"/>
            </w:pPr>
          </w:p>
        </w:tc>
        <w:tc>
          <w:tcPr>
            <w:tcW w:w="2551" w:type="dxa"/>
            <w:vAlign w:val="center"/>
          </w:tcPr>
          <w:p>
            <w:pPr>
              <w:pStyle w:val="14"/>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0.60</w:t>
            </w:r>
          </w:p>
        </w:tc>
        <w:tc>
          <w:tcPr>
            <w:tcW w:w="2551" w:type="dxa"/>
            <w:vAlign w:val="center"/>
          </w:tcPr>
          <w:p>
            <w:pPr>
              <w:pStyle w:val="14"/>
            </w:pPr>
          </w:p>
        </w:tc>
        <w:tc>
          <w:tcPr>
            <w:tcW w:w="2551"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2.90</w:t>
            </w:r>
          </w:p>
        </w:tc>
        <w:tc>
          <w:tcPr>
            <w:tcW w:w="2551" w:type="dxa"/>
            <w:vAlign w:val="center"/>
          </w:tcPr>
          <w:p>
            <w:pPr>
              <w:pStyle w:val="14"/>
            </w:pPr>
          </w:p>
        </w:tc>
        <w:tc>
          <w:tcPr>
            <w:tcW w:w="2551" w:type="dxa"/>
            <w:vAlign w:val="center"/>
          </w:tcPr>
          <w:p>
            <w:pPr>
              <w:pStyle w:val="14"/>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179.43</w:t>
            </w:r>
          </w:p>
        </w:tc>
        <w:tc>
          <w:tcPr>
            <w:tcW w:w="2551" w:type="dxa"/>
            <w:vAlign w:val="center"/>
          </w:tcPr>
          <w:p>
            <w:pPr>
              <w:pStyle w:val="14"/>
            </w:pPr>
            <w:r>
              <w:t>179.43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177.45</w:t>
            </w:r>
          </w:p>
        </w:tc>
        <w:tc>
          <w:tcPr>
            <w:tcW w:w="2551" w:type="dxa"/>
            <w:vAlign w:val="center"/>
          </w:tcPr>
          <w:p>
            <w:pPr>
              <w:pStyle w:val="14"/>
            </w:pPr>
            <w:r>
              <w:t>177.45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1.94</w:t>
            </w:r>
          </w:p>
        </w:tc>
        <w:tc>
          <w:tcPr>
            <w:tcW w:w="2551" w:type="dxa"/>
            <w:vAlign w:val="center"/>
          </w:tcPr>
          <w:p>
            <w:pPr>
              <w:pStyle w:val="14"/>
            </w:pPr>
            <w:r>
              <w:t>1.94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0.04</w:t>
            </w:r>
          </w:p>
        </w:tc>
        <w:tc>
          <w:tcPr>
            <w:tcW w:w="2551" w:type="dxa"/>
            <w:vAlign w:val="center"/>
          </w:tcPr>
          <w:p>
            <w:pPr>
              <w:pStyle w:val="14"/>
            </w:pPr>
            <w:r>
              <w:t>0.04</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151.00</w:t>
            </w:r>
          </w:p>
        </w:tc>
        <w:tc>
          <w:tcPr>
            <w:tcW w:w="2551" w:type="dxa"/>
            <w:vAlign w:val="center"/>
          </w:tcPr>
          <w:p>
            <w:pPr>
              <w:pStyle w:val="18"/>
            </w:pPr>
          </w:p>
        </w:tc>
        <w:tc>
          <w:tcPr>
            <w:tcW w:w="2551" w:type="dxa"/>
            <w:vAlign w:val="center"/>
          </w:tcPr>
          <w:p>
            <w:pPr>
              <w:pStyle w:val="18"/>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151.00</w:t>
            </w:r>
          </w:p>
        </w:tc>
        <w:tc>
          <w:tcPr>
            <w:tcW w:w="2551" w:type="dxa"/>
            <w:vAlign w:val="center"/>
          </w:tcPr>
          <w:p>
            <w:pPr>
              <w:pStyle w:val="14"/>
            </w:pPr>
          </w:p>
        </w:tc>
        <w:tc>
          <w:tcPr>
            <w:tcW w:w="2551" w:type="dxa"/>
            <w:vAlign w:val="center"/>
          </w:tcPr>
          <w:p>
            <w:pPr>
              <w:pStyle w:val="14"/>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21208</w:t>
            </w:r>
          </w:p>
        </w:tc>
        <w:tc>
          <w:tcPr>
            <w:tcW w:w="4535" w:type="dxa"/>
            <w:vAlign w:val="center"/>
          </w:tcPr>
          <w:p>
            <w:pPr>
              <w:pStyle w:val="15"/>
            </w:pPr>
            <w:r>
              <w:t>国有土地使用权出让收入安排的支出</w:t>
            </w:r>
          </w:p>
        </w:tc>
        <w:tc>
          <w:tcPr>
            <w:tcW w:w="2551" w:type="dxa"/>
            <w:vAlign w:val="center"/>
          </w:tcPr>
          <w:p>
            <w:pPr>
              <w:pStyle w:val="14"/>
            </w:pPr>
            <w:r>
              <w:t>151.00</w:t>
            </w:r>
          </w:p>
        </w:tc>
        <w:tc>
          <w:tcPr>
            <w:tcW w:w="2551" w:type="dxa"/>
            <w:vAlign w:val="center"/>
          </w:tcPr>
          <w:p>
            <w:pPr>
              <w:pStyle w:val="14"/>
            </w:pPr>
          </w:p>
        </w:tc>
        <w:tc>
          <w:tcPr>
            <w:tcW w:w="2551" w:type="dxa"/>
            <w:vAlign w:val="center"/>
          </w:tcPr>
          <w:p>
            <w:pPr>
              <w:pStyle w:val="14"/>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2120803</w:t>
            </w:r>
          </w:p>
        </w:tc>
        <w:tc>
          <w:tcPr>
            <w:tcW w:w="4535" w:type="dxa"/>
            <w:vAlign w:val="center"/>
          </w:tcPr>
          <w:p>
            <w:pPr>
              <w:pStyle w:val="15"/>
            </w:pPr>
            <w:r>
              <w:t>城市建设支出</w:t>
            </w:r>
          </w:p>
        </w:tc>
        <w:tc>
          <w:tcPr>
            <w:tcW w:w="2551" w:type="dxa"/>
            <w:vAlign w:val="center"/>
          </w:tcPr>
          <w:p>
            <w:pPr>
              <w:pStyle w:val="14"/>
            </w:pPr>
            <w:r>
              <w:t>151.00</w:t>
            </w:r>
          </w:p>
        </w:tc>
        <w:tc>
          <w:tcPr>
            <w:tcW w:w="2551" w:type="dxa"/>
            <w:vAlign w:val="center"/>
          </w:tcPr>
          <w:p>
            <w:pPr>
              <w:pStyle w:val="14"/>
            </w:pPr>
          </w:p>
        </w:tc>
        <w:tc>
          <w:tcPr>
            <w:tcW w:w="2551" w:type="dxa"/>
            <w:vAlign w:val="center"/>
          </w:tcPr>
          <w:p>
            <w:pPr>
              <w:pStyle w:val="14"/>
            </w:pPr>
            <w:r>
              <w:t>151.00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907石家庄市藁城区融媒体中心</w:t>
            </w:r>
          </w:p>
        </w:tc>
        <w:tc>
          <w:tcPr>
            <w:tcW w:w="2381"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pStyle w:val="13"/>
            </w:pPr>
          </w:p>
        </w:tc>
        <w:tc>
          <w:tcPr>
            <w:tcW w:w="3798" w:type="dxa"/>
            <w:vMerge w:val="continue"/>
          </w:tcPr>
          <w:p>
            <w:pPr>
              <w:pStyle w:val="13"/>
            </w:p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8"/>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4"/>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rPr>
                <w:rFonts w:hint="eastAsia"/>
                <w:lang w:eastAsia="zh-CN"/>
              </w:rPr>
            </w:pPr>
            <w:r>
              <w:rPr>
                <w:rFonts w:hint="eastAsia"/>
                <w:lang w:eastAsia="zh-CN"/>
              </w:rPr>
              <w:t>1</w:t>
            </w:r>
            <w:r>
              <w:rPr>
                <w:lang w:eastAsia="zh-CN"/>
              </w:rPr>
              <w:t>.98</w:t>
            </w:r>
          </w:p>
        </w:tc>
        <w:tc>
          <w:tcPr>
            <w:tcW w:w="2381" w:type="dxa"/>
            <w:vAlign w:val="center"/>
          </w:tcPr>
          <w:p>
            <w:pPr>
              <w:pStyle w:val="14"/>
              <w:rPr>
                <w:rFonts w:hint="eastAsia"/>
                <w:lang w:eastAsia="zh-CN"/>
              </w:rPr>
            </w:pPr>
            <w:r>
              <w:rPr>
                <w:rFonts w:hint="eastAsia"/>
                <w:lang w:eastAsia="zh-CN"/>
              </w:rPr>
              <w:t>1</w:t>
            </w:r>
            <w:r>
              <w:rPr>
                <w:lang w:eastAsia="zh-CN"/>
              </w:rPr>
              <w:t>.98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1.98</w:t>
            </w:r>
          </w:p>
        </w:tc>
        <w:tc>
          <w:tcPr>
            <w:tcW w:w="2381" w:type="dxa"/>
            <w:vAlign w:val="center"/>
          </w:tcPr>
          <w:p>
            <w:pPr>
              <w:pStyle w:val="14"/>
            </w:pPr>
            <w:r>
              <w:t>1.98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石家庄市藁城区融媒体中心2023年部门预算信息公开情</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石家庄市藁城区融媒体中心2024年部门预算信息公开情况说明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按照《中华人民共和国预算法》、《地方预决算公开操作规程》和《关于进一步推进预算公开工作的实施意见》规定，现将石家庄市藁城区融媒体中心2024年部门预算公开如下：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pPr>
        <w:pStyle w:val="2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（二）加快推进藁城区原有纸媒、广电媒体和新媒体的全面融合。</w:t>
      </w:r>
    </w:p>
    <w:p>
      <w:pPr>
        <w:pStyle w:val="2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（三）将融媒体中心打造成“资源通融、内容兼容、宣传互融、利益共融”的新型媒体平台，做大做强主流媒体，从而聚集起海量用户。</w:t>
      </w:r>
    </w:p>
    <w:p>
      <w:pPr>
        <w:pStyle w:val="2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（四）为现代传播体系的形成打下良好基础，不断提高藁城融媒体中心新闻舆论的传播力、引导力、影响力、公信力；通过讲好藁城故事，进一步提升藁城对外的知名度和美誉度。</w:t>
      </w:r>
    </w:p>
    <w:p>
      <w:pPr>
        <w:pStyle w:val="2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（五）贯彻落实党的宣传、创作方针政策，加强本区报纸、电视、网络新媒体阵地管理，把握正确的舆论导向和创作导向。</w:t>
      </w:r>
    </w:p>
    <w:p>
      <w:pPr>
        <w:pStyle w:val="28"/>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（六）完成区委、区政府交办的其他任务。</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石家庄市藁城区融媒体中心本级</w:t>
            </w:r>
          </w:p>
        </w:tc>
        <w:tc>
          <w:tcPr>
            <w:tcW w:w="1843" w:type="dxa"/>
            <w:vAlign w:val="center"/>
          </w:tcPr>
          <w:p>
            <w:pPr>
              <w:pStyle w:val="16"/>
            </w:pPr>
            <w:r>
              <w:t>事业</w:t>
            </w:r>
          </w:p>
        </w:tc>
        <w:tc>
          <w:tcPr>
            <w:tcW w:w="2126" w:type="dxa"/>
            <w:vAlign w:val="center"/>
          </w:tcPr>
          <w:p>
            <w:pPr>
              <w:pStyle w:val="16"/>
            </w:pPr>
            <w:r>
              <w:t>副科级</w:t>
            </w:r>
          </w:p>
        </w:tc>
        <w:tc>
          <w:tcPr>
            <w:tcW w:w="3827" w:type="dxa"/>
            <w:vAlign w:val="center"/>
          </w:tcPr>
          <w:p>
            <w:pPr>
              <w:pStyle w:val="16"/>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1、收入说明</w:t>
      </w:r>
    </w:p>
    <w:p>
      <w:pPr>
        <w:pStyle w:val="21"/>
      </w:pPr>
      <w:r>
        <w:t>反映本部门当年全部收入。2024年预算收入1528.56万元，其中：一般公共预算收入1371.54万元，基金预算收入151万元，财政专户核拨收入0万元，其他来源收入0万元。</w:t>
      </w:r>
    </w:p>
    <w:p>
      <w:pPr>
        <w:pStyle w:val="21"/>
      </w:pPr>
      <w:r>
        <w:t>2、支出说明</w:t>
      </w:r>
    </w:p>
    <w:p>
      <w:pPr>
        <w:pStyle w:val="21"/>
      </w:pPr>
      <w:r>
        <w:t>收支预算总表支出栏、基本支出表、项目支出表按经济分类和支出功能分类科目编制，反映本</w:t>
      </w:r>
      <w:r>
        <w:rPr>
          <w:rFonts w:hint="eastAsia"/>
          <w:lang w:val="en-US" w:eastAsia="zh-CN"/>
        </w:rPr>
        <w:t>部门</w:t>
      </w:r>
      <w:r>
        <w:t>预算中支出预算的总体情况。2024年本部门支出预算为1528.56万元，其中基本支出941.70万元，包括人员经费909.92万元和日常公用经费31.78万元；项目支出586.86万元，主要为电视台运行费30万元，电视台自收自支人员经费306.51万元，供电线路改造10万元，广电中心大楼消防改造61万元，记录小康工程费用1.50万元，劳务派遣人员经费40.83万元，融媒体中心办公经费49.50万元，融媒体中心建设经费70万元，外宣工作专项经费1.50万元，地面数字电视覆盖网建设10万元，年初预算提前下达专款6.02万元；其他支出0万元。</w:t>
      </w:r>
    </w:p>
    <w:p>
      <w:pPr>
        <w:pStyle w:val="21"/>
      </w:pPr>
      <w:r>
        <w:t>3、比上年增减情况</w:t>
      </w:r>
    </w:p>
    <w:p>
      <w:pPr>
        <w:pStyle w:val="21"/>
      </w:pPr>
      <w:r>
        <w:t>2024年本部门预算收支安排1528.56万元，较2023年增加27.34万元，其中：基本支出增加116.75万元，主要是人员增加、工资调整，各项保险基数上调；项目支出减少了89.41万元，主要是各项目预算金额压缩；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bookmarkStart w:id="12" w:name="_Toc_3_3_0000000013"/>
      <w:r>
        <w:t>202</w:t>
      </w:r>
      <w:r>
        <w:rPr>
          <w:rFonts w:hint="eastAsia"/>
          <w:lang w:val="en-US" w:eastAsia="zh-CN"/>
        </w:rPr>
        <w:t>4</w:t>
      </w:r>
      <w:r>
        <w:t>年，本部门机关运行经费共计安排</w:t>
      </w:r>
      <w:r>
        <w:rPr>
          <w:rFonts w:hint="eastAsia"/>
          <w:lang w:val="en-US" w:eastAsia="zh-CN"/>
        </w:rPr>
        <w:t>31.78</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3"/>
      </w:pPr>
      <w:r>
        <w:t>2024年，本部门财政拨款“三公”经费预算安排1.98万元，其中：因公出国（境）费0万元，与上年持平，无增减变化；公务用车购置及运维费1.98万元（其中：公务用车购置费0万元，与上年持平，无增减变化；公务用车运行维护费1.98万元，与上年持平，无增减变化；公务接待费0万元，与上年持平，无增减变化。 “三公”经费与上年持平，无增减变化。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坚持以习近平新时代中国特色社会主义思想为指导，围绕融媒体自身特点，确定“新、智、融、监”职能定位，坚持守正创新，围绕全区工作大局,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原有纸媒、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1、构建融媒体传播格局，着力推进各媒体深度融合发展</w:t>
      </w:r>
    </w:p>
    <w:p>
      <w:pPr>
        <w:pStyle w:val="25"/>
      </w:pPr>
      <w:r>
        <w:t>绩效目标：围绕习近平新时代中国特色社会主义思想和习近平总书记重要讲话精神、围绕区委、区政府中心工作，做好重大主题、重大事件和重要节点宣传报道，积极配合上级开展的各项宣传专项检查，确保意识形态阵地安全。</w:t>
      </w:r>
    </w:p>
    <w:p>
      <w:pPr>
        <w:pStyle w:val="25"/>
      </w:pPr>
      <w:r>
        <w:t>绩效指标：围绕全面建成小康社会、生态环境保护以及区政府各项工作部署开展的宣传报道。积极向上级部门推荐优秀新闻作品，提高主题主线宣传报道质量水平。遵循互联网发展规律，拓展党的路线、方针和政策宣传渠道和空间，围绕区委、区政府的中心工作和重大决策，通过掌中藁城微信公众号、APP手机客户端、手机网络数字报、抖音、报纸、电视等多角度、多渠道宣传报道，让融媒体在弘扬主旋律、展现正能量中发挥更大作用，在3个大平台上，宣发更多优秀作品，达到5%的增长。</w:t>
      </w:r>
    </w:p>
    <w:p>
      <w:pPr>
        <w:pStyle w:val="25"/>
      </w:pPr>
      <w:r>
        <w:t>2.魅力融媒体，着力推动精品生产</w:t>
      </w:r>
    </w:p>
    <w:p>
      <w:pPr>
        <w:pStyle w:val="25"/>
      </w:pPr>
      <w:r>
        <w:t>绩效目标：坚持以人民为中心的创作导向，抓好选题策划，打造更多优质专题片、广播电视节目，引导提升公益广告制作能力，推动网络视听节目向精品化发展。</w:t>
      </w:r>
    </w:p>
    <w:p>
      <w:pPr>
        <w:pStyle w:val="25"/>
      </w:pPr>
      <w:r>
        <w:t>绩效指标：深入实施“新时代精品”工程。抓好重大现实、重大革命、重大历史题材创作生产。积极开展纪录片、专题片策划、拍摄工作，确保提质量、出精品。提高公益广告制作水平，推选优秀新闻作品、节目栏目、纪录片进入上级推优目录。创作出更多具有藁城特色、反映藁城内涵、讲好藁城故事的网络视听精品，本年度开通专栏数60，预计明年突破70.</w:t>
      </w:r>
    </w:p>
    <w:p>
      <w:pPr>
        <w:pStyle w:val="25"/>
      </w:pPr>
      <w:r>
        <w:t>3.加快优化升级，提升融媒体中心公共服务能力和水平</w:t>
      </w:r>
    </w:p>
    <w:p>
      <w:pPr>
        <w:pStyle w:val="25"/>
      </w:pPr>
      <w:r>
        <w:t>绩效目标：加强基层通讯员队伍建设，进一步提高工作能力和办报水平推进区融媒体中心传播能力建设，加强与其他县级、市级融媒体业务交流；推进实施区公共服务提升工程；聚焦品质藁城建设，做好主题宣传；持续提升融媒体中心公共服务水平和质量。</w:t>
      </w:r>
    </w:p>
    <w:p>
      <w:pPr>
        <w:pStyle w:val="25"/>
      </w:pPr>
      <w:r>
        <w:t>绩效指标：协调推动区内融媒体领域走出去工作，开展项目策划、成果征集宣传，不断提升藁城区文化软实力。按要求下达转播中央、省级、市级广播电视节目有关宣传报道。指导去融媒体中心各部门间统筹工作、认真落实区政府各项工作的宣传、报道，不断提升区融媒体中心公共服务水平和质量，预计明年群众满意度提高5%。</w:t>
      </w:r>
    </w:p>
    <w:p>
      <w:pPr>
        <w:pStyle w:val="25"/>
      </w:pPr>
      <w:r>
        <w:t>4.推进中心建设，树立藁城发展良好形象。</w:t>
      </w:r>
    </w:p>
    <w:p>
      <w:pPr>
        <w:pStyle w:val="25"/>
      </w:pPr>
      <w:r>
        <w:t>绩效目标：推进记录小康工程建设发展，充分展示我区小康社会的伟大历程和辉煌成就。</w:t>
      </w:r>
    </w:p>
    <w:p>
      <w:pPr>
        <w:pStyle w:val="25"/>
      </w:pPr>
      <w:r>
        <w:t>绩效指标：以融媒体中心改革为契机，进一步加强融媒体软硬件环境建设，围绕区委、区政府中心工作拓宽宣传方式，积极调动各方面积极性，深入挖掘先进典型、鲜活事例等，通过报纸、电视、新媒体等媒介开创各种品牌栏目，多角度、深层次宣传推介藁城小康发展成果，讲好藁城故事，打造藁城名片，树立藁城发展良好形象，本年度对上宣传稿数1500，明年目标增长6%，更好宣传藁城。</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bookmarkStart w:id="20" w:name="_GoBack"/>
      <w:bookmarkEnd w:id="20"/>
    </w:p>
    <w:p>
      <w:pPr>
        <w:pStyle w:val="26"/>
      </w:pPr>
      <w:r>
        <w:t>(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pPr>
        <w:pStyle w:val="26"/>
      </w:pPr>
      <w:r>
        <w:t>(二)加强支出管理。通过优化支出结构、编细编实预算、加快履行政府采购手续、尽快启动项目、及时支付资金、六月底前细化代编预算去报支出进度达标。</w:t>
      </w:r>
    </w:p>
    <w:p>
      <w:pPr>
        <w:pStyle w:val="26"/>
      </w:pPr>
      <w:r>
        <w:t>(三)加强绩效运行监控。按财政要求开展绩效运行监控，对发现的问题及时采取措施整改，调整优化支出结构，提高财政资金使用效益，确保绩效目标如期保质实现。</w:t>
      </w:r>
    </w:p>
    <w:p>
      <w:pPr>
        <w:pStyle w:val="26"/>
      </w:pPr>
      <w:r>
        <w:t>（四）做好绩效自评。按照要求开展上年度部门预算绩效自评和重点评价工作，对评价中发现的问题及时整改，调整优化支出结构，提高财政资金使用效益。</w:t>
      </w:r>
    </w:p>
    <w:p>
      <w:pPr>
        <w:pStyle w:val="26"/>
      </w:pPr>
      <w:r>
        <w:t>（五）规范财务资产管理。完善财务管理制度，严格审批程序，加强固定资产等级、使用和报废处置管理，做到支出合理，物尽其用。</w:t>
      </w:r>
    </w:p>
    <w:p>
      <w:pPr>
        <w:pStyle w:val="26"/>
      </w:pPr>
      <w:r>
        <w:t>(六)加强内部监督。加强内部监督制度建设，逐步实现内部监督制度建设对绩效运行情况，重大支出决策，对会计资料加强内部审计并配合做好审计、财政监督等外部监督工作，确保财政资金安全有效。</w:t>
      </w:r>
    </w:p>
    <w:p>
      <w:pPr>
        <w:pStyle w:val="26"/>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pPr>
      <w:bookmarkStart w:id="15" w:name="_Toc_3_3_0000000016"/>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1、2023年省级公共文化服务体系建设补助资金绩效目标表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13010923P00000110501F</w:t>
            </w:r>
          </w:p>
        </w:tc>
        <w:tc>
          <w:tcPr>
            <w:tcW w:w="2835" w:type="dxa"/>
            <w:vAlign w:val="center"/>
          </w:tcPr>
          <w:p>
            <w:pPr>
              <w:pStyle w:val="13"/>
            </w:pPr>
            <w:r>
              <w:t>项目名称</w:t>
            </w:r>
          </w:p>
        </w:tc>
        <w:tc>
          <w:tcPr>
            <w:tcW w:w="6094" w:type="dxa"/>
            <w:gridSpan w:val="3"/>
            <w:vAlign w:val="center"/>
          </w:tcPr>
          <w:p>
            <w:pPr>
              <w:pStyle w:val="15"/>
            </w:pPr>
            <w:r>
              <w:t>2023年省级公共文化服务体系建设补助资金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6.02</w:t>
            </w:r>
          </w:p>
        </w:tc>
        <w:tc>
          <w:tcPr>
            <w:tcW w:w="2835" w:type="dxa"/>
            <w:vAlign w:val="center"/>
          </w:tcPr>
          <w:p>
            <w:pPr>
              <w:pStyle w:val="13"/>
            </w:pPr>
            <w:r>
              <w:t>其中：财政    资金</w:t>
            </w:r>
          </w:p>
        </w:tc>
        <w:tc>
          <w:tcPr>
            <w:tcW w:w="2551" w:type="dxa"/>
            <w:vAlign w:val="center"/>
          </w:tcPr>
          <w:p>
            <w:pPr>
              <w:pStyle w:val="15"/>
            </w:pPr>
            <w:r>
              <w:t>6.02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站台设备设施运行维护费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站台运行维护补贴数量</w:t>
            </w:r>
          </w:p>
        </w:tc>
        <w:tc>
          <w:tcPr>
            <w:tcW w:w="5386" w:type="dxa"/>
            <w:vAlign w:val="center"/>
          </w:tcPr>
          <w:p>
            <w:pPr>
              <w:pStyle w:val="15"/>
            </w:pPr>
            <w:r>
              <w:t>市财政补助次数</w:t>
            </w:r>
          </w:p>
        </w:tc>
        <w:tc>
          <w:tcPr>
            <w:tcW w:w="2268" w:type="dxa"/>
            <w:vAlign w:val="center"/>
          </w:tcPr>
          <w:p>
            <w:pPr>
              <w:pStyle w:val="15"/>
            </w:pPr>
            <w:r>
              <w:t>1项</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站台运转正常率</w:t>
            </w:r>
          </w:p>
        </w:tc>
        <w:tc>
          <w:tcPr>
            <w:tcW w:w="5386" w:type="dxa"/>
            <w:vAlign w:val="center"/>
          </w:tcPr>
          <w:p>
            <w:pPr>
              <w:pStyle w:val="15"/>
            </w:pPr>
            <w:r>
              <w:t>融媒体中心电视播出情况</w:t>
            </w:r>
          </w:p>
        </w:tc>
        <w:tc>
          <w:tcPr>
            <w:tcW w:w="2268" w:type="dxa"/>
            <w:vAlign w:val="center"/>
          </w:tcPr>
          <w:p>
            <w:pPr>
              <w:pStyle w:val="15"/>
            </w:pPr>
            <w:r>
              <w:t>≥95%</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支付时效</w:t>
            </w:r>
          </w:p>
        </w:tc>
        <w:tc>
          <w:tcPr>
            <w:tcW w:w="5386" w:type="dxa"/>
            <w:vAlign w:val="center"/>
          </w:tcPr>
          <w:p>
            <w:pPr>
              <w:pStyle w:val="15"/>
            </w:pPr>
            <w:r>
              <w:t>资金支付及时率</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5386" w:type="dxa"/>
            <w:vAlign w:val="center"/>
          </w:tcPr>
          <w:p>
            <w:pPr>
              <w:pStyle w:val="15"/>
            </w:pPr>
            <w:r>
              <w:t>市财政补助金额</w:t>
            </w:r>
          </w:p>
        </w:tc>
        <w:tc>
          <w:tcPr>
            <w:tcW w:w="2268" w:type="dxa"/>
            <w:vAlign w:val="center"/>
          </w:tcPr>
          <w:p>
            <w:pPr>
              <w:pStyle w:val="15"/>
            </w:pPr>
            <w:r>
              <w:t>≤6.02万</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基本公共文化覆盖率</w:t>
            </w:r>
          </w:p>
        </w:tc>
        <w:tc>
          <w:tcPr>
            <w:tcW w:w="5386" w:type="dxa"/>
            <w:vAlign w:val="center"/>
          </w:tcPr>
          <w:p>
            <w:pPr>
              <w:pStyle w:val="15"/>
            </w:pPr>
            <w:r>
              <w:t>电视信号以及新媒体等多媒体覆盖率</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群众对国家基本公共文化服务满意度</w:t>
            </w:r>
          </w:p>
        </w:tc>
        <w:tc>
          <w:tcPr>
            <w:tcW w:w="5386" w:type="dxa"/>
            <w:vAlign w:val="center"/>
          </w:tcPr>
          <w:p>
            <w:pPr>
              <w:pStyle w:val="15"/>
            </w:pPr>
            <w:r>
              <w:t>对接收到的文化服务质量满意度</w:t>
            </w:r>
          </w:p>
        </w:tc>
        <w:tc>
          <w:tcPr>
            <w:tcW w:w="2268" w:type="dxa"/>
            <w:vAlign w:val="center"/>
          </w:tcPr>
          <w:p>
            <w:pPr>
              <w:pStyle w:val="15"/>
            </w:pPr>
            <w:r>
              <w:t>≥90%</w:t>
            </w:r>
          </w:p>
        </w:tc>
        <w:tc>
          <w:tcPr>
            <w:tcW w:w="1276" w:type="dxa"/>
            <w:vAlign w:val="center"/>
          </w:tcPr>
          <w:p>
            <w:pPr>
              <w:pStyle w:val="15"/>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2、地面数字电视覆盖网建设绩效目标表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13010924P000002112883</w:t>
            </w:r>
          </w:p>
        </w:tc>
        <w:tc>
          <w:tcPr>
            <w:tcW w:w="2835" w:type="dxa"/>
            <w:vAlign w:val="center"/>
          </w:tcPr>
          <w:p>
            <w:pPr>
              <w:pStyle w:val="13"/>
            </w:pPr>
            <w:r>
              <w:t>项目名称</w:t>
            </w:r>
          </w:p>
        </w:tc>
        <w:tc>
          <w:tcPr>
            <w:tcW w:w="6094" w:type="dxa"/>
            <w:gridSpan w:val="3"/>
            <w:vAlign w:val="center"/>
          </w:tcPr>
          <w:p>
            <w:pPr>
              <w:pStyle w:val="15"/>
            </w:pPr>
            <w:r>
              <w:t>地面数字电视覆盖网建设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支付地面数字电视覆盖网建设合同款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1.建设地面数字覆盖网，提高我区广播电视宣传和公共服务能力</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完成项目数量</w:t>
            </w:r>
          </w:p>
          <w:p>
            <w:pPr>
              <w:pStyle w:val="15"/>
            </w:pPr>
          </w:p>
        </w:tc>
        <w:tc>
          <w:tcPr>
            <w:tcW w:w="5386" w:type="dxa"/>
            <w:vAlign w:val="center"/>
          </w:tcPr>
          <w:p>
            <w:pPr>
              <w:pStyle w:val="15"/>
            </w:pPr>
            <w:r>
              <w:t>完成项目数量</w:t>
            </w:r>
            <w:r>
              <w:tab/>
            </w:r>
          </w:p>
          <w:p>
            <w:pPr>
              <w:pStyle w:val="15"/>
            </w:pPr>
          </w:p>
        </w:tc>
        <w:tc>
          <w:tcPr>
            <w:tcW w:w="2268" w:type="dxa"/>
            <w:vAlign w:val="center"/>
          </w:tcPr>
          <w:p>
            <w:pPr>
              <w:pStyle w:val="15"/>
            </w:pPr>
            <w:r>
              <w:t>≥1个</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验收标准</w:t>
            </w:r>
          </w:p>
          <w:p>
            <w:pPr>
              <w:pStyle w:val="15"/>
            </w:pPr>
          </w:p>
        </w:tc>
        <w:tc>
          <w:tcPr>
            <w:tcW w:w="5386" w:type="dxa"/>
            <w:vAlign w:val="center"/>
          </w:tcPr>
          <w:p>
            <w:pPr>
              <w:pStyle w:val="15"/>
            </w:pPr>
            <w:r>
              <w:t>按合同要求达到验收标准</w:t>
            </w:r>
            <w:r>
              <w:tab/>
            </w:r>
          </w:p>
          <w:p>
            <w:pPr>
              <w:pStyle w:val="15"/>
            </w:pPr>
          </w:p>
        </w:tc>
        <w:tc>
          <w:tcPr>
            <w:tcW w:w="2268" w:type="dxa"/>
            <w:vAlign w:val="center"/>
          </w:tcPr>
          <w:p>
            <w:pPr>
              <w:pStyle w:val="15"/>
            </w:pPr>
            <w:r>
              <w:t>≥99%</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支出时效性</w:t>
            </w:r>
          </w:p>
          <w:p>
            <w:pPr>
              <w:pStyle w:val="15"/>
            </w:pPr>
          </w:p>
        </w:tc>
        <w:tc>
          <w:tcPr>
            <w:tcW w:w="5386" w:type="dxa"/>
            <w:vAlign w:val="center"/>
          </w:tcPr>
          <w:p>
            <w:pPr>
              <w:pStyle w:val="15"/>
            </w:pPr>
            <w:r>
              <w:t>项目完成验收后支付时间</w:t>
            </w:r>
            <w:r>
              <w:tab/>
            </w:r>
          </w:p>
          <w:p>
            <w:pPr>
              <w:pStyle w:val="15"/>
            </w:pPr>
          </w:p>
        </w:tc>
        <w:tc>
          <w:tcPr>
            <w:tcW w:w="2268" w:type="dxa"/>
            <w:vAlign w:val="center"/>
          </w:tcPr>
          <w:p>
            <w:pPr>
              <w:pStyle w:val="15"/>
            </w:pPr>
            <w:r>
              <w:t>1年度</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≤10万元</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公共服务提高</w:t>
            </w:r>
          </w:p>
          <w:p>
            <w:pPr>
              <w:pStyle w:val="15"/>
            </w:pPr>
          </w:p>
        </w:tc>
        <w:tc>
          <w:tcPr>
            <w:tcW w:w="5386" w:type="dxa"/>
            <w:vAlign w:val="center"/>
          </w:tcPr>
          <w:p>
            <w:pPr>
              <w:pStyle w:val="15"/>
            </w:pPr>
            <w:r>
              <w:t>推荐我区广播电视宣传和公共服务</w:t>
            </w:r>
            <w:r>
              <w:tab/>
            </w:r>
          </w:p>
          <w:p>
            <w:pPr>
              <w:pStyle w:val="15"/>
            </w:pPr>
          </w:p>
        </w:tc>
        <w:tc>
          <w:tcPr>
            <w:tcW w:w="2268" w:type="dxa"/>
            <w:vAlign w:val="center"/>
          </w:tcPr>
          <w:p>
            <w:pPr>
              <w:pStyle w:val="15"/>
            </w:pPr>
            <w:r>
              <w:t>推荐我区广播电视宣传和公共服务</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受益对象满意度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≥90%</w:t>
            </w:r>
          </w:p>
          <w:p>
            <w:pPr>
              <w:pStyle w:val="15"/>
            </w:pP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3、电视台运行费绩效目标表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13010924P00000211282D</w:t>
            </w:r>
          </w:p>
        </w:tc>
        <w:tc>
          <w:tcPr>
            <w:tcW w:w="2835" w:type="dxa"/>
            <w:vAlign w:val="center"/>
          </w:tcPr>
          <w:p>
            <w:pPr>
              <w:pStyle w:val="13"/>
            </w:pPr>
            <w:r>
              <w:t>项目名称</w:t>
            </w:r>
          </w:p>
        </w:tc>
        <w:tc>
          <w:tcPr>
            <w:tcW w:w="6094" w:type="dxa"/>
            <w:gridSpan w:val="3"/>
            <w:vAlign w:val="center"/>
          </w:tcPr>
          <w:p>
            <w:pPr>
              <w:pStyle w:val="15"/>
            </w:pPr>
            <w:r>
              <w:t>电视台运行费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主要用于支付融媒体中心临聘人员工资、社保等办公费用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70%</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1.用于临聘人员工资，补充日常办公费用不足部分，确保中心工作正常进行</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临聘人员数量</w:t>
            </w:r>
          </w:p>
          <w:p>
            <w:pPr>
              <w:pStyle w:val="15"/>
            </w:pPr>
          </w:p>
        </w:tc>
        <w:tc>
          <w:tcPr>
            <w:tcW w:w="5386" w:type="dxa"/>
            <w:vAlign w:val="center"/>
          </w:tcPr>
          <w:p>
            <w:pPr>
              <w:pStyle w:val="15"/>
            </w:pPr>
            <w:r>
              <w:t>中心临聘人员数量</w:t>
            </w:r>
            <w:r>
              <w:tab/>
            </w:r>
          </w:p>
          <w:p>
            <w:pPr>
              <w:pStyle w:val="15"/>
            </w:pPr>
          </w:p>
        </w:tc>
        <w:tc>
          <w:tcPr>
            <w:tcW w:w="2268" w:type="dxa"/>
            <w:vAlign w:val="center"/>
          </w:tcPr>
          <w:p>
            <w:pPr>
              <w:pStyle w:val="15"/>
            </w:pPr>
            <w:r>
              <w:t>≤9人</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工作质量完成情况</w:t>
            </w:r>
          </w:p>
          <w:p>
            <w:pPr>
              <w:pStyle w:val="15"/>
            </w:pPr>
          </w:p>
        </w:tc>
        <w:tc>
          <w:tcPr>
            <w:tcW w:w="5386" w:type="dxa"/>
            <w:vAlign w:val="center"/>
          </w:tcPr>
          <w:p>
            <w:pPr>
              <w:pStyle w:val="15"/>
            </w:pPr>
            <w:r>
              <w:t>临聘人员需按照工作、上级要求按时、高质、高效完成工作，单位定期对其工作情况进行考核</w:t>
            </w:r>
            <w:r>
              <w:tab/>
            </w:r>
          </w:p>
          <w:p>
            <w:pPr>
              <w:pStyle w:val="15"/>
            </w:pPr>
          </w:p>
        </w:tc>
        <w:tc>
          <w:tcPr>
            <w:tcW w:w="2268" w:type="dxa"/>
            <w:vAlign w:val="center"/>
          </w:tcPr>
          <w:p>
            <w:pPr>
              <w:pStyle w:val="15"/>
            </w:pPr>
            <w:r>
              <w:t>工作情况</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按时发放工资</w:t>
            </w:r>
          </w:p>
          <w:p>
            <w:pPr>
              <w:pStyle w:val="15"/>
            </w:pPr>
          </w:p>
        </w:tc>
        <w:tc>
          <w:tcPr>
            <w:tcW w:w="5386" w:type="dxa"/>
            <w:vAlign w:val="center"/>
          </w:tcPr>
          <w:p>
            <w:pPr>
              <w:pStyle w:val="15"/>
            </w:pPr>
            <w:r>
              <w:t>根据每月增减人数，每月25号前发放工资</w:t>
            </w:r>
            <w:r>
              <w:tab/>
            </w:r>
          </w:p>
          <w:p>
            <w:pPr>
              <w:pStyle w:val="15"/>
            </w:pPr>
          </w:p>
        </w:tc>
        <w:tc>
          <w:tcPr>
            <w:tcW w:w="2268" w:type="dxa"/>
            <w:vAlign w:val="center"/>
          </w:tcPr>
          <w:p>
            <w:pPr>
              <w:pStyle w:val="15"/>
            </w:pPr>
            <w:r>
              <w:t>早于25号</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按实际发放</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提高工作效率</w:t>
            </w:r>
          </w:p>
          <w:p>
            <w:pPr>
              <w:pStyle w:val="15"/>
            </w:pPr>
          </w:p>
        </w:tc>
        <w:tc>
          <w:tcPr>
            <w:tcW w:w="5386" w:type="dxa"/>
            <w:vAlign w:val="center"/>
          </w:tcPr>
          <w:p>
            <w:pPr>
              <w:pStyle w:val="15"/>
            </w:pPr>
            <w:r>
              <w:t>临聘人员按照工作要求完成各自工作，提高中心总体工作效率</w:t>
            </w:r>
            <w:r>
              <w:tab/>
            </w:r>
          </w:p>
          <w:p>
            <w:pPr>
              <w:pStyle w:val="15"/>
            </w:pPr>
          </w:p>
        </w:tc>
        <w:tc>
          <w:tcPr>
            <w:tcW w:w="2268" w:type="dxa"/>
            <w:vAlign w:val="center"/>
          </w:tcPr>
          <w:p>
            <w:pPr>
              <w:pStyle w:val="15"/>
            </w:pPr>
            <w:r>
              <w:t>提高中心工作效率</w:t>
            </w:r>
          </w:p>
          <w:p>
            <w:pPr>
              <w:pStyle w:val="15"/>
            </w:pP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≥95</w:t>
            </w: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4、电视台自收自支人员经费绩效目标表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13010924P00000211072Y</w:t>
            </w:r>
          </w:p>
        </w:tc>
        <w:tc>
          <w:tcPr>
            <w:tcW w:w="2835" w:type="dxa"/>
            <w:vAlign w:val="center"/>
          </w:tcPr>
          <w:p>
            <w:pPr>
              <w:pStyle w:val="13"/>
            </w:pPr>
            <w:r>
              <w:t>项目名称</w:t>
            </w:r>
          </w:p>
        </w:tc>
        <w:tc>
          <w:tcPr>
            <w:tcW w:w="6094" w:type="dxa"/>
            <w:gridSpan w:val="3"/>
            <w:vAlign w:val="center"/>
          </w:tcPr>
          <w:p>
            <w:pPr>
              <w:pStyle w:val="15"/>
            </w:pPr>
            <w:r>
              <w:t>电视台自收自支人员经费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306.51</w:t>
            </w:r>
          </w:p>
        </w:tc>
        <w:tc>
          <w:tcPr>
            <w:tcW w:w="2835" w:type="dxa"/>
            <w:vAlign w:val="center"/>
          </w:tcPr>
          <w:p>
            <w:pPr>
              <w:pStyle w:val="13"/>
            </w:pPr>
            <w:r>
              <w:t>其中：财政    资金</w:t>
            </w:r>
          </w:p>
        </w:tc>
        <w:tc>
          <w:tcPr>
            <w:tcW w:w="2551" w:type="dxa"/>
            <w:vAlign w:val="center"/>
          </w:tcPr>
          <w:p>
            <w:pPr>
              <w:pStyle w:val="15"/>
            </w:pPr>
            <w:r>
              <w:t>306.51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电视台自收自支人员工资及社保费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1.通过发放电视台自收自支人员工资、缴纳相关保险费用促进人员工作积极性</w:t>
            </w:r>
            <w:r>
              <w:tab/>
            </w:r>
            <w:r>
              <w:tab/>
            </w:r>
            <w:r>
              <w:tab/>
            </w:r>
            <w:r>
              <w:tab/>
            </w:r>
            <w:r>
              <w:tab/>
            </w:r>
            <w:r>
              <w:tab/>
            </w:r>
          </w:p>
          <w:p>
            <w:pPr>
              <w:pStyle w:val="15"/>
            </w:pPr>
          </w:p>
          <w:p>
            <w:pPr>
              <w:pStyle w:val="15"/>
            </w:pPr>
            <w:r>
              <w:t>2.发放自收自支退休人员月度生活补贴及交通补贴</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工资发放人数</w:t>
            </w:r>
          </w:p>
          <w:p>
            <w:pPr>
              <w:pStyle w:val="15"/>
            </w:pPr>
          </w:p>
        </w:tc>
        <w:tc>
          <w:tcPr>
            <w:tcW w:w="5386" w:type="dxa"/>
            <w:vAlign w:val="center"/>
          </w:tcPr>
          <w:p>
            <w:pPr>
              <w:pStyle w:val="15"/>
            </w:pPr>
            <w:r>
              <w:t>实际工资发放人数</w:t>
            </w:r>
            <w:r>
              <w:tab/>
            </w:r>
          </w:p>
          <w:p>
            <w:pPr>
              <w:pStyle w:val="15"/>
            </w:pPr>
          </w:p>
        </w:tc>
        <w:tc>
          <w:tcPr>
            <w:tcW w:w="2268" w:type="dxa"/>
            <w:vAlign w:val="center"/>
          </w:tcPr>
          <w:p>
            <w:pPr>
              <w:pStyle w:val="15"/>
            </w:pPr>
            <w:r>
              <w:t>23人</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各项支付工作完成率</w:t>
            </w:r>
          </w:p>
          <w:p>
            <w:pPr>
              <w:pStyle w:val="15"/>
            </w:pPr>
          </w:p>
        </w:tc>
        <w:tc>
          <w:tcPr>
            <w:tcW w:w="5386" w:type="dxa"/>
            <w:vAlign w:val="center"/>
          </w:tcPr>
          <w:p>
            <w:pPr>
              <w:pStyle w:val="15"/>
            </w:pPr>
            <w:r>
              <w:t>按要求支付自收自支人员工资，缴纳五险二金</w:t>
            </w:r>
            <w:r>
              <w:tab/>
            </w:r>
          </w:p>
          <w:p>
            <w:pPr>
              <w:pStyle w:val="15"/>
            </w:pPr>
          </w:p>
        </w:tc>
        <w:tc>
          <w:tcPr>
            <w:tcW w:w="2268" w:type="dxa"/>
            <w:vAlign w:val="center"/>
          </w:tcPr>
          <w:p>
            <w:pPr>
              <w:pStyle w:val="15"/>
            </w:pPr>
            <w:r>
              <w:t>≥98%</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按时发放工资</w:t>
            </w:r>
          </w:p>
          <w:p>
            <w:pPr>
              <w:pStyle w:val="15"/>
            </w:pPr>
          </w:p>
        </w:tc>
        <w:tc>
          <w:tcPr>
            <w:tcW w:w="5386" w:type="dxa"/>
            <w:vAlign w:val="center"/>
          </w:tcPr>
          <w:p>
            <w:pPr>
              <w:pStyle w:val="15"/>
            </w:pPr>
            <w:r>
              <w:t>每月按时发放工资，每月支出及时度</w:t>
            </w:r>
            <w:r>
              <w:tab/>
            </w:r>
          </w:p>
          <w:p>
            <w:pPr>
              <w:pStyle w:val="15"/>
            </w:pPr>
          </w:p>
        </w:tc>
        <w:tc>
          <w:tcPr>
            <w:tcW w:w="2268" w:type="dxa"/>
            <w:vAlign w:val="center"/>
          </w:tcPr>
          <w:p>
            <w:pPr>
              <w:pStyle w:val="15"/>
            </w:pPr>
            <w:r>
              <w:t>月底之前</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p>
            <w:pPr>
              <w:pStyle w:val="15"/>
            </w:pPr>
          </w:p>
        </w:tc>
        <w:tc>
          <w:tcPr>
            <w:tcW w:w="5386" w:type="dxa"/>
            <w:vAlign w:val="center"/>
          </w:tcPr>
          <w:p>
            <w:pPr>
              <w:pStyle w:val="15"/>
            </w:pPr>
            <w:r>
              <w:t>将成本控制在预算内，合理利用预算</w:t>
            </w:r>
            <w:r>
              <w:tab/>
            </w:r>
          </w:p>
          <w:p>
            <w:pPr>
              <w:pStyle w:val="15"/>
            </w:pPr>
          </w:p>
        </w:tc>
        <w:tc>
          <w:tcPr>
            <w:tcW w:w="2268" w:type="dxa"/>
            <w:vAlign w:val="center"/>
          </w:tcPr>
          <w:p>
            <w:pPr>
              <w:pStyle w:val="15"/>
            </w:pPr>
            <w:r>
              <w:t>≤312.3万元</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工作完成情况</w:t>
            </w:r>
          </w:p>
          <w:p>
            <w:pPr>
              <w:pStyle w:val="15"/>
            </w:pPr>
          </w:p>
        </w:tc>
        <w:tc>
          <w:tcPr>
            <w:tcW w:w="5386" w:type="dxa"/>
            <w:vAlign w:val="center"/>
          </w:tcPr>
          <w:p>
            <w:pPr>
              <w:pStyle w:val="15"/>
            </w:pPr>
            <w:r>
              <w:t>相关人员按照工作、上级要求，，按时、高质、高效完成工作，中心领导对工作完成情况进行评价</w:t>
            </w:r>
            <w:r>
              <w:tab/>
            </w:r>
          </w:p>
          <w:p>
            <w:pPr>
              <w:pStyle w:val="15"/>
            </w:pPr>
          </w:p>
        </w:tc>
        <w:tc>
          <w:tcPr>
            <w:tcW w:w="2268" w:type="dxa"/>
            <w:vAlign w:val="center"/>
          </w:tcPr>
          <w:p>
            <w:pPr>
              <w:pStyle w:val="15"/>
            </w:pPr>
            <w:r>
              <w:t>工作完成情况</w:t>
            </w:r>
          </w:p>
          <w:p>
            <w:pPr>
              <w:pStyle w:val="15"/>
            </w:pPr>
          </w:p>
        </w:tc>
        <w:tc>
          <w:tcPr>
            <w:tcW w:w="1276" w:type="dxa"/>
            <w:vAlign w:val="center"/>
          </w:tcPr>
          <w:p>
            <w:pPr>
              <w:pStyle w:val="15"/>
            </w:pPr>
            <w:r>
              <w:t>年初工作计划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≥95%</w:t>
            </w:r>
          </w:p>
          <w:p>
            <w:pPr>
              <w:pStyle w:val="15"/>
            </w:pP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5、供电线路改造绩效目标表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13010924P000002112902</w:t>
            </w:r>
          </w:p>
        </w:tc>
        <w:tc>
          <w:tcPr>
            <w:tcW w:w="2835" w:type="dxa"/>
            <w:vAlign w:val="center"/>
          </w:tcPr>
          <w:p>
            <w:pPr>
              <w:pStyle w:val="13"/>
            </w:pPr>
            <w:r>
              <w:t>项目名称</w:t>
            </w:r>
          </w:p>
        </w:tc>
        <w:tc>
          <w:tcPr>
            <w:tcW w:w="6094" w:type="dxa"/>
            <w:gridSpan w:val="3"/>
            <w:vAlign w:val="center"/>
          </w:tcPr>
          <w:p>
            <w:pPr>
              <w:pStyle w:val="15"/>
            </w:pPr>
            <w:r>
              <w:t>供电线路改造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用于支付供电线路改造合同款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30%</w:t>
            </w:r>
          </w:p>
        </w:tc>
        <w:tc>
          <w:tcPr>
            <w:tcW w:w="2835" w:type="dxa"/>
            <w:vAlign w:val="center"/>
          </w:tcPr>
          <w:p>
            <w:pPr>
              <w:pStyle w:val="16"/>
            </w:pPr>
            <w:r>
              <w:t>60%</w:t>
            </w:r>
          </w:p>
        </w:tc>
        <w:tc>
          <w:tcPr>
            <w:tcW w:w="2551" w:type="dxa"/>
            <w:vAlign w:val="center"/>
          </w:tcPr>
          <w:p>
            <w:pPr>
              <w:pStyle w:val="16"/>
            </w:pPr>
            <w:r>
              <w:t>90%</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1.通过完成供电项目改造后续资金支付保障节目正常播出、各类活动及融媒体工作正常进行</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完成项目数量</w:t>
            </w:r>
          </w:p>
          <w:p>
            <w:pPr>
              <w:pStyle w:val="15"/>
            </w:pPr>
          </w:p>
        </w:tc>
        <w:tc>
          <w:tcPr>
            <w:tcW w:w="5386" w:type="dxa"/>
            <w:vAlign w:val="center"/>
          </w:tcPr>
          <w:p>
            <w:pPr>
              <w:pStyle w:val="15"/>
            </w:pPr>
            <w:r>
              <w:t>完成项目数量</w:t>
            </w:r>
          </w:p>
          <w:p>
            <w:pPr>
              <w:pStyle w:val="15"/>
            </w:pPr>
          </w:p>
        </w:tc>
        <w:tc>
          <w:tcPr>
            <w:tcW w:w="2268" w:type="dxa"/>
            <w:vAlign w:val="center"/>
          </w:tcPr>
          <w:p>
            <w:pPr>
              <w:pStyle w:val="15"/>
            </w:pPr>
            <w:r>
              <w:t>1个</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p>
            <w:pPr>
              <w:pStyle w:val="15"/>
            </w:pPr>
          </w:p>
        </w:tc>
        <w:tc>
          <w:tcPr>
            <w:tcW w:w="5386" w:type="dxa"/>
            <w:vAlign w:val="center"/>
          </w:tcPr>
          <w:p>
            <w:pPr>
              <w:pStyle w:val="15"/>
            </w:pPr>
            <w:r>
              <w:t>工程质量合格率</w:t>
            </w:r>
          </w:p>
          <w:p>
            <w:pPr>
              <w:pStyle w:val="15"/>
            </w:pPr>
          </w:p>
        </w:tc>
        <w:tc>
          <w:tcPr>
            <w:tcW w:w="2268" w:type="dxa"/>
            <w:vAlign w:val="center"/>
          </w:tcPr>
          <w:p>
            <w:pPr>
              <w:pStyle w:val="15"/>
            </w:pPr>
            <w:r>
              <w:t>≥98%</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支出及时性</w:t>
            </w:r>
          </w:p>
          <w:p>
            <w:pPr>
              <w:pStyle w:val="15"/>
            </w:pPr>
          </w:p>
        </w:tc>
        <w:tc>
          <w:tcPr>
            <w:tcW w:w="5386" w:type="dxa"/>
            <w:vAlign w:val="center"/>
          </w:tcPr>
          <w:p>
            <w:pPr>
              <w:pStyle w:val="15"/>
            </w:pPr>
            <w:r>
              <w:t>支出及时性</w:t>
            </w:r>
          </w:p>
          <w:p>
            <w:pPr>
              <w:pStyle w:val="15"/>
            </w:pPr>
          </w:p>
        </w:tc>
        <w:tc>
          <w:tcPr>
            <w:tcW w:w="2268" w:type="dxa"/>
            <w:vAlign w:val="center"/>
          </w:tcPr>
          <w:p>
            <w:pPr>
              <w:pStyle w:val="15"/>
            </w:pPr>
            <w:r>
              <w:t>1年度</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p>
          <w:p>
            <w:pPr>
              <w:pStyle w:val="15"/>
            </w:pPr>
          </w:p>
        </w:tc>
        <w:tc>
          <w:tcPr>
            <w:tcW w:w="2268" w:type="dxa"/>
            <w:vAlign w:val="center"/>
          </w:tcPr>
          <w:p>
            <w:pPr>
              <w:pStyle w:val="15"/>
            </w:pPr>
            <w:r>
              <w:t>≤10万元</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设备使用效果</w:t>
            </w:r>
          </w:p>
          <w:p>
            <w:pPr>
              <w:pStyle w:val="15"/>
            </w:pPr>
          </w:p>
        </w:tc>
        <w:tc>
          <w:tcPr>
            <w:tcW w:w="5386" w:type="dxa"/>
            <w:vAlign w:val="center"/>
          </w:tcPr>
          <w:p>
            <w:pPr>
              <w:pStyle w:val="15"/>
            </w:pPr>
            <w:r>
              <w:t>设备使用效果</w:t>
            </w:r>
          </w:p>
          <w:p>
            <w:pPr>
              <w:pStyle w:val="15"/>
            </w:pPr>
          </w:p>
        </w:tc>
        <w:tc>
          <w:tcPr>
            <w:tcW w:w="2268" w:type="dxa"/>
            <w:vAlign w:val="center"/>
          </w:tcPr>
          <w:p>
            <w:pPr>
              <w:pStyle w:val="15"/>
            </w:pPr>
            <w:r>
              <w:t>≥98%</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p>
            <w:pPr>
              <w:pStyle w:val="15"/>
            </w:pPr>
          </w:p>
        </w:tc>
        <w:tc>
          <w:tcPr>
            <w:tcW w:w="5386" w:type="dxa"/>
            <w:vAlign w:val="center"/>
          </w:tcPr>
          <w:p>
            <w:pPr>
              <w:pStyle w:val="15"/>
            </w:pPr>
            <w:r>
              <w:t>满意度</w:t>
            </w:r>
          </w:p>
          <w:p>
            <w:pPr>
              <w:pStyle w:val="15"/>
            </w:pPr>
          </w:p>
        </w:tc>
        <w:tc>
          <w:tcPr>
            <w:tcW w:w="2268" w:type="dxa"/>
            <w:vAlign w:val="center"/>
          </w:tcPr>
          <w:p>
            <w:pPr>
              <w:pStyle w:val="15"/>
            </w:pPr>
            <w:r>
              <w:t>≥98%</w:t>
            </w:r>
          </w:p>
          <w:p>
            <w:pPr>
              <w:pStyle w:val="15"/>
            </w:pP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6、广电中心大楼消防改造绩效目标表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13010924P00000211291M</w:t>
            </w:r>
          </w:p>
        </w:tc>
        <w:tc>
          <w:tcPr>
            <w:tcW w:w="2835" w:type="dxa"/>
            <w:vAlign w:val="center"/>
          </w:tcPr>
          <w:p>
            <w:pPr>
              <w:pStyle w:val="13"/>
            </w:pPr>
            <w:r>
              <w:t>项目名称</w:t>
            </w:r>
          </w:p>
        </w:tc>
        <w:tc>
          <w:tcPr>
            <w:tcW w:w="6094" w:type="dxa"/>
            <w:gridSpan w:val="3"/>
            <w:vAlign w:val="center"/>
          </w:tcPr>
          <w:p>
            <w:pPr>
              <w:pStyle w:val="15"/>
            </w:pPr>
            <w:r>
              <w:t>广电中心大楼消防改造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61.00</w:t>
            </w:r>
          </w:p>
        </w:tc>
        <w:tc>
          <w:tcPr>
            <w:tcW w:w="2835" w:type="dxa"/>
            <w:vAlign w:val="center"/>
          </w:tcPr>
          <w:p>
            <w:pPr>
              <w:pStyle w:val="13"/>
            </w:pPr>
            <w:r>
              <w:t>其中：财政    资金</w:t>
            </w:r>
          </w:p>
        </w:tc>
        <w:tc>
          <w:tcPr>
            <w:tcW w:w="2551" w:type="dxa"/>
            <w:vAlign w:val="center"/>
          </w:tcPr>
          <w:p>
            <w:pPr>
              <w:pStyle w:val="15"/>
            </w:pPr>
            <w:r>
              <w:t>61.00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支付广电中心大楼消防改造合同款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1.通过广电中心大楼消防改造确保中心大楼安全使用性</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完成项目数量</w:t>
            </w:r>
          </w:p>
          <w:p>
            <w:pPr>
              <w:pStyle w:val="15"/>
            </w:pPr>
          </w:p>
        </w:tc>
        <w:tc>
          <w:tcPr>
            <w:tcW w:w="5386" w:type="dxa"/>
            <w:vAlign w:val="center"/>
          </w:tcPr>
          <w:p>
            <w:pPr>
              <w:pStyle w:val="15"/>
            </w:pPr>
            <w:r>
              <w:t>完成项目数量</w:t>
            </w:r>
            <w:r>
              <w:tab/>
            </w:r>
          </w:p>
          <w:p>
            <w:pPr>
              <w:pStyle w:val="15"/>
            </w:pPr>
          </w:p>
        </w:tc>
        <w:tc>
          <w:tcPr>
            <w:tcW w:w="2268" w:type="dxa"/>
            <w:vAlign w:val="center"/>
          </w:tcPr>
          <w:p>
            <w:pPr>
              <w:pStyle w:val="15"/>
            </w:pPr>
            <w:r>
              <w:t>1个</w:t>
            </w:r>
          </w:p>
          <w:p>
            <w:pPr>
              <w:pStyle w:val="15"/>
            </w:pPr>
          </w:p>
        </w:tc>
        <w:tc>
          <w:tcPr>
            <w:tcW w:w="1276" w:type="dxa"/>
            <w:vAlign w:val="center"/>
          </w:tcPr>
          <w:p>
            <w:pPr>
              <w:pStyle w:val="15"/>
            </w:pPr>
            <w:r>
              <w:t>年度工作依据</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验收质量</w:t>
            </w:r>
          </w:p>
          <w:p>
            <w:pPr>
              <w:pStyle w:val="15"/>
            </w:pPr>
          </w:p>
        </w:tc>
        <w:tc>
          <w:tcPr>
            <w:tcW w:w="5386" w:type="dxa"/>
            <w:vAlign w:val="center"/>
          </w:tcPr>
          <w:p>
            <w:pPr>
              <w:pStyle w:val="15"/>
            </w:pPr>
            <w:r>
              <w:t>项目完成后中心对施工单位完成项目进行验收，验收率</w:t>
            </w:r>
            <w:r>
              <w:tab/>
            </w:r>
          </w:p>
          <w:p>
            <w:pPr>
              <w:pStyle w:val="15"/>
            </w:pPr>
          </w:p>
        </w:tc>
        <w:tc>
          <w:tcPr>
            <w:tcW w:w="2268" w:type="dxa"/>
            <w:vAlign w:val="center"/>
          </w:tcPr>
          <w:p>
            <w:pPr>
              <w:pStyle w:val="15"/>
            </w:pPr>
            <w:r>
              <w:t>≥98%</w:t>
            </w:r>
          </w:p>
          <w:p>
            <w:pPr>
              <w:pStyle w:val="15"/>
            </w:pPr>
          </w:p>
        </w:tc>
        <w:tc>
          <w:tcPr>
            <w:tcW w:w="1276" w:type="dxa"/>
            <w:vAlign w:val="center"/>
          </w:tcPr>
          <w:p>
            <w:pPr>
              <w:pStyle w:val="15"/>
            </w:pPr>
            <w:r>
              <w:t>年度工作依据</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p>
            <w:pPr>
              <w:pStyle w:val="15"/>
            </w:pPr>
          </w:p>
        </w:tc>
        <w:tc>
          <w:tcPr>
            <w:tcW w:w="5386" w:type="dxa"/>
            <w:vAlign w:val="center"/>
          </w:tcPr>
          <w:p>
            <w:pPr>
              <w:pStyle w:val="15"/>
            </w:pPr>
            <w:r>
              <w:t>项目完成时间</w:t>
            </w:r>
            <w:r>
              <w:tab/>
            </w:r>
          </w:p>
          <w:p>
            <w:pPr>
              <w:pStyle w:val="15"/>
            </w:pPr>
          </w:p>
        </w:tc>
        <w:tc>
          <w:tcPr>
            <w:tcW w:w="2268" w:type="dxa"/>
            <w:vAlign w:val="center"/>
          </w:tcPr>
          <w:p>
            <w:pPr>
              <w:pStyle w:val="15"/>
            </w:pPr>
            <w:r>
              <w:t>按合同要求在规定时间内完成项目施工</w:t>
            </w:r>
          </w:p>
          <w:p>
            <w:pPr>
              <w:pStyle w:val="15"/>
            </w:pPr>
          </w:p>
        </w:tc>
        <w:tc>
          <w:tcPr>
            <w:tcW w:w="1276" w:type="dxa"/>
            <w:vAlign w:val="center"/>
          </w:tcPr>
          <w:p>
            <w:pPr>
              <w:pStyle w:val="15"/>
            </w:pPr>
            <w:r>
              <w:t>年度工作依据</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61万元</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长期使用性</w:t>
            </w:r>
          </w:p>
          <w:p>
            <w:pPr>
              <w:pStyle w:val="15"/>
            </w:pPr>
          </w:p>
        </w:tc>
        <w:tc>
          <w:tcPr>
            <w:tcW w:w="5386" w:type="dxa"/>
            <w:vAlign w:val="center"/>
          </w:tcPr>
          <w:p>
            <w:pPr>
              <w:pStyle w:val="15"/>
            </w:pPr>
            <w:r>
              <w:t>大楼消防改造完成后长期使用性</w:t>
            </w:r>
            <w:r>
              <w:tab/>
            </w:r>
          </w:p>
          <w:p>
            <w:pPr>
              <w:pStyle w:val="15"/>
            </w:pPr>
          </w:p>
        </w:tc>
        <w:tc>
          <w:tcPr>
            <w:tcW w:w="2268" w:type="dxa"/>
            <w:vAlign w:val="center"/>
          </w:tcPr>
          <w:p>
            <w:pPr>
              <w:pStyle w:val="15"/>
            </w:pPr>
            <w:r>
              <w:t>消防改造项目完成后对中心后续工作推进情况</w:t>
            </w:r>
          </w:p>
          <w:p>
            <w:pPr>
              <w:pStyle w:val="15"/>
            </w:pPr>
          </w:p>
        </w:tc>
        <w:tc>
          <w:tcPr>
            <w:tcW w:w="1276" w:type="dxa"/>
            <w:vAlign w:val="center"/>
          </w:tcPr>
          <w:p>
            <w:pPr>
              <w:pStyle w:val="15"/>
            </w:pPr>
            <w:r>
              <w:t>项目计划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受益对象满意度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≥90%</w:t>
            </w:r>
          </w:p>
          <w:p>
            <w:pPr>
              <w:pStyle w:val="15"/>
            </w:pP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7、记录小康工程费用绩效目标表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13010924P00000211284L</w:t>
            </w:r>
          </w:p>
        </w:tc>
        <w:tc>
          <w:tcPr>
            <w:tcW w:w="2835" w:type="dxa"/>
            <w:vAlign w:val="center"/>
          </w:tcPr>
          <w:p>
            <w:pPr>
              <w:pStyle w:val="13"/>
            </w:pPr>
            <w:r>
              <w:t>项目名称</w:t>
            </w:r>
          </w:p>
        </w:tc>
        <w:tc>
          <w:tcPr>
            <w:tcW w:w="6094" w:type="dxa"/>
            <w:gridSpan w:val="3"/>
            <w:vAlign w:val="center"/>
          </w:tcPr>
          <w:p>
            <w:pPr>
              <w:pStyle w:val="15"/>
            </w:pPr>
            <w:r>
              <w:t>记录小康工程费用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w:t>
            </w:r>
          </w:p>
        </w:tc>
        <w:tc>
          <w:tcPr>
            <w:tcW w:w="2835" w:type="dxa"/>
            <w:vAlign w:val="center"/>
          </w:tcPr>
          <w:p>
            <w:pPr>
              <w:pStyle w:val="13"/>
            </w:pPr>
            <w:r>
              <w:t>其中：财政    资金</w:t>
            </w:r>
          </w:p>
        </w:tc>
        <w:tc>
          <w:tcPr>
            <w:tcW w:w="2551" w:type="dxa"/>
            <w:vAlign w:val="center"/>
          </w:tcPr>
          <w:p>
            <w:pPr>
              <w:pStyle w:val="15"/>
            </w:pPr>
            <w:r>
              <w:t>1.50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用于记录、整理藁城区向小康社会迈进的新闻事件。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70%</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1.通过聘请专业人员确保记录小康工程”平台建设、数据库整理运维顺利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数据库资料数量</w:t>
            </w:r>
          </w:p>
          <w:p>
            <w:pPr>
              <w:pStyle w:val="15"/>
            </w:pPr>
          </w:p>
        </w:tc>
        <w:tc>
          <w:tcPr>
            <w:tcW w:w="5386" w:type="dxa"/>
            <w:vAlign w:val="center"/>
          </w:tcPr>
          <w:p>
            <w:pPr>
              <w:pStyle w:val="15"/>
            </w:pPr>
            <w:r>
              <w:t>整理关于小康社会建设数据资料数量</w:t>
            </w:r>
            <w:r>
              <w:tab/>
            </w:r>
          </w:p>
          <w:p>
            <w:pPr>
              <w:pStyle w:val="15"/>
            </w:pPr>
          </w:p>
        </w:tc>
        <w:tc>
          <w:tcPr>
            <w:tcW w:w="2268" w:type="dxa"/>
            <w:vAlign w:val="center"/>
          </w:tcPr>
          <w:p>
            <w:pPr>
              <w:pStyle w:val="15"/>
            </w:pPr>
            <w:r>
              <w:t>≥400条</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差错率</w:t>
            </w:r>
          </w:p>
          <w:p>
            <w:pPr>
              <w:pStyle w:val="15"/>
            </w:pPr>
          </w:p>
        </w:tc>
        <w:tc>
          <w:tcPr>
            <w:tcW w:w="5386" w:type="dxa"/>
            <w:vAlign w:val="center"/>
          </w:tcPr>
          <w:p>
            <w:pPr>
              <w:pStyle w:val="15"/>
            </w:pPr>
            <w:r>
              <w:t>数据库提交资料每百条信息差错率（差错率=实际差错信息条数/全部信息数）</w:t>
            </w:r>
            <w:r>
              <w:tab/>
            </w:r>
          </w:p>
          <w:p>
            <w:pPr>
              <w:pStyle w:val="15"/>
            </w:pPr>
          </w:p>
        </w:tc>
        <w:tc>
          <w:tcPr>
            <w:tcW w:w="2268" w:type="dxa"/>
            <w:vAlign w:val="center"/>
          </w:tcPr>
          <w:p>
            <w:pPr>
              <w:pStyle w:val="15"/>
            </w:pPr>
            <w:r>
              <w:t>≤1%</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数据库信息时效性</w:t>
            </w:r>
          </w:p>
          <w:p>
            <w:pPr>
              <w:pStyle w:val="15"/>
            </w:pPr>
          </w:p>
        </w:tc>
        <w:tc>
          <w:tcPr>
            <w:tcW w:w="5386" w:type="dxa"/>
            <w:vAlign w:val="center"/>
          </w:tcPr>
          <w:p>
            <w:pPr>
              <w:pStyle w:val="15"/>
            </w:pPr>
            <w:r>
              <w:t>按要求及时更新数据库信息</w:t>
            </w:r>
            <w:r>
              <w:tab/>
            </w:r>
          </w:p>
          <w:p>
            <w:pPr>
              <w:pStyle w:val="15"/>
            </w:pPr>
          </w:p>
        </w:tc>
        <w:tc>
          <w:tcPr>
            <w:tcW w:w="2268" w:type="dxa"/>
            <w:vAlign w:val="center"/>
          </w:tcPr>
          <w:p>
            <w:pPr>
              <w:pStyle w:val="15"/>
            </w:pPr>
            <w:r>
              <w:t>1年度</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按实际发放</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数据库使用率</w:t>
            </w:r>
          </w:p>
          <w:p>
            <w:pPr>
              <w:pStyle w:val="15"/>
            </w:pPr>
          </w:p>
        </w:tc>
        <w:tc>
          <w:tcPr>
            <w:tcW w:w="5386" w:type="dxa"/>
            <w:vAlign w:val="center"/>
          </w:tcPr>
          <w:p>
            <w:pPr>
              <w:pStyle w:val="15"/>
            </w:pPr>
            <w:r>
              <w:t>社会群众对记录小康工程数据库使用率</w:t>
            </w:r>
            <w:r>
              <w:tab/>
            </w:r>
          </w:p>
          <w:p>
            <w:pPr>
              <w:pStyle w:val="15"/>
            </w:pPr>
          </w:p>
        </w:tc>
        <w:tc>
          <w:tcPr>
            <w:tcW w:w="2268" w:type="dxa"/>
            <w:vAlign w:val="center"/>
          </w:tcPr>
          <w:p>
            <w:pPr>
              <w:pStyle w:val="15"/>
            </w:pPr>
            <w:r>
              <w:t>≥80%</w:t>
            </w:r>
          </w:p>
          <w:p>
            <w:pPr>
              <w:pStyle w:val="15"/>
            </w:pPr>
          </w:p>
        </w:tc>
        <w:tc>
          <w:tcPr>
            <w:tcW w:w="1276" w:type="dxa"/>
            <w:vAlign w:val="center"/>
          </w:tcPr>
          <w:p>
            <w:pPr>
              <w:pStyle w:val="15"/>
            </w:pPr>
            <w:r>
              <w:t>实际使用率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受益对象满意度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≥90%</w:t>
            </w:r>
          </w:p>
          <w:p>
            <w:pPr>
              <w:pStyle w:val="15"/>
            </w:pP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13010924P000002110746</w:t>
            </w:r>
          </w:p>
        </w:tc>
        <w:tc>
          <w:tcPr>
            <w:tcW w:w="2835" w:type="dxa"/>
            <w:vAlign w:val="center"/>
          </w:tcPr>
          <w:p>
            <w:pPr>
              <w:pStyle w:val="13"/>
            </w:pPr>
            <w:r>
              <w:t>项目名称</w:t>
            </w:r>
          </w:p>
        </w:tc>
        <w:tc>
          <w:tcPr>
            <w:tcW w:w="6094" w:type="dxa"/>
            <w:gridSpan w:val="3"/>
            <w:vAlign w:val="center"/>
          </w:tcPr>
          <w:p>
            <w:pPr>
              <w:pStyle w:val="15"/>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40.83</w:t>
            </w:r>
          </w:p>
        </w:tc>
        <w:tc>
          <w:tcPr>
            <w:tcW w:w="2835" w:type="dxa"/>
            <w:vAlign w:val="center"/>
          </w:tcPr>
          <w:p>
            <w:pPr>
              <w:pStyle w:val="13"/>
            </w:pPr>
            <w:r>
              <w:t>其中：财政    资金</w:t>
            </w:r>
          </w:p>
        </w:tc>
        <w:tc>
          <w:tcPr>
            <w:tcW w:w="2551" w:type="dxa"/>
            <w:vAlign w:val="center"/>
          </w:tcPr>
          <w:p>
            <w:pPr>
              <w:pStyle w:val="15"/>
            </w:pPr>
            <w:r>
              <w:t>40.83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劳务派遣人员工资及社保费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1.用于劳务派遣人员经费支出，提高工作人员工作效率</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劳务派遣人员8名</w:t>
            </w:r>
          </w:p>
          <w:p>
            <w:pPr>
              <w:pStyle w:val="15"/>
            </w:pPr>
          </w:p>
        </w:tc>
        <w:tc>
          <w:tcPr>
            <w:tcW w:w="5386" w:type="dxa"/>
            <w:vAlign w:val="center"/>
          </w:tcPr>
          <w:p>
            <w:pPr>
              <w:pStyle w:val="15"/>
            </w:pPr>
            <w:r>
              <w:t>新媒体部2人，新闻记者部4人，财务部1人，策划运营部1人</w:t>
            </w:r>
            <w:r>
              <w:tab/>
            </w:r>
          </w:p>
          <w:p>
            <w:pPr>
              <w:pStyle w:val="15"/>
            </w:pPr>
          </w:p>
        </w:tc>
        <w:tc>
          <w:tcPr>
            <w:tcW w:w="2268" w:type="dxa"/>
            <w:vAlign w:val="center"/>
          </w:tcPr>
          <w:p>
            <w:pPr>
              <w:pStyle w:val="15"/>
            </w:pPr>
            <w:r>
              <w:t>8人</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资金支付完成率</w:t>
            </w:r>
          </w:p>
          <w:p>
            <w:pPr>
              <w:pStyle w:val="15"/>
            </w:pPr>
          </w:p>
        </w:tc>
        <w:tc>
          <w:tcPr>
            <w:tcW w:w="5386" w:type="dxa"/>
            <w:vAlign w:val="center"/>
          </w:tcPr>
          <w:p>
            <w:pPr>
              <w:pStyle w:val="15"/>
            </w:pPr>
            <w:r>
              <w:t>按要求每月支付劳务派遣人员保险及工资完成率</w:t>
            </w:r>
            <w:r>
              <w:tab/>
            </w:r>
          </w:p>
          <w:p>
            <w:pPr>
              <w:pStyle w:val="15"/>
            </w:pPr>
          </w:p>
        </w:tc>
        <w:tc>
          <w:tcPr>
            <w:tcW w:w="2268" w:type="dxa"/>
            <w:vAlign w:val="center"/>
          </w:tcPr>
          <w:p>
            <w:pPr>
              <w:pStyle w:val="15"/>
            </w:pPr>
            <w:r>
              <w:t>≥98%</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按时发放工资</w:t>
            </w:r>
          </w:p>
          <w:p>
            <w:pPr>
              <w:pStyle w:val="15"/>
            </w:pPr>
          </w:p>
        </w:tc>
        <w:tc>
          <w:tcPr>
            <w:tcW w:w="5386" w:type="dxa"/>
            <w:vAlign w:val="center"/>
          </w:tcPr>
          <w:p>
            <w:pPr>
              <w:pStyle w:val="15"/>
            </w:pPr>
            <w:r>
              <w:t>每月根据第三方提供的支付凭证按时发放工资</w:t>
            </w:r>
            <w:r>
              <w:tab/>
            </w:r>
          </w:p>
          <w:p>
            <w:pPr>
              <w:pStyle w:val="15"/>
            </w:pPr>
          </w:p>
        </w:tc>
        <w:tc>
          <w:tcPr>
            <w:tcW w:w="2268" w:type="dxa"/>
            <w:vAlign w:val="center"/>
          </w:tcPr>
          <w:p>
            <w:pPr>
              <w:pStyle w:val="15"/>
            </w:pPr>
            <w:r>
              <w:t>早于25号</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p>
            <w:pPr>
              <w:pStyle w:val="15"/>
            </w:pPr>
          </w:p>
        </w:tc>
        <w:tc>
          <w:tcPr>
            <w:tcW w:w="5386" w:type="dxa"/>
            <w:vAlign w:val="center"/>
          </w:tcPr>
          <w:p>
            <w:pPr>
              <w:pStyle w:val="15"/>
            </w:pPr>
            <w:r>
              <w:t>将成本控制在预算内，合理利用预算。</w:t>
            </w:r>
            <w:r>
              <w:tab/>
            </w:r>
          </w:p>
          <w:p>
            <w:pPr>
              <w:pStyle w:val="15"/>
            </w:pPr>
          </w:p>
        </w:tc>
        <w:tc>
          <w:tcPr>
            <w:tcW w:w="2268" w:type="dxa"/>
            <w:vAlign w:val="center"/>
          </w:tcPr>
          <w:p>
            <w:pPr>
              <w:pStyle w:val="15"/>
            </w:pPr>
            <w:r>
              <w:t>≤40.83万元</w:t>
            </w: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长期工作完成情况</w:t>
            </w:r>
          </w:p>
          <w:p>
            <w:pPr>
              <w:pStyle w:val="15"/>
            </w:pPr>
          </w:p>
        </w:tc>
        <w:tc>
          <w:tcPr>
            <w:tcW w:w="5386" w:type="dxa"/>
            <w:vAlign w:val="center"/>
          </w:tcPr>
          <w:p>
            <w:pPr>
              <w:pStyle w:val="15"/>
            </w:pPr>
            <w:r>
              <w:t>按照上级、工作要求，使单位的工作能够长时间保持高效、高质的状态，定期对劳务派遣人员进行考核</w:t>
            </w:r>
            <w:r>
              <w:tab/>
            </w:r>
          </w:p>
          <w:p>
            <w:pPr>
              <w:pStyle w:val="15"/>
            </w:pPr>
          </w:p>
        </w:tc>
        <w:tc>
          <w:tcPr>
            <w:tcW w:w="2268" w:type="dxa"/>
            <w:vAlign w:val="center"/>
          </w:tcPr>
          <w:p>
            <w:pPr>
              <w:pStyle w:val="15"/>
            </w:pPr>
            <w:r>
              <w:t>等级</w:t>
            </w: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受益对象满意度</w:t>
            </w:r>
            <w:r>
              <w:tab/>
            </w:r>
          </w:p>
          <w:p>
            <w:pPr>
              <w:pStyle w:val="15"/>
            </w:pPr>
          </w:p>
        </w:tc>
        <w:tc>
          <w:tcPr>
            <w:tcW w:w="2268" w:type="dxa"/>
            <w:vAlign w:val="center"/>
          </w:tcPr>
          <w:p>
            <w:pPr>
              <w:pStyle w:val="15"/>
            </w:pPr>
            <w:r>
              <w:t>≥98%</w:t>
            </w: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9、融媒体中心办公经费绩效目标表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13010924P00000211286U</w:t>
            </w:r>
          </w:p>
        </w:tc>
        <w:tc>
          <w:tcPr>
            <w:tcW w:w="2835" w:type="dxa"/>
            <w:vAlign w:val="center"/>
          </w:tcPr>
          <w:p>
            <w:pPr>
              <w:pStyle w:val="13"/>
            </w:pPr>
            <w:r>
              <w:t>项目名称</w:t>
            </w:r>
          </w:p>
        </w:tc>
        <w:tc>
          <w:tcPr>
            <w:tcW w:w="6094" w:type="dxa"/>
            <w:gridSpan w:val="3"/>
            <w:vAlign w:val="center"/>
          </w:tcPr>
          <w:p>
            <w:pPr>
              <w:pStyle w:val="15"/>
            </w:pPr>
            <w:r>
              <w:t>融媒体中心办公经费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49.50</w:t>
            </w:r>
          </w:p>
        </w:tc>
        <w:tc>
          <w:tcPr>
            <w:tcW w:w="2835" w:type="dxa"/>
            <w:vAlign w:val="center"/>
          </w:tcPr>
          <w:p>
            <w:pPr>
              <w:pStyle w:val="13"/>
            </w:pPr>
            <w:r>
              <w:t>其中：财政    资金</w:t>
            </w:r>
          </w:p>
        </w:tc>
        <w:tc>
          <w:tcPr>
            <w:tcW w:w="2551" w:type="dxa"/>
            <w:vAlign w:val="center"/>
          </w:tcPr>
          <w:p>
            <w:pPr>
              <w:pStyle w:val="15"/>
            </w:pPr>
            <w:r>
              <w:t>49.50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《新藁城》报纸印刷费、手机报制作费、记者用车补助、大楼及广场电费以及大楼维护、设备维修、播出电视节目的片源购置费等维持中心工作运转的必要支出。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1.负责融媒体中心大楼电费、人民广场电视塔电费、网络链路费、办公设备保障维修、记者采访保障费、占地租赁、中心大楼及电视塔保险等费用</w:t>
            </w:r>
            <w:r>
              <w:tab/>
            </w:r>
            <w:r>
              <w:tab/>
            </w:r>
            <w:r>
              <w:tab/>
            </w:r>
            <w:r>
              <w:tab/>
            </w:r>
            <w:r>
              <w:tab/>
            </w:r>
            <w:r>
              <w:tab/>
            </w:r>
            <w:r>
              <w:tab/>
            </w:r>
          </w:p>
          <w:p>
            <w:pPr>
              <w:pStyle w:val="15"/>
            </w:pPr>
          </w:p>
          <w:p>
            <w:pPr>
              <w:pStyle w:val="15"/>
            </w:pPr>
            <w:r>
              <w:t>2.缴纳各平台、信息技术费、使用费以及中心报纸印刷、手机报制作相关费用，保障工作正常进行</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印刷份数</w:t>
            </w:r>
          </w:p>
        </w:tc>
        <w:tc>
          <w:tcPr>
            <w:tcW w:w="5386" w:type="dxa"/>
            <w:vAlign w:val="center"/>
          </w:tcPr>
          <w:p>
            <w:pPr>
              <w:pStyle w:val="15"/>
            </w:pPr>
            <w:r>
              <w:t>单彩，每期7594份，年印刷份数</w:t>
            </w:r>
            <w:r>
              <w:tab/>
            </w:r>
          </w:p>
          <w:p>
            <w:pPr>
              <w:pStyle w:val="15"/>
            </w:pPr>
          </w:p>
        </w:tc>
        <w:tc>
          <w:tcPr>
            <w:tcW w:w="2268" w:type="dxa"/>
            <w:vAlign w:val="center"/>
          </w:tcPr>
          <w:p>
            <w:pPr>
              <w:pStyle w:val="15"/>
            </w:pPr>
            <w:r>
              <w:t>≥72万份</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中心工作运转</w:t>
            </w:r>
          </w:p>
          <w:p>
            <w:pPr>
              <w:pStyle w:val="15"/>
            </w:pPr>
          </w:p>
        </w:tc>
        <w:tc>
          <w:tcPr>
            <w:tcW w:w="5386" w:type="dxa"/>
            <w:vAlign w:val="center"/>
          </w:tcPr>
          <w:p>
            <w:pPr>
              <w:pStyle w:val="15"/>
            </w:pPr>
            <w:r>
              <w:t>对中心专用设备定期维护保养、排障情况</w:t>
            </w:r>
            <w:r>
              <w:tab/>
            </w:r>
          </w:p>
          <w:p>
            <w:pPr>
              <w:pStyle w:val="15"/>
            </w:pPr>
          </w:p>
        </w:tc>
        <w:tc>
          <w:tcPr>
            <w:tcW w:w="2268" w:type="dxa"/>
            <w:vAlign w:val="center"/>
          </w:tcPr>
          <w:p>
            <w:pPr>
              <w:pStyle w:val="15"/>
            </w:pPr>
            <w:r>
              <w:t>设备维护情况</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综合事务管理工作完成时间</w:t>
            </w:r>
          </w:p>
          <w:p>
            <w:pPr>
              <w:pStyle w:val="15"/>
            </w:pPr>
          </w:p>
        </w:tc>
        <w:tc>
          <w:tcPr>
            <w:tcW w:w="5386" w:type="dxa"/>
            <w:vAlign w:val="center"/>
          </w:tcPr>
          <w:p>
            <w:pPr>
              <w:pStyle w:val="15"/>
            </w:pPr>
            <w:r>
              <w:t>综合事务管理工作完成时间</w:t>
            </w:r>
            <w:r>
              <w:tab/>
            </w:r>
          </w:p>
          <w:p>
            <w:pPr>
              <w:pStyle w:val="15"/>
            </w:pPr>
          </w:p>
        </w:tc>
        <w:tc>
          <w:tcPr>
            <w:tcW w:w="2268" w:type="dxa"/>
            <w:vAlign w:val="center"/>
          </w:tcPr>
          <w:p>
            <w:pPr>
              <w:pStyle w:val="15"/>
            </w:pPr>
            <w:r>
              <w:t>1年度</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按实际发放</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预算控制数</w:t>
            </w:r>
          </w:p>
          <w:p>
            <w:pPr>
              <w:pStyle w:val="15"/>
            </w:pPr>
          </w:p>
        </w:tc>
        <w:tc>
          <w:tcPr>
            <w:tcW w:w="5386" w:type="dxa"/>
            <w:vAlign w:val="center"/>
          </w:tcPr>
          <w:p>
            <w:pPr>
              <w:pStyle w:val="15"/>
            </w:pPr>
            <w:r>
              <w:t>各部门间协调配合，提升中心工作效率，工作效率平均值到80%(工作效率=工作总量/工作时间)</w:t>
            </w:r>
            <w:r>
              <w:tab/>
            </w:r>
          </w:p>
          <w:p>
            <w:pPr>
              <w:pStyle w:val="15"/>
            </w:pPr>
          </w:p>
        </w:tc>
        <w:tc>
          <w:tcPr>
            <w:tcW w:w="2268" w:type="dxa"/>
            <w:vAlign w:val="center"/>
          </w:tcPr>
          <w:p>
            <w:pPr>
              <w:pStyle w:val="15"/>
            </w:pPr>
            <w:r>
              <w:t>≥80%</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&gt;98%</w:t>
            </w:r>
          </w:p>
          <w:p>
            <w:pPr>
              <w:pStyle w:val="15"/>
            </w:pP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10、融媒体中心建设经费绩效目标表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13010924P000002112929</w:t>
            </w:r>
          </w:p>
        </w:tc>
        <w:tc>
          <w:tcPr>
            <w:tcW w:w="2835" w:type="dxa"/>
            <w:vAlign w:val="center"/>
          </w:tcPr>
          <w:p>
            <w:pPr>
              <w:pStyle w:val="13"/>
            </w:pPr>
            <w:r>
              <w:t>项目名称</w:t>
            </w:r>
          </w:p>
        </w:tc>
        <w:tc>
          <w:tcPr>
            <w:tcW w:w="6094" w:type="dxa"/>
            <w:gridSpan w:val="3"/>
            <w:vAlign w:val="center"/>
          </w:tcPr>
          <w:p>
            <w:pPr>
              <w:pStyle w:val="15"/>
            </w:pPr>
            <w:r>
              <w:t>融媒体中心建设经费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w:t>
            </w:r>
          </w:p>
        </w:tc>
        <w:tc>
          <w:tcPr>
            <w:tcW w:w="2835" w:type="dxa"/>
            <w:vAlign w:val="center"/>
          </w:tcPr>
          <w:p>
            <w:pPr>
              <w:pStyle w:val="13"/>
            </w:pPr>
            <w:r>
              <w:t>其中：财政    资金</w:t>
            </w:r>
          </w:p>
        </w:tc>
        <w:tc>
          <w:tcPr>
            <w:tcW w:w="2551" w:type="dxa"/>
            <w:vAlign w:val="center"/>
          </w:tcPr>
          <w:p>
            <w:pPr>
              <w:pStyle w:val="15"/>
            </w:pPr>
            <w:r>
              <w:t>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支付融媒体中心建设合同款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1.通过不断提升硬件设施、软件设施建设，加快推进融媒体中心建设</w:t>
            </w:r>
            <w:r>
              <w:tab/>
            </w:r>
            <w:r>
              <w:tab/>
            </w:r>
            <w:r>
              <w:tab/>
            </w:r>
            <w:r>
              <w:tab/>
            </w:r>
            <w:r>
              <w:tab/>
            </w:r>
            <w:r>
              <w:tab/>
            </w:r>
          </w:p>
          <w:p>
            <w:pPr>
              <w:pStyle w:val="15"/>
            </w:pPr>
          </w:p>
          <w:p>
            <w:pPr>
              <w:pStyle w:val="15"/>
            </w:pPr>
            <w:r>
              <w:t>2.及时向基层干部群众提供政务服务、生活服务、社会传播、教育培训、等综合各类综合服务</w:t>
            </w:r>
            <w:r>
              <w:tab/>
            </w:r>
            <w:r>
              <w:tab/>
            </w:r>
            <w:r>
              <w:tab/>
            </w:r>
            <w:r>
              <w:tab/>
            </w:r>
            <w:r>
              <w:tab/>
            </w:r>
            <w:r>
              <w:tab/>
            </w:r>
          </w:p>
          <w:p>
            <w:pPr>
              <w:pStyle w:val="15"/>
            </w:pPr>
          </w:p>
          <w:p>
            <w:pPr>
              <w:pStyle w:val="15"/>
            </w:pPr>
            <w:r>
              <w:t>3.通过定期邀请名校专业教授以及相关专业的业内人士对中心相关科室人员进行培训，以提升相关科室人员专业能力，推进融媒体中心建设验收培训。</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完成项目数量</w:t>
            </w:r>
          </w:p>
          <w:p>
            <w:pPr>
              <w:pStyle w:val="15"/>
            </w:pPr>
          </w:p>
        </w:tc>
        <w:tc>
          <w:tcPr>
            <w:tcW w:w="5386" w:type="dxa"/>
            <w:vAlign w:val="center"/>
          </w:tcPr>
          <w:p>
            <w:pPr>
              <w:pStyle w:val="15"/>
            </w:pPr>
            <w:r>
              <w:t>完成合同项目数量</w:t>
            </w:r>
            <w:r>
              <w:tab/>
            </w:r>
          </w:p>
          <w:p>
            <w:pPr>
              <w:pStyle w:val="15"/>
            </w:pPr>
          </w:p>
        </w:tc>
        <w:tc>
          <w:tcPr>
            <w:tcW w:w="2268" w:type="dxa"/>
            <w:vAlign w:val="center"/>
          </w:tcPr>
          <w:p>
            <w:pPr>
              <w:pStyle w:val="15"/>
            </w:pPr>
            <w:r>
              <w:t>≥1个</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按照合同要求达到验收标准</w:t>
            </w:r>
          </w:p>
          <w:p>
            <w:pPr>
              <w:pStyle w:val="15"/>
            </w:pPr>
          </w:p>
        </w:tc>
        <w:tc>
          <w:tcPr>
            <w:tcW w:w="5386" w:type="dxa"/>
            <w:vAlign w:val="center"/>
          </w:tcPr>
          <w:p>
            <w:pPr>
              <w:pStyle w:val="15"/>
            </w:pPr>
            <w:r>
              <w:t>按照合同要求达到验收标准率</w:t>
            </w:r>
            <w:r>
              <w:tab/>
            </w:r>
          </w:p>
          <w:p>
            <w:pPr>
              <w:pStyle w:val="15"/>
            </w:pPr>
          </w:p>
        </w:tc>
        <w:tc>
          <w:tcPr>
            <w:tcW w:w="2268" w:type="dxa"/>
            <w:vAlign w:val="center"/>
          </w:tcPr>
          <w:p>
            <w:pPr>
              <w:pStyle w:val="15"/>
            </w:pPr>
            <w:r>
              <w:t>100%</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基础设施建设进度时间</w:t>
            </w:r>
          </w:p>
          <w:p>
            <w:pPr>
              <w:pStyle w:val="15"/>
            </w:pPr>
          </w:p>
        </w:tc>
        <w:tc>
          <w:tcPr>
            <w:tcW w:w="5386" w:type="dxa"/>
            <w:vAlign w:val="center"/>
          </w:tcPr>
          <w:p>
            <w:pPr>
              <w:pStyle w:val="15"/>
            </w:pPr>
            <w:r>
              <w:t>及时监测软硬件设施建设进度，在年中对应建项目完成时间</w:t>
            </w:r>
            <w:r>
              <w:tab/>
            </w:r>
          </w:p>
          <w:p>
            <w:pPr>
              <w:pStyle w:val="15"/>
            </w:pPr>
          </w:p>
        </w:tc>
        <w:tc>
          <w:tcPr>
            <w:tcW w:w="2268" w:type="dxa"/>
            <w:vAlign w:val="center"/>
          </w:tcPr>
          <w:p>
            <w:pPr>
              <w:pStyle w:val="15"/>
            </w:pPr>
            <w:r>
              <w:t>1年度</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≤70万元</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w:t>
            </w:r>
          </w:p>
          <w:p>
            <w:pPr>
              <w:pStyle w:val="15"/>
            </w:pPr>
          </w:p>
        </w:tc>
        <w:tc>
          <w:tcPr>
            <w:tcW w:w="5386" w:type="dxa"/>
            <w:vAlign w:val="center"/>
          </w:tcPr>
          <w:p>
            <w:pPr>
              <w:pStyle w:val="15"/>
            </w:pPr>
            <w:r>
              <w:t>设备建设完成后，中心工作正常运行</w:t>
            </w:r>
            <w:r>
              <w:tab/>
            </w:r>
          </w:p>
          <w:p>
            <w:pPr>
              <w:pStyle w:val="15"/>
            </w:pPr>
          </w:p>
        </w:tc>
        <w:tc>
          <w:tcPr>
            <w:tcW w:w="2268" w:type="dxa"/>
            <w:vAlign w:val="center"/>
          </w:tcPr>
          <w:p>
            <w:pPr>
              <w:pStyle w:val="15"/>
            </w:pPr>
            <w:r>
              <w:t>≥95%</w:t>
            </w:r>
          </w:p>
          <w:p>
            <w:pPr>
              <w:pStyle w:val="15"/>
            </w:pPr>
          </w:p>
        </w:tc>
        <w:tc>
          <w:tcPr>
            <w:tcW w:w="1276" w:type="dxa"/>
            <w:vAlign w:val="center"/>
          </w:tcPr>
          <w:p>
            <w:pPr>
              <w:pStyle w:val="15"/>
            </w:pPr>
            <w:r>
              <w:t>年度工作计划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受益对象满意度</w:t>
            </w:r>
          </w:p>
          <w:p>
            <w:pPr>
              <w:pStyle w:val="15"/>
            </w:pPr>
          </w:p>
        </w:tc>
        <w:tc>
          <w:tcPr>
            <w:tcW w:w="5386" w:type="dxa"/>
            <w:vAlign w:val="center"/>
          </w:tcPr>
          <w:p>
            <w:pPr>
              <w:pStyle w:val="15"/>
            </w:pPr>
            <w:r>
              <w:t>受益对象满意度</w:t>
            </w:r>
            <w:r>
              <w:tab/>
            </w:r>
          </w:p>
          <w:p>
            <w:pPr>
              <w:pStyle w:val="15"/>
            </w:pPr>
          </w:p>
        </w:tc>
        <w:tc>
          <w:tcPr>
            <w:tcW w:w="2268" w:type="dxa"/>
            <w:vAlign w:val="center"/>
          </w:tcPr>
          <w:p>
            <w:pPr>
              <w:pStyle w:val="15"/>
            </w:pPr>
            <w:r>
              <w:t>≥98%</w:t>
            </w:r>
          </w:p>
          <w:p>
            <w:pPr>
              <w:pStyle w:val="15"/>
            </w:pPr>
          </w:p>
        </w:tc>
        <w:tc>
          <w:tcPr>
            <w:tcW w:w="1276" w:type="dxa"/>
            <w:vAlign w:val="center"/>
          </w:tcPr>
          <w:p>
            <w:pPr>
              <w:pStyle w:val="15"/>
            </w:pPr>
            <w:r>
              <w:t>年度工作计划</w:t>
            </w:r>
          </w:p>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11、外宣工作专项经费绩效目标表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13010924P00000211287F</w:t>
            </w:r>
          </w:p>
        </w:tc>
        <w:tc>
          <w:tcPr>
            <w:tcW w:w="2835" w:type="dxa"/>
            <w:vAlign w:val="center"/>
          </w:tcPr>
          <w:p>
            <w:pPr>
              <w:pStyle w:val="13"/>
            </w:pPr>
            <w:r>
              <w:t>项目名称</w:t>
            </w:r>
          </w:p>
        </w:tc>
        <w:tc>
          <w:tcPr>
            <w:tcW w:w="6094" w:type="dxa"/>
            <w:gridSpan w:val="3"/>
            <w:vAlign w:val="center"/>
          </w:tcPr>
          <w:p>
            <w:pPr>
              <w:pStyle w:val="15"/>
            </w:pPr>
            <w:r>
              <w:t>外宣工作专项经费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w:t>
            </w:r>
          </w:p>
        </w:tc>
        <w:tc>
          <w:tcPr>
            <w:tcW w:w="2835" w:type="dxa"/>
            <w:vAlign w:val="center"/>
          </w:tcPr>
          <w:p>
            <w:pPr>
              <w:pStyle w:val="13"/>
            </w:pPr>
            <w:r>
              <w:t>其中：财政    资金</w:t>
            </w:r>
          </w:p>
        </w:tc>
        <w:tc>
          <w:tcPr>
            <w:tcW w:w="2551" w:type="dxa"/>
            <w:vAlign w:val="center"/>
          </w:tcPr>
          <w:p>
            <w:pPr>
              <w:pStyle w:val="15"/>
            </w:pPr>
            <w:r>
              <w:t>1.50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主要用于对上宣传藁城的稿件制作经费。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1.通过向上级媒体推送作品制作费，提高宣传藁城知名度</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稿件数量</w:t>
            </w:r>
          </w:p>
          <w:p>
            <w:pPr>
              <w:pStyle w:val="15"/>
            </w:pPr>
          </w:p>
        </w:tc>
        <w:tc>
          <w:tcPr>
            <w:tcW w:w="5386" w:type="dxa"/>
            <w:vAlign w:val="center"/>
          </w:tcPr>
          <w:p>
            <w:pPr>
              <w:pStyle w:val="15"/>
            </w:pPr>
            <w:r>
              <w:t>每月对上级宣传稿件数量不低于20条</w:t>
            </w:r>
            <w:r>
              <w:tab/>
            </w:r>
          </w:p>
          <w:p>
            <w:pPr>
              <w:pStyle w:val="15"/>
            </w:pPr>
          </w:p>
        </w:tc>
        <w:tc>
          <w:tcPr>
            <w:tcW w:w="2268" w:type="dxa"/>
            <w:vAlign w:val="center"/>
          </w:tcPr>
          <w:p>
            <w:pPr>
              <w:pStyle w:val="15"/>
            </w:pPr>
            <w:r>
              <w:t>≥20条</w:t>
            </w:r>
          </w:p>
          <w:p>
            <w:pPr>
              <w:pStyle w:val="15"/>
            </w:pPr>
          </w:p>
        </w:tc>
        <w:tc>
          <w:tcPr>
            <w:tcW w:w="1276" w:type="dxa"/>
            <w:vAlign w:val="center"/>
          </w:tcPr>
          <w:p>
            <w:pPr>
              <w:pStyle w:val="15"/>
            </w:pPr>
            <w:r>
              <w:t>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稿件质量</w:t>
            </w:r>
          </w:p>
          <w:p>
            <w:pPr>
              <w:pStyle w:val="15"/>
            </w:pPr>
          </w:p>
        </w:tc>
        <w:tc>
          <w:tcPr>
            <w:tcW w:w="5386" w:type="dxa"/>
            <w:vAlign w:val="center"/>
          </w:tcPr>
          <w:p>
            <w:pPr>
              <w:pStyle w:val="15"/>
            </w:pPr>
            <w:r>
              <w:t>每月被上级媒体采用稿件差错率</w:t>
            </w:r>
            <w:r>
              <w:tab/>
            </w:r>
          </w:p>
          <w:p>
            <w:pPr>
              <w:pStyle w:val="15"/>
            </w:pPr>
          </w:p>
        </w:tc>
        <w:tc>
          <w:tcPr>
            <w:tcW w:w="2268" w:type="dxa"/>
            <w:vAlign w:val="center"/>
          </w:tcPr>
          <w:p>
            <w:pPr>
              <w:pStyle w:val="15"/>
            </w:pPr>
            <w:r>
              <w:t>≤1%</w:t>
            </w:r>
          </w:p>
          <w:p>
            <w:pPr>
              <w:pStyle w:val="15"/>
            </w:pPr>
          </w:p>
        </w:tc>
        <w:tc>
          <w:tcPr>
            <w:tcW w:w="1276" w:type="dxa"/>
            <w:vAlign w:val="center"/>
          </w:tcPr>
          <w:p>
            <w:pPr>
              <w:pStyle w:val="15"/>
            </w:pPr>
            <w:r>
              <w:t>工作要求</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支出及时性</w:t>
            </w:r>
          </w:p>
          <w:p>
            <w:pPr>
              <w:pStyle w:val="15"/>
            </w:pPr>
          </w:p>
        </w:tc>
        <w:tc>
          <w:tcPr>
            <w:tcW w:w="5386" w:type="dxa"/>
            <w:vAlign w:val="center"/>
          </w:tcPr>
          <w:p>
            <w:pPr>
              <w:pStyle w:val="15"/>
            </w:pPr>
            <w:r>
              <w:t>按时支付向上推送作品制作费</w:t>
            </w:r>
            <w:r>
              <w:tab/>
            </w:r>
          </w:p>
          <w:p>
            <w:pPr>
              <w:pStyle w:val="15"/>
            </w:pPr>
          </w:p>
        </w:tc>
        <w:tc>
          <w:tcPr>
            <w:tcW w:w="2268" w:type="dxa"/>
            <w:vAlign w:val="center"/>
          </w:tcPr>
          <w:p>
            <w:pPr>
              <w:pStyle w:val="15"/>
            </w:pPr>
            <w:r>
              <w:t>1年度</w:t>
            </w:r>
          </w:p>
          <w:p>
            <w:pPr>
              <w:pStyle w:val="15"/>
            </w:pPr>
          </w:p>
        </w:tc>
        <w:tc>
          <w:tcPr>
            <w:tcW w:w="1276"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单位资金成本</w:t>
            </w:r>
          </w:p>
          <w:p>
            <w:pPr>
              <w:pStyle w:val="15"/>
            </w:pPr>
          </w:p>
        </w:tc>
        <w:tc>
          <w:tcPr>
            <w:tcW w:w="5386" w:type="dxa"/>
            <w:vAlign w:val="center"/>
          </w:tcPr>
          <w:p>
            <w:pPr>
              <w:pStyle w:val="15"/>
            </w:pPr>
            <w:r>
              <w:t>单位资金成本</w:t>
            </w:r>
            <w:r>
              <w:tab/>
            </w:r>
          </w:p>
          <w:p>
            <w:pPr>
              <w:pStyle w:val="15"/>
            </w:pPr>
          </w:p>
        </w:tc>
        <w:tc>
          <w:tcPr>
            <w:tcW w:w="2268" w:type="dxa"/>
            <w:vAlign w:val="center"/>
          </w:tcPr>
          <w:p>
            <w:pPr>
              <w:pStyle w:val="15"/>
            </w:pPr>
            <w:r>
              <w:t>按实际发放</w:t>
            </w:r>
          </w:p>
          <w:p>
            <w:pPr>
              <w:pStyle w:val="15"/>
            </w:pPr>
          </w:p>
        </w:tc>
        <w:tc>
          <w:tcPr>
            <w:tcW w:w="1276" w:type="dxa"/>
            <w:vAlign w:val="center"/>
          </w:tcPr>
          <w:p>
            <w:pPr>
              <w:pStyle w:val="15"/>
            </w:pPr>
            <w:r>
              <w:t>预算文本</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p>
            <w:pPr>
              <w:pStyle w:val="15"/>
            </w:pPr>
          </w:p>
        </w:tc>
        <w:tc>
          <w:tcPr>
            <w:tcW w:w="5386" w:type="dxa"/>
            <w:vAlign w:val="center"/>
          </w:tcPr>
          <w:p>
            <w:pPr>
              <w:pStyle w:val="15"/>
            </w:pPr>
            <w:r>
              <w:t>上级选用中心稿件次数，提高宣传藁城知名度，在社会产生升影响力</w:t>
            </w:r>
            <w:r>
              <w:tab/>
            </w:r>
          </w:p>
          <w:p>
            <w:pPr>
              <w:pStyle w:val="15"/>
            </w:pPr>
          </w:p>
        </w:tc>
        <w:tc>
          <w:tcPr>
            <w:tcW w:w="2268" w:type="dxa"/>
            <w:vAlign w:val="center"/>
          </w:tcPr>
          <w:p>
            <w:pPr>
              <w:pStyle w:val="15"/>
            </w:pPr>
            <w:r>
              <w:t>得到社会认可</w:t>
            </w:r>
          </w:p>
          <w:p>
            <w:pPr>
              <w:pStyle w:val="15"/>
            </w:pPr>
          </w:p>
        </w:tc>
        <w:tc>
          <w:tcPr>
            <w:tcW w:w="1276" w:type="dxa"/>
            <w:vAlign w:val="center"/>
          </w:tcPr>
          <w:p>
            <w:pPr>
              <w:pStyle w:val="15"/>
            </w:pPr>
            <w:r>
              <w:t>工作计划</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受益对象满意度</w:t>
            </w:r>
          </w:p>
          <w:p>
            <w:pPr>
              <w:pStyle w:val="15"/>
            </w:pPr>
          </w:p>
        </w:tc>
        <w:tc>
          <w:tcPr>
            <w:tcW w:w="5386" w:type="dxa"/>
            <w:vAlign w:val="center"/>
          </w:tcPr>
          <w:p>
            <w:pPr>
              <w:pStyle w:val="15"/>
            </w:pPr>
            <w:r>
              <w:t>受益对象满意度</w:t>
            </w:r>
          </w:p>
          <w:p>
            <w:pPr>
              <w:pStyle w:val="15"/>
            </w:pPr>
          </w:p>
        </w:tc>
        <w:tc>
          <w:tcPr>
            <w:tcW w:w="2268" w:type="dxa"/>
            <w:vAlign w:val="center"/>
          </w:tcPr>
          <w:p>
            <w:pPr>
              <w:pStyle w:val="15"/>
            </w:pPr>
            <w:r>
              <w:t>≥95</w:t>
            </w: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907石家庄市藁城区融媒体中心</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石家庄市藁城区融媒体中心（含所属单位）上年末固定资产金额为2172.13万元（详见下表）。本年度拟购置固定资产总额为0.00万元，已按要求列入政府采购预算，详见政府采购预算表。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907石家庄市藁城区融媒体中心</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2172.13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7499.57</w:t>
            </w:r>
          </w:p>
        </w:tc>
        <w:tc>
          <w:tcPr>
            <w:tcW w:w="2835" w:type="dxa"/>
            <w:vAlign w:val="center"/>
          </w:tcPr>
          <w:p>
            <w:pPr>
              <w:pStyle w:val="14"/>
            </w:pPr>
            <w:r>
              <w:t>993.53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1100</w:t>
            </w:r>
          </w:p>
        </w:tc>
        <w:tc>
          <w:tcPr>
            <w:tcW w:w="2835" w:type="dxa"/>
            <w:vAlign w:val="center"/>
          </w:tcPr>
          <w:p>
            <w:pPr>
              <w:pStyle w:val="14"/>
            </w:pPr>
            <w:r>
              <w:t>145.73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1</w:t>
            </w:r>
          </w:p>
        </w:tc>
        <w:tc>
          <w:tcPr>
            <w:tcW w:w="2835" w:type="dxa"/>
            <w:vAlign w:val="center"/>
          </w:tcPr>
          <w:p>
            <w:pPr>
              <w:pStyle w:val="14"/>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7</w:t>
            </w:r>
          </w:p>
        </w:tc>
        <w:tc>
          <w:tcPr>
            <w:tcW w:w="2835" w:type="dxa"/>
            <w:vAlign w:val="center"/>
          </w:tcPr>
          <w:p>
            <w:pPr>
              <w:pStyle w:val="14"/>
            </w:pPr>
            <w:r>
              <w:t>761.37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r>
              <w:t>437</w:t>
            </w:r>
          </w:p>
        </w:tc>
        <w:tc>
          <w:tcPr>
            <w:tcW w:w="2835" w:type="dxa"/>
            <w:vAlign w:val="center"/>
          </w:tcPr>
          <w:p>
            <w:pPr>
              <w:pStyle w:val="14"/>
            </w:pPr>
            <w:r>
              <w:t>406.24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GUyYTYwODIyMWQzZmNmZGVlMzM1Njk0YzJmOGY5NGIifQ=="/>
  </w:docVars>
  <w:rsids>
    <w:rsidRoot w:val="00000000"/>
    <w:rsid w:val="053C1486"/>
    <w:rsid w:val="155A470F"/>
    <w:rsid w:val="1BC62592"/>
    <w:rsid w:val="1CA1009A"/>
    <w:rsid w:val="2092225C"/>
    <w:rsid w:val="28432A67"/>
    <w:rsid w:val="39115B0D"/>
    <w:rsid w:val="3B654437"/>
    <w:rsid w:val="3F09411C"/>
    <w:rsid w:val="45464827"/>
    <w:rsid w:val="4B4C007A"/>
    <w:rsid w:val="5FA36AB1"/>
    <w:rsid w:val="6AF24D91"/>
    <w:rsid w:val="70301469"/>
    <w:rsid w:val="7C5807CC"/>
    <w:rsid w:val="7D5E41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autoRedefine/>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autoRedefine/>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autoRedefine/>
    <w:qFormat/>
    <w:uiPriority w:val="0"/>
    <w:pPr>
      <w:spacing w:line="500" w:lineRule="exact"/>
      <w:ind w:firstLine="560"/>
    </w:pPr>
    <w:rPr>
      <w:rFonts w:eastAsia="方正仿宋_GBK"/>
      <w:sz w:val="28"/>
    </w:rPr>
  </w:style>
  <w:style w:type="character" w:customStyle="1" w:styleId="29">
    <w:name w:val="font71"/>
    <w:basedOn w:val="9"/>
    <w:uiPriority w:val="0"/>
    <w:rPr>
      <w:rFonts w:hint="eastAsia" w:ascii="宋体" w:hAnsi="宋体" w:eastAsia="宋体" w:cs="宋体"/>
      <w:color w:val="000000"/>
      <w:sz w:val="22"/>
      <w:szCs w:val="22"/>
      <w:u w:val="none"/>
    </w:rPr>
  </w:style>
  <w:style w:type="character" w:customStyle="1" w:styleId="30">
    <w:name w:val="font11"/>
    <w:basedOn w:val="9"/>
    <w:uiPriority w:val="0"/>
    <w:rPr>
      <w:rFonts w:hint="default" w:ascii="Arial" w:hAnsi="Arial" w:cs="Arial"/>
      <w:b/>
      <w:bCs/>
      <w:color w:val="000000"/>
      <w:sz w:val="22"/>
      <w:szCs w:val="22"/>
      <w:u w:val="none"/>
    </w:rPr>
  </w:style>
  <w:style w:type="character" w:customStyle="1" w:styleId="31">
    <w:name w:val="font61"/>
    <w:basedOn w:val="9"/>
    <w:uiPriority w:val="0"/>
    <w:rPr>
      <w:rFonts w:hint="eastAsia" w:ascii="宋体" w:hAnsi="宋体" w:eastAsia="宋体" w:cs="宋体"/>
      <w:b/>
      <w:bCs/>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2024-02-29T11:09:31Z</dcterms:created>
  <dcterms:modified xsi:type="dcterms:W3CDTF">2024-02-29T03:09:31Z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2024-02-29T11:09:32Z</dcterms:created>
  <dcterms:modified xsi:type="dcterms:W3CDTF">2024-02-29T03:09:32Z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2024-02-29T11:09:32Z</dcterms:created>
  <dcterms:modified xsi:type="dcterms:W3CDTF">2024-02-29T03:09:32Z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2024-02-29T11:09:33Z</dcterms:created>
  <dcterms:modified xsi:type="dcterms:W3CDTF">2024-02-29T03:09:33Z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2024-02-29T11:09:29Z</dcterms:created>
  <dcterms:modified xsi:type="dcterms:W3CDTF">2024-02-29T03:09:29Z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2024-02-29T11:09:33Z</dcterms:created>
  <dcterms:modified xsi:type="dcterms:W3CDTF">2024-02-29T03:09:33Z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2024-02-29T11:09:34Z</dcterms:created>
  <dcterms:modified xsi:type="dcterms:W3CDTF">2024-02-29T03:09:33Z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2024-02-29T11:09:34Z</dcterms:created>
  <dcterms:modified xsi:type="dcterms:W3CDTF">2024-02-29T03:09:34Z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2024-02-29T11:09:35Z</dcterms:created>
  <dcterms:modified xsi:type="dcterms:W3CDTF">2024-02-29T03:09:35Z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2024-02-29T11:09:29Z</dcterms:created>
  <dcterms:modified xsi:type="dcterms:W3CDTF">2024-02-29T03:09:29Z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2024-02-29T11:09:29Z</dcterms:created>
  <dcterms:modified xsi:type="dcterms:W3CDTF">2024-02-29T03:09:29Z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2024-02-29T11:09:30Z</dcterms:created>
  <dcterms:modified xsi:type="dcterms:W3CDTF">2024-02-29T03:09:30Z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2024-02-29T11:09:28Z</dcterms:created>
  <dcterms:modified xsi:type="dcterms:W3CDTF">2024-02-29T03:09:27Z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2024-02-29T11:09:30Z</dcterms:created>
  <dcterms:modified xsi:type="dcterms:W3CDTF">2024-02-29T03:09:30Z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2024-02-29T11:09:31Z</dcterms:created>
  <dcterms:modified xsi:type="dcterms:W3CDTF">2024-02-29T03:09:31Z</dcterms:modified>
</cp:coreProperties>
</file>

<file path=customXml/itemProps1.xml><?xml version="1.0" encoding="utf-8"?>
<ds:datastoreItem xmlns:ds="http://schemas.openxmlformats.org/officeDocument/2006/customXml" ds:itemID="{1122f533-58cd-4f1c-97b3-125b565b87c0}">
  <ds:schemaRefs/>
</ds:datastoreItem>
</file>

<file path=customXml/itemProps10.xml><?xml version="1.0" encoding="utf-8"?>
<ds:datastoreItem xmlns:ds="http://schemas.openxmlformats.org/officeDocument/2006/customXml" ds:itemID="{eb06de61-b460-4826-a0e3-0803dcc2af7e}">
  <ds:schemaRefs/>
</ds:datastoreItem>
</file>

<file path=customXml/itemProps11.xml><?xml version="1.0" encoding="utf-8"?>
<ds:datastoreItem xmlns:ds="http://schemas.openxmlformats.org/officeDocument/2006/customXml" ds:itemID="{998dada4-2dee-48c2-98f0-ce3ceac2a27d}">
  <ds:schemaRefs/>
</ds:datastoreItem>
</file>

<file path=customXml/itemProps12.xml><?xml version="1.0" encoding="utf-8"?>
<ds:datastoreItem xmlns:ds="http://schemas.openxmlformats.org/officeDocument/2006/customXml" ds:itemID="{e2c04096-9bd2-4bed-ac5b-1f3149b32ca4}">
  <ds:schemaRefs/>
</ds:datastoreItem>
</file>

<file path=customXml/itemProps13.xml><?xml version="1.0" encoding="utf-8"?>
<ds:datastoreItem xmlns:ds="http://schemas.openxmlformats.org/officeDocument/2006/customXml" ds:itemID="{13a1e404-08d3-44da-8627-9cc451825618}">
  <ds:schemaRefs/>
</ds:datastoreItem>
</file>

<file path=customXml/itemProps14.xml><?xml version="1.0" encoding="utf-8"?>
<ds:datastoreItem xmlns:ds="http://schemas.openxmlformats.org/officeDocument/2006/customXml" ds:itemID="{45e29ba5-73f3-4542-a0df-45009a5b7d26}">
  <ds:schemaRefs/>
</ds:datastoreItem>
</file>

<file path=customXml/itemProps15.xml><?xml version="1.0" encoding="utf-8"?>
<ds:datastoreItem xmlns:ds="http://schemas.openxmlformats.org/officeDocument/2006/customXml" ds:itemID="{a6fc06c5-8f49-4c40-8c60-bcbd93b3ffbb}">
  <ds:schemaRefs/>
</ds:datastoreItem>
</file>

<file path=customXml/itemProps16.xml><?xml version="1.0" encoding="utf-8"?>
<ds:datastoreItem xmlns:ds="http://schemas.openxmlformats.org/officeDocument/2006/customXml" ds:itemID="{4efd2227-0e7d-4e55-a41c-e39d2aa2a520}">
  <ds:schemaRefs/>
</ds:datastoreItem>
</file>

<file path=customXml/itemProps17.xml><?xml version="1.0" encoding="utf-8"?>
<ds:datastoreItem xmlns:ds="http://schemas.openxmlformats.org/officeDocument/2006/customXml" ds:itemID="{07febbd4-36b1-4771-8769-ccc202bae28c}">
  <ds:schemaRefs/>
</ds:datastoreItem>
</file>

<file path=customXml/itemProps18.xml><?xml version="1.0" encoding="utf-8"?>
<ds:datastoreItem xmlns:ds="http://schemas.openxmlformats.org/officeDocument/2006/customXml" ds:itemID="{a48cb77f-ad19-46a6-8786-5d3f4bb71666}">
  <ds:schemaRefs/>
</ds:datastoreItem>
</file>

<file path=customXml/itemProps19.xml><?xml version="1.0" encoding="utf-8"?>
<ds:datastoreItem xmlns:ds="http://schemas.openxmlformats.org/officeDocument/2006/customXml" ds:itemID="{9e25c800-6870-4c05-b3b2-1dbeab400e09}">
  <ds:schemaRefs/>
</ds:datastoreItem>
</file>

<file path=customXml/itemProps2.xml><?xml version="1.0" encoding="utf-8"?>
<ds:datastoreItem xmlns:ds="http://schemas.openxmlformats.org/officeDocument/2006/customXml" ds:itemID="{e71bfa1a-fb02-46ed-b2dc-9ef47dcbb1d0}">
  <ds:schemaRefs/>
</ds:datastoreItem>
</file>

<file path=customXml/itemProps20.xml><?xml version="1.0" encoding="utf-8"?>
<ds:datastoreItem xmlns:ds="http://schemas.openxmlformats.org/officeDocument/2006/customXml" ds:itemID="{b4bd57b1-f952-4da7-9e53-b043f8a60587}">
  <ds:schemaRefs/>
</ds:datastoreItem>
</file>

<file path=customXml/itemProps21.xml><?xml version="1.0" encoding="utf-8"?>
<ds:datastoreItem xmlns:ds="http://schemas.openxmlformats.org/officeDocument/2006/customXml" ds:itemID="{b7e48e47-5096-479a-b035-561a5b8d97fc}">
  <ds:schemaRefs/>
</ds:datastoreItem>
</file>

<file path=customXml/itemProps22.xml><?xml version="1.0" encoding="utf-8"?>
<ds:datastoreItem xmlns:ds="http://schemas.openxmlformats.org/officeDocument/2006/customXml" ds:itemID="{55e19fed-d652-4887-a3f2-afd418cded70}">
  <ds:schemaRefs/>
</ds:datastoreItem>
</file>

<file path=customXml/itemProps23.xml><?xml version="1.0" encoding="utf-8"?>
<ds:datastoreItem xmlns:ds="http://schemas.openxmlformats.org/officeDocument/2006/customXml" ds:itemID="{c11365fc-0b36-4d76-a301-047e91ded676}">
  <ds:schemaRefs/>
</ds:datastoreItem>
</file>

<file path=customXml/itemProps24.xml><?xml version="1.0" encoding="utf-8"?>
<ds:datastoreItem xmlns:ds="http://schemas.openxmlformats.org/officeDocument/2006/customXml" ds:itemID="{1e8ea1fe-fd07-4151-9d39-4bc7d76648e7}">
  <ds:schemaRefs/>
</ds:datastoreItem>
</file>

<file path=customXml/itemProps25.xml><?xml version="1.0" encoding="utf-8"?>
<ds:datastoreItem xmlns:ds="http://schemas.openxmlformats.org/officeDocument/2006/customXml" ds:itemID="{086c0661-da88-45bf-94c4-1baca91b5023}">
  <ds:schemaRefs/>
</ds:datastoreItem>
</file>

<file path=customXml/itemProps26.xml><?xml version="1.0" encoding="utf-8"?>
<ds:datastoreItem xmlns:ds="http://schemas.openxmlformats.org/officeDocument/2006/customXml" ds:itemID="{77ff3349-fa9b-4bc0-b47f-7700d8bc79d1}">
  <ds:schemaRefs/>
</ds:datastoreItem>
</file>

<file path=customXml/itemProps27.xml><?xml version="1.0" encoding="utf-8"?>
<ds:datastoreItem xmlns:ds="http://schemas.openxmlformats.org/officeDocument/2006/customXml" ds:itemID="{70e1abfe-3ece-4d6d-b54f-8a74db8fddc7}">
  <ds:schemaRefs/>
</ds:datastoreItem>
</file>

<file path=customXml/itemProps28.xml><?xml version="1.0" encoding="utf-8"?>
<ds:datastoreItem xmlns:ds="http://schemas.openxmlformats.org/officeDocument/2006/customXml" ds:itemID="{80457d19-76e5-4c5c-a44e-87b921df0417}">
  <ds:schemaRefs/>
</ds:datastoreItem>
</file>

<file path=customXml/itemProps29.xml><?xml version="1.0" encoding="utf-8"?>
<ds:datastoreItem xmlns:ds="http://schemas.openxmlformats.org/officeDocument/2006/customXml" ds:itemID="{36f1d93a-2f83-4ff9-9740-4ed63a966fc4}">
  <ds:schemaRefs/>
</ds:datastoreItem>
</file>

<file path=customXml/itemProps3.xml><?xml version="1.0" encoding="utf-8"?>
<ds:datastoreItem xmlns:ds="http://schemas.openxmlformats.org/officeDocument/2006/customXml" ds:itemID="{35f22459-eccd-47ea-952f-f042aecd172a}">
  <ds:schemaRefs/>
</ds:datastoreItem>
</file>

<file path=customXml/itemProps30.xml><?xml version="1.0" encoding="utf-8"?>
<ds:datastoreItem xmlns:ds="http://schemas.openxmlformats.org/officeDocument/2006/customXml" ds:itemID="{e7021316-889f-46b5-9ee5-26cf7b43a5a1}">
  <ds:schemaRefs/>
</ds:datastoreItem>
</file>

<file path=customXml/itemProps4.xml><?xml version="1.0" encoding="utf-8"?>
<ds:datastoreItem xmlns:ds="http://schemas.openxmlformats.org/officeDocument/2006/customXml" ds:itemID="{4789b37f-8d80-42c2-a0b2-00d29eb00f9b}">
  <ds:schemaRefs/>
</ds:datastoreItem>
</file>

<file path=customXml/itemProps5.xml><?xml version="1.0" encoding="utf-8"?>
<ds:datastoreItem xmlns:ds="http://schemas.openxmlformats.org/officeDocument/2006/customXml" ds:itemID="{491e4f8f-430d-4f01-b457-e1d74808e4bf}">
  <ds:schemaRefs/>
</ds:datastoreItem>
</file>

<file path=customXml/itemProps6.xml><?xml version="1.0" encoding="utf-8"?>
<ds:datastoreItem xmlns:ds="http://schemas.openxmlformats.org/officeDocument/2006/customXml" ds:itemID="{8983ad7a-0bf1-490a-9354-dd2ed6d3a9c1}">
  <ds:schemaRefs/>
</ds:datastoreItem>
</file>

<file path=customXml/itemProps7.xml><?xml version="1.0" encoding="utf-8"?>
<ds:datastoreItem xmlns:ds="http://schemas.openxmlformats.org/officeDocument/2006/customXml" ds:itemID="{0cc44e7a-8277-45bc-b556-6f3a05fac26c}">
  <ds:schemaRefs/>
</ds:datastoreItem>
</file>

<file path=customXml/itemProps8.xml><?xml version="1.0" encoding="utf-8"?>
<ds:datastoreItem xmlns:ds="http://schemas.openxmlformats.org/officeDocument/2006/customXml" ds:itemID="{efca206a-df91-4035-84bc-74fbca0d4d72}">
  <ds:schemaRefs/>
</ds:datastoreItem>
</file>

<file path=customXml/itemProps9.xml><?xml version="1.0" encoding="utf-8"?>
<ds:datastoreItem xmlns:ds="http://schemas.openxmlformats.org/officeDocument/2006/customXml" ds:itemID="{7a4579e4-ecdc-4cb4-9223-078b7a4aaf90}">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2024-02-29T11:09:00Z</dcterms:created>
  <dc:creator>Administrator</dc:creator>
  <cp:lastModifiedBy>Administrator</cp:lastModifiedBy>
  <dcterms:modified xsi:type="dcterms:W3CDTF">2024-03-01T06:36:58Z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BF5035ED8798477FB41BCE3BE0C45D83_12</vt:lpwstr>
  </property>
</Properties>
</file>