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430石家庄市藁城区机关事务服务中心</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765.65</w:t>
            </w:r>
          </w:p>
        </w:tc>
        <w:tc>
          <w:tcPr>
            <w:tcW w:w="4535" w:type="dxa"/>
            <w:vAlign w:val="center"/>
          </w:tcPr>
          <w:p>
            <w:pPr>
              <w:pStyle w:val="13"/>
            </w:pPr>
            <w:r>
              <w:t>一、一般公共服务支出</w:t>
            </w:r>
          </w:p>
        </w:tc>
        <w:tc>
          <w:tcPr>
            <w:tcW w:w="2126" w:type="dxa"/>
            <w:vAlign w:val="center"/>
          </w:tcPr>
          <w:p>
            <w:pPr>
              <w:pStyle w:val="12"/>
            </w:pPr>
            <w:r>
              <w:t>765.65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1050.00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1050.00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1815.65</w:t>
            </w:r>
          </w:p>
        </w:tc>
        <w:tc>
          <w:tcPr>
            <w:tcW w:w="4535" w:type="dxa"/>
            <w:vAlign w:val="center"/>
          </w:tcPr>
          <w:p>
            <w:pPr>
              <w:pStyle w:val="15"/>
            </w:pPr>
            <w:r>
              <w:t>本年支出合计</w:t>
            </w:r>
          </w:p>
        </w:tc>
        <w:tc>
          <w:tcPr>
            <w:tcW w:w="2126" w:type="dxa"/>
            <w:vAlign w:val="center"/>
          </w:tcPr>
          <w:p>
            <w:pPr>
              <w:pStyle w:val="16"/>
            </w:pPr>
            <w:r>
              <w:t>1815.65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1815.65</w:t>
            </w:r>
          </w:p>
        </w:tc>
        <w:tc>
          <w:tcPr>
            <w:tcW w:w="4535" w:type="dxa"/>
            <w:vAlign w:val="center"/>
          </w:tcPr>
          <w:p>
            <w:pPr>
              <w:pStyle w:val="15"/>
            </w:pPr>
            <w:r>
              <w:t>支出总计</w:t>
            </w:r>
          </w:p>
        </w:tc>
        <w:tc>
          <w:tcPr>
            <w:tcW w:w="2126" w:type="dxa"/>
            <w:vAlign w:val="center"/>
          </w:tcPr>
          <w:p>
            <w:pPr>
              <w:pStyle w:val="16"/>
            </w:pPr>
            <w:r>
              <w:t>1815.65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430石家庄市藁城区机关事务服务中心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1815.65</w:t>
            </w:r>
          </w:p>
        </w:tc>
        <w:tc>
          <w:tcPr>
            <w:tcW w:w="1134" w:type="dxa"/>
            <w:vAlign w:val="center"/>
          </w:tcPr>
          <w:p>
            <w:pPr>
              <w:pStyle w:val="16"/>
            </w:pPr>
            <w:r>
              <w:t>1815.65</w:t>
            </w:r>
          </w:p>
        </w:tc>
        <w:tc>
          <w:tcPr>
            <w:tcW w:w="1134" w:type="dxa"/>
            <w:vAlign w:val="center"/>
          </w:tcPr>
          <w:p>
            <w:pPr>
              <w:pStyle w:val="16"/>
            </w:pPr>
            <w:r>
              <w:t>1815.65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765.65</w:t>
            </w:r>
          </w:p>
        </w:tc>
        <w:tc>
          <w:tcPr>
            <w:tcW w:w="1134" w:type="dxa"/>
            <w:vAlign w:val="center"/>
          </w:tcPr>
          <w:p>
            <w:pPr>
              <w:pStyle w:val="12"/>
            </w:pPr>
            <w:r>
              <w:t>765.65</w:t>
            </w:r>
          </w:p>
        </w:tc>
        <w:tc>
          <w:tcPr>
            <w:tcW w:w="1134" w:type="dxa"/>
            <w:vAlign w:val="center"/>
          </w:tcPr>
          <w:p>
            <w:pPr>
              <w:pStyle w:val="12"/>
            </w:pPr>
            <w:r>
              <w:t>765.65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765.65</w:t>
            </w:r>
          </w:p>
        </w:tc>
        <w:tc>
          <w:tcPr>
            <w:tcW w:w="1134" w:type="dxa"/>
            <w:vAlign w:val="center"/>
          </w:tcPr>
          <w:p>
            <w:pPr>
              <w:pStyle w:val="12"/>
            </w:pPr>
            <w:r>
              <w:t>765.65</w:t>
            </w:r>
          </w:p>
        </w:tc>
        <w:tc>
          <w:tcPr>
            <w:tcW w:w="1134" w:type="dxa"/>
            <w:vAlign w:val="center"/>
          </w:tcPr>
          <w:p>
            <w:pPr>
              <w:pStyle w:val="12"/>
            </w:pPr>
            <w:r>
              <w:t>765.65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2010303</w:t>
            </w:r>
          </w:p>
        </w:tc>
        <w:tc>
          <w:tcPr>
            <w:tcW w:w="1559" w:type="dxa"/>
            <w:vAlign w:val="center"/>
          </w:tcPr>
          <w:p>
            <w:pPr>
              <w:pStyle w:val="13"/>
            </w:pPr>
            <w:r>
              <w:t>机关服务</w:t>
            </w:r>
          </w:p>
        </w:tc>
        <w:tc>
          <w:tcPr>
            <w:tcW w:w="1134" w:type="dxa"/>
            <w:vAlign w:val="center"/>
          </w:tcPr>
          <w:p>
            <w:pPr>
              <w:pStyle w:val="12"/>
            </w:pPr>
            <w:r>
              <w:t>765.65</w:t>
            </w:r>
          </w:p>
        </w:tc>
        <w:tc>
          <w:tcPr>
            <w:tcW w:w="1134" w:type="dxa"/>
            <w:vAlign w:val="center"/>
          </w:tcPr>
          <w:p>
            <w:pPr>
              <w:pStyle w:val="12"/>
            </w:pPr>
            <w:r>
              <w:t>765.65</w:t>
            </w:r>
          </w:p>
        </w:tc>
        <w:tc>
          <w:tcPr>
            <w:tcW w:w="1134" w:type="dxa"/>
            <w:vAlign w:val="center"/>
          </w:tcPr>
          <w:p>
            <w:pPr>
              <w:pStyle w:val="12"/>
            </w:pPr>
            <w:r>
              <w:t>765.65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1050.00</w:t>
            </w:r>
          </w:p>
        </w:tc>
        <w:tc>
          <w:tcPr>
            <w:tcW w:w="1134" w:type="dxa"/>
            <w:vAlign w:val="center"/>
          </w:tcPr>
          <w:p>
            <w:pPr>
              <w:pStyle w:val="12"/>
            </w:pPr>
            <w:r>
              <w:t>1050.00</w:t>
            </w:r>
          </w:p>
        </w:tc>
        <w:tc>
          <w:tcPr>
            <w:tcW w:w="1134" w:type="dxa"/>
            <w:vAlign w:val="center"/>
          </w:tcPr>
          <w:p>
            <w:pPr>
              <w:pStyle w:val="12"/>
            </w:pPr>
            <w:r>
              <w:t>1050.00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1050.00</w:t>
            </w:r>
          </w:p>
        </w:tc>
        <w:tc>
          <w:tcPr>
            <w:tcW w:w="1134" w:type="dxa"/>
            <w:vAlign w:val="center"/>
          </w:tcPr>
          <w:p>
            <w:pPr>
              <w:pStyle w:val="12"/>
            </w:pPr>
            <w:r>
              <w:t>1050.00</w:t>
            </w:r>
          </w:p>
        </w:tc>
        <w:tc>
          <w:tcPr>
            <w:tcW w:w="1134" w:type="dxa"/>
            <w:vAlign w:val="center"/>
          </w:tcPr>
          <w:p>
            <w:pPr>
              <w:pStyle w:val="12"/>
            </w:pPr>
            <w:r>
              <w:t>1050.00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2120803</w:t>
            </w:r>
          </w:p>
        </w:tc>
        <w:tc>
          <w:tcPr>
            <w:tcW w:w="1559" w:type="dxa"/>
            <w:vAlign w:val="center"/>
          </w:tcPr>
          <w:p>
            <w:pPr>
              <w:pStyle w:val="13"/>
            </w:pPr>
            <w:r>
              <w:t>城市建设支出</w:t>
            </w:r>
          </w:p>
        </w:tc>
        <w:tc>
          <w:tcPr>
            <w:tcW w:w="1134" w:type="dxa"/>
            <w:vAlign w:val="center"/>
          </w:tcPr>
          <w:p>
            <w:pPr>
              <w:pStyle w:val="12"/>
            </w:pPr>
            <w:r>
              <w:t>1050.00</w:t>
            </w:r>
          </w:p>
        </w:tc>
        <w:tc>
          <w:tcPr>
            <w:tcW w:w="1134" w:type="dxa"/>
            <w:vAlign w:val="center"/>
          </w:tcPr>
          <w:p>
            <w:pPr>
              <w:pStyle w:val="12"/>
            </w:pPr>
            <w:r>
              <w:t>1050.00</w:t>
            </w:r>
          </w:p>
        </w:tc>
        <w:tc>
          <w:tcPr>
            <w:tcW w:w="1134" w:type="dxa"/>
            <w:vAlign w:val="center"/>
          </w:tcPr>
          <w:p>
            <w:pPr>
              <w:pStyle w:val="12"/>
            </w:pPr>
            <w:r>
              <w:t>1050.00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430石家庄市藁城区机关事务服务中心</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1815.65</w:t>
            </w:r>
          </w:p>
        </w:tc>
        <w:tc>
          <w:tcPr>
            <w:tcW w:w="1361" w:type="dxa"/>
            <w:vAlign w:val="center"/>
          </w:tcPr>
          <w:p>
            <w:pPr>
              <w:pStyle w:val="16"/>
            </w:pPr>
            <w:r>
              <w:t>382.27</w:t>
            </w:r>
          </w:p>
        </w:tc>
        <w:tc>
          <w:tcPr>
            <w:tcW w:w="1361" w:type="dxa"/>
            <w:vAlign w:val="center"/>
          </w:tcPr>
          <w:p>
            <w:pPr>
              <w:pStyle w:val="16"/>
            </w:pPr>
            <w:r>
              <w:t>1433.39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765.65</w:t>
            </w:r>
          </w:p>
        </w:tc>
        <w:tc>
          <w:tcPr>
            <w:tcW w:w="1361" w:type="dxa"/>
            <w:vAlign w:val="center"/>
          </w:tcPr>
          <w:p>
            <w:pPr>
              <w:pStyle w:val="12"/>
            </w:pPr>
            <w:r>
              <w:t>382.27</w:t>
            </w:r>
          </w:p>
        </w:tc>
        <w:tc>
          <w:tcPr>
            <w:tcW w:w="1361" w:type="dxa"/>
            <w:vAlign w:val="center"/>
          </w:tcPr>
          <w:p>
            <w:pPr>
              <w:pStyle w:val="12"/>
            </w:pPr>
            <w:r>
              <w:t>383.39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765.65</w:t>
            </w:r>
          </w:p>
        </w:tc>
        <w:tc>
          <w:tcPr>
            <w:tcW w:w="1361" w:type="dxa"/>
            <w:vAlign w:val="center"/>
          </w:tcPr>
          <w:p>
            <w:pPr>
              <w:pStyle w:val="12"/>
            </w:pPr>
            <w:r>
              <w:t>382.27</w:t>
            </w:r>
          </w:p>
        </w:tc>
        <w:tc>
          <w:tcPr>
            <w:tcW w:w="1361" w:type="dxa"/>
            <w:vAlign w:val="center"/>
          </w:tcPr>
          <w:p>
            <w:pPr>
              <w:pStyle w:val="12"/>
            </w:pPr>
            <w:r>
              <w:t>383.39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2010303</w:t>
            </w:r>
          </w:p>
        </w:tc>
        <w:tc>
          <w:tcPr>
            <w:tcW w:w="4535" w:type="dxa"/>
            <w:vAlign w:val="center"/>
          </w:tcPr>
          <w:p>
            <w:pPr>
              <w:pStyle w:val="13"/>
            </w:pPr>
            <w:r>
              <w:t>机关服务</w:t>
            </w:r>
          </w:p>
        </w:tc>
        <w:tc>
          <w:tcPr>
            <w:tcW w:w="1361" w:type="dxa"/>
            <w:vAlign w:val="center"/>
          </w:tcPr>
          <w:p>
            <w:pPr>
              <w:pStyle w:val="12"/>
            </w:pPr>
            <w:r>
              <w:t>765.65</w:t>
            </w:r>
          </w:p>
        </w:tc>
        <w:tc>
          <w:tcPr>
            <w:tcW w:w="1361" w:type="dxa"/>
            <w:vAlign w:val="center"/>
          </w:tcPr>
          <w:p>
            <w:pPr>
              <w:pStyle w:val="12"/>
            </w:pPr>
            <w:r>
              <w:t>382.27</w:t>
            </w:r>
          </w:p>
        </w:tc>
        <w:tc>
          <w:tcPr>
            <w:tcW w:w="1361" w:type="dxa"/>
            <w:vAlign w:val="center"/>
          </w:tcPr>
          <w:p>
            <w:pPr>
              <w:pStyle w:val="12"/>
            </w:pPr>
            <w:r>
              <w:t>383.39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1050.00</w:t>
            </w:r>
          </w:p>
        </w:tc>
        <w:tc>
          <w:tcPr>
            <w:tcW w:w="1361" w:type="dxa"/>
            <w:vAlign w:val="center"/>
          </w:tcPr>
          <w:p>
            <w:pPr>
              <w:pStyle w:val="12"/>
            </w:pPr>
          </w:p>
        </w:tc>
        <w:tc>
          <w:tcPr>
            <w:tcW w:w="1361" w:type="dxa"/>
            <w:vAlign w:val="center"/>
          </w:tcPr>
          <w:p>
            <w:pPr>
              <w:pStyle w:val="12"/>
            </w:pPr>
            <w:r>
              <w:t>1050.00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1050.00</w:t>
            </w:r>
          </w:p>
        </w:tc>
        <w:tc>
          <w:tcPr>
            <w:tcW w:w="1361" w:type="dxa"/>
            <w:vAlign w:val="center"/>
          </w:tcPr>
          <w:p>
            <w:pPr>
              <w:pStyle w:val="12"/>
            </w:pPr>
          </w:p>
        </w:tc>
        <w:tc>
          <w:tcPr>
            <w:tcW w:w="1361" w:type="dxa"/>
            <w:vAlign w:val="center"/>
          </w:tcPr>
          <w:p>
            <w:pPr>
              <w:pStyle w:val="12"/>
            </w:pPr>
            <w:r>
              <w:t>1050.00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2120803</w:t>
            </w:r>
          </w:p>
        </w:tc>
        <w:tc>
          <w:tcPr>
            <w:tcW w:w="4535" w:type="dxa"/>
            <w:vAlign w:val="center"/>
          </w:tcPr>
          <w:p>
            <w:pPr>
              <w:pStyle w:val="13"/>
            </w:pPr>
            <w:r>
              <w:t>城市建设支出</w:t>
            </w:r>
          </w:p>
        </w:tc>
        <w:tc>
          <w:tcPr>
            <w:tcW w:w="1361" w:type="dxa"/>
            <w:vAlign w:val="center"/>
          </w:tcPr>
          <w:p>
            <w:pPr>
              <w:pStyle w:val="12"/>
            </w:pPr>
            <w:r>
              <w:t>1050.00</w:t>
            </w:r>
          </w:p>
        </w:tc>
        <w:tc>
          <w:tcPr>
            <w:tcW w:w="1361" w:type="dxa"/>
            <w:vAlign w:val="center"/>
          </w:tcPr>
          <w:p>
            <w:pPr>
              <w:pStyle w:val="12"/>
            </w:pPr>
          </w:p>
        </w:tc>
        <w:tc>
          <w:tcPr>
            <w:tcW w:w="1361" w:type="dxa"/>
            <w:vAlign w:val="center"/>
          </w:tcPr>
          <w:p>
            <w:pPr>
              <w:pStyle w:val="12"/>
            </w:pPr>
            <w:r>
              <w:t>1050.00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430石家庄市藁城区机关事务服务中心</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765.65</w:t>
            </w:r>
          </w:p>
        </w:tc>
        <w:tc>
          <w:tcPr>
            <w:tcW w:w="3402" w:type="dxa"/>
            <w:vAlign w:val="center"/>
          </w:tcPr>
          <w:p>
            <w:pPr>
              <w:pStyle w:val="13"/>
            </w:pPr>
            <w:r>
              <w:t>一、一般公共服务支出</w:t>
            </w:r>
          </w:p>
        </w:tc>
        <w:tc>
          <w:tcPr>
            <w:tcW w:w="1474" w:type="dxa"/>
            <w:vAlign w:val="center"/>
          </w:tcPr>
          <w:p>
            <w:pPr>
              <w:pStyle w:val="12"/>
            </w:pPr>
            <w:r>
              <w:t>765.65</w:t>
            </w:r>
          </w:p>
        </w:tc>
        <w:tc>
          <w:tcPr>
            <w:tcW w:w="1474" w:type="dxa"/>
            <w:vAlign w:val="center"/>
          </w:tcPr>
          <w:p>
            <w:pPr>
              <w:pStyle w:val="12"/>
            </w:pPr>
            <w:r>
              <w:t>765.65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1050.00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1050.00</w:t>
            </w:r>
          </w:p>
        </w:tc>
        <w:tc>
          <w:tcPr>
            <w:tcW w:w="1474" w:type="dxa"/>
            <w:vAlign w:val="center"/>
          </w:tcPr>
          <w:p>
            <w:pPr>
              <w:pStyle w:val="12"/>
            </w:pPr>
          </w:p>
        </w:tc>
        <w:tc>
          <w:tcPr>
            <w:tcW w:w="1474" w:type="dxa"/>
            <w:vAlign w:val="center"/>
          </w:tcPr>
          <w:p>
            <w:pPr>
              <w:pStyle w:val="12"/>
            </w:pPr>
            <w:r>
              <w:t>1050.00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1815.65</w:t>
            </w:r>
          </w:p>
        </w:tc>
        <w:tc>
          <w:tcPr>
            <w:tcW w:w="3402" w:type="dxa"/>
            <w:vAlign w:val="center"/>
          </w:tcPr>
          <w:p>
            <w:pPr>
              <w:pStyle w:val="15"/>
            </w:pPr>
            <w:r>
              <w:t>本年支出合计</w:t>
            </w:r>
          </w:p>
        </w:tc>
        <w:tc>
          <w:tcPr>
            <w:tcW w:w="1474" w:type="dxa"/>
            <w:vAlign w:val="center"/>
          </w:tcPr>
          <w:p>
            <w:pPr>
              <w:pStyle w:val="16"/>
            </w:pPr>
            <w:r>
              <w:t>1815.65</w:t>
            </w:r>
          </w:p>
        </w:tc>
        <w:tc>
          <w:tcPr>
            <w:tcW w:w="1474" w:type="dxa"/>
            <w:vAlign w:val="center"/>
          </w:tcPr>
          <w:p>
            <w:pPr>
              <w:pStyle w:val="16"/>
            </w:pPr>
            <w:r>
              <w:t>765.65</w:t>
            </w:r>
          </w:p>
        </w:tc>
        <w:tc>
          <w:tcPr>
            <w:tcW w:w="1474" w:type="dxa"/>
            <w:vAlign w:val="center"/>
          </w:tcPr>
          <w:p>
            <w:pPr>
              <w:pStyle w:val="16"/>
            </w:pPr>
            <w:r>
              <w:t>1050.00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1815.65</w:t>
            </w:r>
          </w:p>
        </w:tc>
        <w:tc>
          <w:tcPr>
            <w:tcW w:w="3402" w:type="dxa"/>
            <w:vAlign w:val="center"/>
          </w:tcPr>
          <w:p>
            <w:pPr>
              <w:pStyle w:val="15"/>
            </w:pPr>
            <w:r>
              <w:t>支出总计</w:t>
            </w:r>
          </w:p>
        </w:tc>
        <w:tc>
          <w:tcPr>
            <w:tcW w:w="1474" w:type="dxa"/>
            <w:vAlign w:val="center"/>
          </w:tcPr>
          <w:p>
            <w:pPr>
              <w:pStyle w:val="16"/>
            </w:pPr>
            <w:r>
              <w:t>1815.65</w:t>
            </w:r>
          </w:p>
        </w:tc>
        <w:tc>
          <w:tcPr>
            <w:tcW w:w="1474" w:type="dxa"/>
            <w:vAlign w:val="center"/>
          </w:tcPr>
          <w:p>
            <w:pPr>
              <w:pStyle w:val="16"/>
            </w:pPr>
            <w:r>
              <w:t>765.65</w:t>
            </w:r>
          </w:p>
        </w:tc>
        <w:tc>
          <w:tcPr>
            <w:tcW w:w="1474" w:type="dxa"/>
            <w:vAlign w:val="center"/>
          </w:tcPr>
          <w:p>
            <w:pPr>
              <w:pStyle w:val="16"/>
            </w:pPr>
            <w:r>
              <w:t>1050.00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430石家庄市藁城区机关事务服务中心</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765.65</w:t>
            </w:r>
          </w:p>
        </w:tc>
        <w:tc>
          <w:tcPr>
            <w:tcW w:w="2551" w:type="dxa"/>
            <w:vAlign w:val="center"/>
          </w:tcPr>
          <w:p>
            <w:pPr>
              <w:pStyle w:val="16"/>
            </w:pPr>
            <w:r>
              <w:t>382.27</w:t>
            </w:r>
          </w:p>
        </w:tc>
        <w:tc>
          <w:tcPr>
            <w:tcW w:w="2551" w:type="dxa"/>
            <w:vAlign w:val="center"/>
          </w:tcPr>
          <w:p>
            <w:pPr>
              <w:pStyle w:val="16"/>
            </w:pPr>
            <w:r>
              <w:t>383.39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765.65</w:t>
            </w:r>
          </w:p>
        </w:tc>
        <w:tc>
          <w:tcPr>
            <w:tcW w:w="2551" w:type="dxa"/>
            <w:vAlign w:val="center"/>
          </w:tcPr>
          <w:p>
            <w:pPr>
              <w:pStyle w:val="12"/>
            </w:pPr>
            <w:r>
              <w:t>382.27</w:t>
            </w:r>
          </w:p>
        </w:tc>
        <w:tc>
          <w:tcPr>
            <w:tcW w:w="2551" w:type="dxa"/>
            <w:vAlign w:val="center"/>
          </w:tcPr>
          <w:p>
            <w:pPr>
              <w:pStyle w:val="12"/>
            </w:pPr>
            <w:r>
              <w:t>383.39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765.65</w:t>
            </w:r>
          </w:p>
        </w:tc>
        <w:tc>
          <w:tcPr>
            <w:tcW w:w="2551" w:type="dxa"/>
            <w:vAlign w:val="center"/>
          </w:tcPr>
          <w:p>
            <w:pPr>
              <w:pStyle w:val="12"/>
            </w:pPr>
            <w:r>
              <w:t>382.27</w:t>
            </w:r>
          </w:p>
        </w:tc>
        <w:tc>
          <w:tcPr>
            <w:tcW w:w="2551" w:type="dxa"/>
            <w:vAlign w:val="center"/>
          </w:tcPr>
          <w:p>
            <w:pPr>
              <w:pStyle w:val="12"/>
            </w:pPr>
            <w:r>
              <w:t>383.39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2010303</w:t>
            </w:r>
          </w:p>
        </w:tc>
        <w:tc>
          <w:tcPr>
            <w:tcW w:w="4535" w:type="dxa"/>
            <w:vAlign w:val="center"/>
          </w:tcPr>
          <w:p>
            <w:pPr>
              <w:pStyle w:val="13"/>
            </w:pPr>
            <w:r>
              <w:t>机关服务</w:t>
            </w:r>
          </w:p>
        </w:tc>
        <w:tc>
          <w:tcPr>
            <w:tcW w:w="2551" w:type="dxa"/>
            <w:vAlign w:val="center"/>
          </w:tcPr>
          <w:p>
            <w:pPr>
              <w:pStyle w:val="12"/>
            </w:pPr>
            <w:r>
              <w:t>765.65</w:t>
            </w:r>
          </w:p>
        </w:tc>
        <w:tc>
          <w:tcPr>
            <w:tcW w:w="2551" w:type="dxa"/>
            <w:vAlign w:val="center"/>
          </w:tcPr>
          <w:p>
            <w:pPr>
              <w:pStyle w:val="12"/>
            </w:pPr>
            <w:r>
              <w:t>382.27</w:t>
            </w:r>
          </w:p>
        </w:tc>
        <w:tc>
          <w:tcPr>
            <w:tcW w:w="2551" w:type="dxa"/>
            <w:vAlign w:val="center"/>
          </w:tcPr>
          <w:p>
            <w:pPr>
              <w:pStyle w:val="12"/>
            </w:pPr>
            <w:r>
              <w:t>383.39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430石家庄市藁城区机关事务服务中心</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382.27</w:t>
            </w:r>
          </w:p>
        </w:tc>
        <w:tc>
          <w:tcPr>
            <w:tcW w:w="2551" w:type="dxa"/>
            <w:vAlign w:val="center"/>
          </w:tcPr>
          <w:p>
            <w:pPr>
              <w:pStyle w:val="16"/>
            </w:pPr>
            <w:r>
              <w:t>173.04</w:t>
            </w:r>
          </w:p>
        </w:tc>
        <w:tc>
          <w:tcPr>
            <w:tcW w:w="2551" w:type="dxa"/>
            <w:vAlign w:val="center"/>
          </w:tcPr>
          <w:p>
            <w:pPr>
              <w:pStyle w:val="16"/>
            </w:pPr>
            <w:r>
              <w:t>209.23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173.04</w:t>
            </w:r>
          </w:p>
        </w:tc>
        <w:tc>
          <w:tcPr>
            <w:tcW w:w="2551" w:type="dxa"/>
            <w:vAlign w:val="center"/>
          </w:tcPr>
          <w:p>
            <w:pPr>
              <w:pStyle w:val="12"/>
            </w:pPr>
            <w:r>
              <w:t>173.04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37.16</w:t>
            </w:r>
          </w:p>
        </w:tc>
        <w:tc>
          <w:tcPr>
            <w:tcW w:w="2551" w:type="dxa"/>
            <w:vAlign w:val="center"/>
          </w:tcPr>
          <w:p>
            <w:pPr>
              <w:pStyle w:val="12"/>
            </w:pPr>
            <w:r>
              <w:t>37.16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21.50</w:t>
            </w:r>
          </w:p>
        </w:tc>
        <w:tc>
          <w:tcPr>
            <w:tcW w:w="2551" w:type="dxa"/>
            <w:vAlign w:val="center"/>
          </w:tcPr>
          <w:p>
            <w:pPr>
              <w:pStyle w:val="12"/>
            </w:pPr>
            <w:r>
              <w:t>21.50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60.56</w:t>
            </w:r>
          </w:p>
        </w:tc>
        <w:tc>
          <w:tcPr>
            <w:tcW w:w="2551" w:type="dxa"/>
            <w:vAlign w:val="center"/>
          </w:tcPr>
          <w:p>
            <w:pPr>
              <w:pStyle w:val="12"/>
            </w:pPr>
            <w:r>
              <w:t>60.56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19.53</w:t>
            </w:r>
          </w:p>
        </w:tc>
        <w:tc>
          <w:tcPr>
            <w:tcW w:w="2551" w:type="dxa"/>
            <w:vAlign w:val="center"/>
          </w:tcPr>
          <w:p>
            <w:pPr>
              <w:pStyle w:val="12"/>
            </w:pPr>
            <w:r>
              <w:t>19.53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6.56</w:t>
            </w:r>
          </w:p>
        </w:tc>
        <w:tc>
          <w:tcPr>
            <w:tcW w:w="2551" w:type="dxa"/>
            <w:vAlign w:val="center"/>
          </w:tcPr>
          <w:p>
            <w:pPr>
              <w:pStyle w:val="12"/>
            </w:pPr>
            <w:r>
              <w:t>6.56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5.08</w:t>
            </w:r>
          </w:p>
        </w:tc>
        <w:tc>
          <w:tcPr>
            <w:tcW w:w="2551" w:type="dxa"/>
            <w:vAlign w:val="center"/>
          </w:tcPr>
          <w:p>
            <w:pPr>
              <w:pStyle w:val="12"/>
            </w:pPr>
            <w:r>
              <w:t>5.08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7.74</w:t>
            </w:r>
          </w:p>
        </w:tc>
        <w:tc>
          <w:tcPr>
            <w:tcW w:w="2551" w:type="dxa"/>
            <w:vAlign w:val="center"/>
          </w:tcPr>
          <w:p>
            <w:pPr>
              <w:pStyle w:val="12"/>
            </w:pPr>
            <w:r>
              <w:t>7.74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14.92</w:t>
            </w:r>
          </w:p>
        </w:tc>
        <w:tc>
          <w:tcPr>
            <w:tcW w:w="2551" w:type="dxa"/>
            <w:vAlign w:val="center"/>
          </w:tcPr>
          <w:p>
            <w:pPr>
              <w:pStyle w:val="12"/>
            </w:pPr>
            <w:r>
              <w:t>14.92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209.23</w:t>
            </w:r>
          </w:p>
        </w:tc>
        <w:tc>
          <w:tcPr>
            <w:tcW w:w="2551" w:type="dxa"/>
            <w:vAlign w:val="center"/>
          </w:tcPr>
          <w:p>
            <w:pPr>
              <w:pStyle w:val="12"/>
            </w:pPr>
          </w:p>
        </w:tc>
        <w:tc>
          <w:tcPr>
            <w:tcW w:w="2551" w:type="dxa"/>
            <w:vAlign w:val="center"/>
          </w:tcPr>
          <w:p>
            <w:pPr>
              <w:pStyle w:val="12"/>
            </w:pPr>
            <w:r>
              <w:t>209.23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3.30</w:t>
            </w:r>
          </w:p>
        </w:tc>
        <w:tc>
          <w:tcPr>
            <w:tcW w:w="2551" w:type="dxa"/>
            <w:vAlign w:val="center"/>
          </w:tcPr>
          <w:p>
            <w:pPr>
              <w:pStyle w:val="12"/>
            </w:pPr>
          </w:p>
        </w:tc>
        <w:tc>
          <w:tcPr>
            <w:tcW w:w="2551" w:type="dxa"/>
            <w:vAlign w:val="center"/>
          </w:tcPr>
          <w:p>
            <w:pPr>
              <w:pStyle w:val="12"/>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50.00</w:t>
            </w:r>
          </w:p>
        </w:tc>
        <w:tc>
          <w:tcPr>
            <w:tcW w:w="2551" w:type="dxa"/>
            <w:vAlign w:val="center"/>
          </w:tcPr>
          <w:p>
            <w:pPr>
              <w:pStyle w:val="12"/>
            </w:pPr>
          </w:p>
        </w:tc>
        <w:tc>
          <w:tcPr>
            <w:tcW w:w="2551"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150.00</w:t>
            </w:r>
          </w:p>
        </w:tc>
        <w:tc>
          <w:tcPr>
            <w:tcW w:w="2551" w:type="dxa"/>
            <w:vAlign w:val="center"/>
          </w:tcPr>
          <w:p>
            <w:pPr>
              <w:pStyle w:val="12"/>
            </w:pPr>
          </w:p>
        </w:tc>
        <w:tc>
          <w:tcPr>
            <w:tcW w:w="2551" w:type="dxa"/>
            <w:vAlign w:val="center"/>
          </w:tcPr>
          <w:p>
            <w:pPr>
              <w:pStyle w:val="12"/>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1.17</w:t>
            </w:r>
          </w:p>
        </w:tc>
        <w:tc>
          <w:tcPr>
            <w:tcW w:w="2551" w:type="dxa"/>
            <w:vAlign w:val="center"/>
          </w:tcPr>
          <w:p>
            <w:pPr>
              <w:pStyle w:val="12"/>
            </w:pPr>
          </w:p>
        </w:tc>
        <w:tc>
          <w:tcPr>
            <w:tcW w:w="2551" w:type="dxa"/>
            <w:vAlign w:val="center"/>
          </w:tcPr>
          <w:p>
            <w:pPr>
              <w:pStyle w:val="12"/>
            </w:pPr>
            <w:r>
              <w:t>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0.93</w:t>
            </w:r>
          </w:p>
        </w:tc>
        <w:tc>
          <w:tcPr>
            <w:tcW w:w="2551" w:type="dxa"/>
            <w:vAlign w:val="center"/>
          </w:tcPr>
          <w:p>
            <w:pPr>
              <w:pStyle w:val="12"/>
            </w:pPr>
          </w:p>
        </w:tc>
        <w:tc>
          <w:tcPr>
            <w:tcW w:w="2551" w:type="dxa"/>
            <w:vAlign w:val="center"/>
          </w:tcPr>
          <w:p>
            <w:pPr>
              <w:pStyle w:val="12"/>
            </w:pPr>
            <w: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2.20</w:t>
            </w:r>
          </w:p>
        </w:tc>
        <w:tc>
          <w:tcPr>
            <w:tcW w:w="2551" w:type="dxa"/>
            <w:vAlign w:val="center"/>
          </w:tcPr>
          <w:p>
            <w:pPr>
              <w:pStyle w:val="12"/>
            </w:pPr>
          </w:p>
        </w:tc>
        <w:tc>
          <w:tcPr>
            <w:tcW w:w="2551" w:type="dxa"/>
            <w:vAlign w:val="center"/>
          </w:tcPr>
          <w:p>
            <w:pPr>
              <w:pStyle w:val="12"/>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1.56</w:t>
            </w:r>
          </w:p>
        </w:tc>
        <w:tc>
          <w:tcPr>
            <w:tcW w:w="2551" w:type="dxa"/>
            <w:vAlign w:val="center"/>
          </w:tcPr>
          <w:p>
            <w:pPr>
              <w:pStyle w:val="12"/>
            </w:pPr>
          </w:p>
        </w:tc>
        <w:tc>
          <w:tcPr>
            <w:tcW w:w="2551" w:type="dxa"/>
            <w:vAlign w:val="center"/>
          </w:tcPr>
          <w:p>
            <w:pPr>
              <w:pStyle w:val="12"/>
            </w:pPr>
            <w:r>
              <w:t>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0.07</w:t>
            </w:r>
          </w:p>
        </w:tc>
        <w:tc>
          <w:tcPr>
            <w:tcW w:w="2551" w:type="dxa"/>
            <w:vAlign w:val="center"/>
          </w:tcPr>
          <w:p>
            <w:pPr>
              <w:pStyle w:val="12"/>
            </w:pPr>
          </w:p>
        </w:tc>
        <w:tc>
          <w:tcPr>
            <w:tcW w:w="2551" w:type="dxa"/>
            <w:vAlign w:val="center"/>
          </w:tcPr>
          <w:p>
            <w:pPr>
              <w:pStyle w:val="12"/>
            </w:pPr>
            <w:r>
              <w:t>0.07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430石家庄市藁城区机关事务服务中心</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1050.00</w:t>
            </w:r>
          </w:p>
        </w:tc>
        <w:tc>
          <w:tcPr>
            <w:tcW w:w="2551" w:type="dxa"/>
            <w:vAlign w:val="center"/>
          </w:tcPr>
          <w:p>
            <w:pPr>
              <w:pStyle w:val="16"/>
            </w:pPr>
          </w:p>
        </w:tc>
        <w:tc>
          <w:tcPr>
            <w:tcW w:w="2551" w:type="dxa"/>
            <w:vAlign w:val="center"/>
          </w:tcPr>
          <w:p>
            <w:pPr>
              <w:pStyle w:val="16"/>
            </w:pPr>
            <w:r>
              <w:t>1050.00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1050.00</w:t>
            </w:r>
          </w:p>
        </w:tc>
        <w:tc>
          <w:tcPr>
            <w:tcW w:w="2551" w:type="dxa"/>
            <w:vAlign w:val="center"/>
          </w:tcPr>
          <w:p>
            <w:pPr>
              <w:pStyle w:val="12"/>
            </w:pPr>
          </w:p>
        </w:tc>
        <w:tc>
          <w:tcPr>
            <w:tcW w:w="2551" w:type="dxa"/>
            <w:vAlign w:val="center"/>
          </w:tcPr>
          <w:p>
            <w:pPr>
              <w:pStyle w:val="12"/>
            </w:pPr>
            <w:r>
              <w:t>1050.00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1050.00</w:t>
            </w:r>
          </w:p>
        </w:tc>
        <w:tc>
          <w:tcPr>
            <w:tcW w:w="2551" w:type="dxa"/>
            <w:vAlign w:val="center"/>
          </w:tcPr>
          <w:p>
            <w:pPr>
              <w:pStyle w:val="12"/>
            </w:pPr>
          </w:p>
        </w:tc>
        <w:tc>
          <w:tcPr>
            <w:tcW w:w="2551" w:type="dxa"/>
            <w:vAlign w:val="center"/>
          </w:tcPr>
          <w:p>
            <w:pPr>
              <w:pStyle w:val="12"/>
            </w:pPr>
            <w:r>
              <w:t>1050.00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2120803</w:t>
            </w:r>
          </w:p>
        </w:tc>
        <w:tc>
          <w:tcPr>
            <w:tcW w:w="4535" w:type="dxa"/>
            <w:vAlign w:val="center"/>
          </w:tcPr>
          <w:p>
            <w:pPr>
              <w:pStyle w:val="13"/>
            </w:pPr>
            <w:r>
              <w:t>城市建设支出</w:t>
            </w:r>
          </w:p>
        </w:tc>
        <w:tc>
          <w:tcPr>
            <w:tcW w:w="2551" w:type="dxa"/>
            <w:vAlign w:val="center"/>
          </w:tcPr>
          <w:p>
            <w:pPr>
              <w:pStyle w:val="12"/>
            </w:pPr>
            <w:r>
              <w:t>1050.00</w:t>
            </w:r>
          </w:p>
        </w:tc>
        <w:tc>
          <w:tcPr>
            <w:tcW w:w="2551" w:type="dxa"/>
            <w:vAlign w:val="center"/>
          </w:tcPr>
          <w:p>
            <w:pPr>
              <w:pStyle w:val="12"/>
            </w:pPr>
          </w:p>
        </w:tc>
        <w:tc>
          <w:tcPr>
            <w:tcW w:w="2551" w:type="dxa"/>
            <w:vAlign w:val="center"/>
          </w:tcPr>
          <w:p>
            <w:pPr>
              <w:pStyle w:val="12"/>
            </w:pPr>
            <w:r>
              <w:t>1050.00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430石家庄市藁城区机关事务服务中心</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val="en-US" w:eastAsia="zh-CN"/>
        </w:rPr>
        <w:t>部门</w:t>
      </w:r>
      <w:r>
        <w:rPr>
          <w:rFonts w:ascii="方正小标宋_GBK" w:hAnsi="方正小标宋_GBK" w:eastAsia="方正小标宋_GBK" w:cs="方正小标宋_GBK"/>
          <w:color w:val="000000"/>
          <w:sz w:val="36"/>
        </w:rPr>
        <w:t>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430001石家庄市藁城区机关事务服务中心本级</w:t>
            </w:r>
          </w:p>
        </w:tc>
        <w:tc>
          <w:tcPr>
            <w:tcW w:w="2381" w:type="dxa"/>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t>预算年度：202</w:t>
            </w:r>
            <w:r>
              <w:rPr>
                <w:rFonts w:hint="eastAsia"/>
                <w:lang w:val="en-US" w:eastAsia="zh-CN"/>
              </w:rPr>
              <w:t>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rPr>
                <w:rFonts w:hint="default" w:eastAsia="方正书宋_GBK"/>
                <w:lang w:val="en-US" w:eastAsia="zh-CN"/>
              </w:rPr>
            </w:pPr>
            <w:r>
              <w:rPr>
                <w:rFonts w:hint="eastAsia"/>
                <w:lang w:val="en-US" w:eastAsia="zh-CN"/>
              </w:rPr>
              <w:t>2.20</w:t>
            </w:r>
          </w:p>
        </w:tc>
        <w:tc>
          <w:tcPr>
            <w:tcW w:w="2381" w:type="dxa"/>
            <w:vAlign w:val="center"/>
          </w:tcPr>
          <w:p>
            <w:pPr>
              <w:pStyle w:val="16"/>
              <w:rPr>
                <w:rFonts w:hint="default" w:eastAsia="方正书宋_GBK"/>
                <w:lang w:val="en-US" w:eastAsia="zh-CN"/>
              </w:rPr>
            </w:pPr>
            <w:r>
              <w:rPr>
                <w:rFonts w:hint="eastAsia"/>
                <w:lang w:val="en-US" w:eastAsia="zh-CN"/>
              </w:rPr>
              <w:t>2.20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rPr>
                <w:rFonts w:hint="default" w:eastAsia="方正书宋_GBK"/>
                <w:lang w:val="en-US" w:eastAsia="zh-CN"/>
              </w:rPr>
            </w:pPr>
            <w:r>
              <w:rPr>
                <w:rFonts w:hint="eastAsia"/>
                <w:lang w:val="en-US" w:eastAsia="zh-CN"/>
              </w:rPr>
              <w:t>2.20</w:t>
            </w:r>
          </w:p>
        </w:tc>
        <w:tc>
          <w:tcPr>
            <w:tcW w:w="2381" w:type="dxa"/>
            <w:vAlign w:val="center"/>
          </w:tcPr>
          <w:p>
            <w:pPr>
              <w:pStyle w:val="12"/>
              <w:rPr>
                <w:rFonts w:hint="default" w:eastAsia="方正书宋_GBK"/>
                <w:lang w:val="en-US" w:eastAsia="zh-CN"/>
              </w:rPr>
            </w:pPr>
            <w:r>
              <w:rPr>
                <w:rFonts w:hint="eastAsia"/>
                <w:lang w:val="en-US" w:eastAsia="zh-CN"/>
              </w:rPr>
              <w:t>2.20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rPr>
                <w:rFonts w:hint="default" w:eastAsia="方正书宋_GBK"/>
                <w:lang w:val="en-US" w:eastAsia="zh-CN"/>
              </w:rPr>
            </w:pPr>
            <w:r>
              <w:rPr>
                <w:rFonts w:hint="eastAsia"/>
                <w:lang w:val="en-US" w:eastAsia="zh-CN"/>
              </w:rPr>
              <w:t>2.20</w:t>
            </w:r>
          </w:p>
        </w:tc>
        <w:tc>
          <w:tcPr>
            <w:tcW w:w="2381" w:type="dxa"/>
            <w:vAlign w:val="center"/>
          </w:tcPr>
          <w:p>
            <w:pPr>
              <w:pStyle w:val="12"/>
              <w:rPr>
                <w:rFonts w:hint="default" w:eastAsia="方正书宋_GBK"/>
                <w:lang w:val="en-US" w:eastAsia="zh-CN"/>
              </w:rPr>
            </w:pPr>
            <w:r>
              <w:rPr>
                <w:rFonts w:hint="eastAsia"/>
                <w:lang w:val="en-US" w:eastAsia="zh-CN"/>
              </w:rPr>
              <w:t>2.20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bookmarkStart w:id="19" w:name="_GoBack"/>
            <w:bookmarkEnd w:id="19"/>
          </w:p>
        </w:tc>
        <w:tc>
          <w:tcPr>
            <w:tcW w:w="2381" w:type="dxa"/>
            <w:vAlign w:val="center"/>
          </w:tcPr>
          <w:p>
            <w:pPr>
              <w:pStyle w:val="12"/>
            </w:pPr>
          </w:p>
        </w:tc>
      </w:tr>
    </w:tbl>
    <w:p>
      <w:pPr>
        <w:spacing w:before="0" w:after="0" w:line="240" w:lineRule="auto"/>
        <w:jc w:val="center"/>
        <w:outlineLvl w:val="9"/>
      </w:pPr>
      <w:r>
        <w:rPr>
          <w:rFonts w:ascii="方正小标宋_GBK" w:hAnsi="方正小标宋_GBK" w:eastAsia="方正小标宋_GBK" w:cs="方正小标宋_GBK"/>
          <w:color w:val="000000"/>
          <w:sz w:val="44"/>
        </w:rPr>
        <w:t>石家庄市藁城区机关事务服务中心2024年部门预算信息公开情况说明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按照《中华人民共和国预算法》、《地方预决算公开操作规程》和《关于进一步推进预算公开工作的实施意见》规定，现将石家庄市藁城区机关事务服务中心2024年部门预算公开如下：</w:t>
      </w:r>
    </w:p>
    <w:p>
      <w:pPr>
        <w:spacing w:before="10" w:after="10" w:line="360" w:lineRule="auto"/>
        <w:ind w:firstLine="640"/>
        <w:jc w:val="left"/>
        <w:outlineLvl w:val="2"/>
      </w:pPr>
      <w:bookmarkStart w:id="8" w:name="_Toc_3_3_0000000010"/>
      <w:r>
        <w:rPr>
          <w:rFonts w:ascii="黑体" w:hAnsi="黑体" w:eastAsia="黑体" w:cs="黑体"/>
          <w:color w:val="000000"/>
          <w:sz w:val="32"/>
        </w:rPr>
        <w:t>一、部门职责及机构设置情况</w:t>
      </w:r>
      <w:bookmarkEnd w:id="8"/>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1.根据党和国家及区委、区政府的有关方针政策，结合机关内部的具体情况，研究拟定关于机关事务工作的具体方针、政策和规章制度并组织实施，推动机关后勤体制改革。 2.负责全区党政机关办公用房管理，办公用房权属、使用分配、维修改造、物业、处置</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 xml:space="preserve">3.负责东西两院水、电、暖、绿化、美化、卫生、环境秩序、通讯管理、食堂管理等后勤保障工作； </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4.负责机关大院安全保卫、消防工作，维护机关正常的工作秩序。 5.负责全区公务用车管理及日常维修保养</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石家庄市藁城区机关事务服务中心本级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9" w:name="_Toc_3_3_0000000011"/>
      <w:r>
        <w:rPr>
          <w:rFonts w:ascii="黑体" w:hAnsi="黑体" w:eastAsia="黑体" w:cs="黑体"/>
          <w:color w:val="000000"/>
          <w:sz w:val="32"/>
        </w:rPr>
        <w:t>二、部门预算安排的总体情况</w:t>
      </w:r>
      <w:bookmarkEnd w:id="9"/>
    </w:p>
    <w:p>
      <w:pPr>
        <w:pStyle w:val="19"/>
      </w:pPr>
      <w:r>
        <w:t>1、收入说明</w:t>
      </w:r>
    </w:p>
    <w:p>
      <w:pPr>
        <w:pStyle w:val="19"/>
      </w:pPr>
      <w:r>
        <w:t>2024年预算收入1815.65万元，其中：一般公共预算收入765.65万元，基金预算收入1050万元，财政专户核拨收入0万元，其他来源收入0万元。</w:t>
      </w:r>
    </w:p>
    <w:p>
      <w:pPr>
        <w:pStyle w:val="19"/>
      </w:pPr>
      <w:r>
        <w:t>2、支出说明</w:t>
      </w:r>
    </w:p>
    <w:p>
      <w:pPr>
        <w:pStyle w:val="19"/>
      </w:pPr>
      <w:r>
        <w:t>2024年部门支出预算为1815.65万元，其中基本支出382.27万元，包括人员经费173.04万元和日常公用经费209.23万元；项目支出1433.39万元，主要为劳务派遣人员经费96万元；区委办会议组织和协调运转费48.5万元；政府办会议组织和协调运转费48.5万元；政府机关基本运行维护费98万元；政府东西两院维护费92.39万元；商贸大楼22年4月-23年12月物业费、制冷费、取暖费400万元；易地交流干部保障房650万元；其他支出0万元。</w:t>
      </w:r>
    </w:p>
    <w:p>
      <w:pPr>
        <w:pStyle w:val="19"/>
      </w:pPr>
      <w:r>
        <w:t>3、比上年增减情况</w:t>
      </w:r>
    </w:p>
    <w:p>
      <w:pPr>
        <w:pStyle w:val="19"/>
      </w:pPr>
      <w:r>
        <w:t>2024年部门预算收支安排1815.65万元，较2023年减少2711.2万元，其中：基本支出增加28.68万元，由于新增人员；项目支出减少2739.87万元；区委办会议组织和协调运转费48.5万元；政府办会议组织和协调运转费48.5万元；政府东西两院维护费92.39万元；商贸大楼22年4月-23年12月物业费、制冷费、取暖费400万元；易地交流干部保障房650万元，其他支出无增减变化。</w:t>
      </w:r>
    </w:p>
    <w:p>
      <w:pPr>
        <w:spacing w:before="10" w:after="10" w:line="360" w:lineRule="auto"/>
        <w:ind w:firstLine="640"/>
        <w:jc w:val="left"/>
        <w:outlineLvl w:val="2"/>
      </w:pPr>
      <w:bookmarkStart w:id="10" w:name="_Toc_3_3_0000000012"/>
      <w:r>
        <w:rPr>
          <w:rFonts w:ascii="黑体" w:hAnsi="黑体" w:eastAsia="黑体" w:cs="黑体"/>
          <w:color w:val="000000"/>
          <w:sz w:val="32"/>
        </w:rPr>
        <w:t>三、机关运行经费安排情况</w:t>
      </w:r>
      <w:bookmarkEnd w:id="10"/>
    </w:p>
    <w:p>
      <w:pPr>
        <w:pStyle w:val="20"/>
      </w:pPr>
      <w:r>
        <w:t>2024年，我部门机关运行经费共计安排209.23万元，主要用于保证机关正常运转的办公费、邮电费、公务交通补贴、工会经费、福利费、党组织活动经费等支出。</w:t>
      </w:r>
    </w:p>
    <w:p>
      <w:pPr>
        <w:spacing w:before="10" w:after="10" w:line="360" w:lineRule="auto"/>
        <w:ind w:firstLine="640"/>
        <w:jc w:val="left"/>
        <w:outlineLvl w:val="2"/>
      </w:pPr>
      <w:bookmarkStart w:id="11" w:name="_Toc_3_3_0000000013"/>
      <w:r>
        <w:rPr>
          <w:rFonts w:ascii="黑体" w:hAnsi="黑体" w:eastAsia="黑体" w:cs="黑体"/>
          <w:color w:val="000000"/>
          <w:sz w:val="32"/>
        </w:rPr>
        <w:t>四、财政拨款“三公”经费预算情况及增减变化原因</w:t>
      </w:r>
      <w:bookmarkEnd w:id="11"/>
    </w:p>
    <w:p>
      <w:pPr>
        <w:pStyle w:val="21"/>
      </w:pPr>
      <w:r>
        <w:t>2024年，我部门财政拨款“三公”经费预算安排2.2万元，其中：因公出国（境）费0万元，与上年持平，无增减变化；公务用车购置及运维费2.2万元（其中：公务用车购置费0万元，与上年相比减少10万元，原因是没有公务用车购置计划；公务用车运行维护费2.2万元，与上年相比减少48.4万元，原因是处置22辆公务用车)；公务接待费0万元，与上年持平，无增减变化。“三公”经费与上年相比减少58.4万元，原因是无公务用车购置计划，处置22辆公务用车。</w:t>
      </w:r>
    </w:p>
    <w:p>
      <w:pPr>
        <w:spacing w:before="10" w:after="10" w:line="360" w:lineRule="auto"/>
        <w:ind w:firstLine="640"/>
        <w:jc w:val="left"/>
        <w:outlineLvl w:val="2"/>
      </w:pPr>
      <w:bookmarkStart w:id="12" w:name="_Toc_3_3_0000000014"/>
      <w:r>
        <w:rPr>
          <w:rFonts w:ascii="黑体" w:hAnsi="黑体" w:eastAsia="黑体" w:cs="黑体"/>
          <w:color w:val="000000"/>
          <w:sz w:val="32"/>
        </w:rPr>
        <w:t>五、部门整体绩效目标</w:t>
      </w:r>
      <w:bookmarkEnd w:id="12"/>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定不移贯彻机关事务新发展理念，持之以恒坚持市场化社会化方向，紧紧扭住“两创一争”重要抓手，以节约型机关建设为主线、以提升服务保障质量和管理运转效能为目标，持续打造全区服务暖心、保障放心、管理精心的政治机关、行动机关、服务机关。持续完善公共机构节能机制，推进全省公共机构人均能耗、单位建筑面积能耗、人均用水量三项指标整体下降；积极推动党政机关办公用房合理配置和节约集约使用，整体提升区直单位办公用房服务保障水平；深入推进公务用车集约管理，提高公车平台监督管理和服务保障功能，规范公务用车处置流程；切实强化区级行政单位国有资产管理工作，建立资产管理动态数据库，实现区直国有资产动态监管和高效运营；持续深入加强标准化信息化建设，机关事务制度体系逐步完善，按标准推进质量得到有效提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（一）做好政府东西两院基本运转和维护工作</w:t>
      </w:r>
    </w:p>
    <w:p>
      <w:pPr>
        <w:pStyle w:val="23"/>
      </w:pPr>
      <w:r>
        <w:t>绩效目标：负责政府食堂、东西两院的房屋维修，水电暖通讯设备使用管理及大型设备的维修保养、公务用车管理等后勤工作，保障机关工作正常开展。</w:t>
      </w:r>
    </w:p>
    <w:p>
      <w:pPr>
        <w:pStyle w:val="23"/>
      </w:pPr>
      <w:r>
        <w:t>绩效指标：为各机关工作人员提供良好的工作和用餐保障，做好各种大型设备的维修保养工作，负责全区公务用车管理和维修保养等工作，确保正常运转。各机关的满意率达到95%以上。</w:t>
      </w:r>
    </w:p>
    <w:p>
      <w:pPr>
        <w:pStyle w:val="23"/>
      </w:pPr>
    </w:p>
    <w:p>
      <w:pPr>
        <w:pStyle w:val="23"/>
      </w:pPr>
      <w:r>
        <w:t>（二）保障区委办、政府办会议组织和协调运转</w:t>
      </w:r>
    </w:p>
    <w:p>
      <w:pPr>
        <w:pStyle w:val="23"/>
      </w:pPr>
      <w:r>
        <w:t>绩效目标：区委办根据工作需要和领导安排，保证区委办公室组织协调上级机关视察督导检查，文件材料的印刷和会议用品商务活等工作正常运转。</w:t>
      </w:r>
    </w:p>
    <w:p>
      <w:pPr>
        <w:pStyle w:val="23"/>
      </w:pPr>
      <w:r>
        <w:t>绩效指标："本着热情服务、节俭办事的原则，围绕中心、服务大局，认真做好接待工作，保证两办文件资料印刷会议用品商务活动等综合事务保障会议效果和招待完成度率95%以上，优质高效规范无差错，群众满意率90%以上。</w:t>
      </w:r>
    </w:p>
    <w:p>
      <w:pPr>
        <w:pStyle w:val="23"/>
      </w:pPr>
    </w:p>
    <w:p>
      <w:pPr>
        <w:pStyle w:val="23"/>
      </w:pPr>
      <w:r>
        <w:t>（三）商贸大楼租金、物业费、制冷费、取暖费</w:t>
      </w:r>
    </w:p>
    <w:p>
      <w:pPr>
        <w:pStyle w:val="23"/>
      </w:pPr>
      <w:r>
        <w:t>绩效目标：缴纳商贸大楼租金</w:t>
      </w:r>
    </w:p>
    <w:p>
      <w:pPr>
        <w:pStyle w:val="23"/>
      </w:pPr>
      <w:r>
        <w:t>绩效指标：保证足额缴纳商贸大楼所需费用，保障按时缴纳所需费用，保证控制在成本内。保证入驻单位服务对象满意度在98%以上。</w:t>
      </w:r>
    </w:p>
    <w:p>
      <w:pPr>
        <w:pStyle w:val="23"/>
      </w:pPr>
    </w:p>
    <w:p>
      <w:pPr>
        <w:pStyle w:val="23"/>
      </w:pPr>
      <w:r>
        <w:t>（四）易地交流干部保障房项目</w:t>
      </w:r>
    </w:p>
    <w:p>
      <w:pPr>
        <w:pStyle w:val="23"/>
      </w:pPr>
      <w:r>
        <w:t>绩效目标：保障易地交流干部居住环境</w:t>
      </w:r>
    </w:p>
    <w:p>
      <w:pPr>
        <w:pStyle w:val="23"/>
      </w:pPr>
      <w:r>
        <w:t>绩效指标：保证所建房屋优质，保证项目及时性，在规定时间内建设完毕。保证项目金额不超项目总额，使用对象满意度在98%以上。</w:t>
      </w:r>
    </w:p>
    <w:p>
      <w:pPr>
        <w:pStyle w:val="23"/>
      </w:pPr>
    </w:p>
    <w:p>
      <w:pPr>
        <w:pStyle w:val="23"/>
      </w:pPr>
      <w:r>
        <w:t>（五）劳务派遣人员工资</w:t>
      </w:r>
    </w:p>
    <w:p>
      <w:pPr>
        <w:pStyle w:val="23"/>
      </w:pPr>
      <w:r>
        <w:t>绩效目标：认真做好大院各项后勤工作，保障机关各项后勤工作有序开展，保障机关工作人员按月正常发放工资，为各机关服好务。</w:t>
      </w:r>
    </w:p>
    <w:p>
      <w:pPr>
        <w:pStyle w:val="23"/>
      </w:pPr>
      <w:r>
        <w:t>绩效指标：保障工作人员工资正常发放，维护工作人员合法权益，确保单位正常运转。保障机关各项后勤工作有序开展，为各机关服好务。劳务派遣人员满意度在95%以上。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发扬“服务是基本功”的传统，不断提高服务水平。党派办的基本职责是服务，不断提高服务水平是一个永恒的话题和基本功。2024年要对各项服务工作进行逐一的考核评议。各项工作和岗位都要制定细化量化的标准，使全体工作人员牢固树立为机关服务的意识，掌握服务工作的本领，为各机关提供良好的服务保障工作，机关事务服务中心后勤管理工作迈上一个新的台阶。</w:t>
      </w:r>
    </w:p>
    <w:p>
      <w:pPr>
        <w:pStyle w:val="24"/>
      </w:pPr>
      <w:r>
        <w:t>（二）健全各项制度，促进党派办工作规范化、程序化。我们要后勤管理日常管理要创一流的目标，着重抓好两方面的工作：一是健全各项规章制度，主要规范执行好大院内各单位之间涉及统一管理和共同遵守的制度。同时，还要进一步完善自身的制度。二是加强财务管理。严格执行财务报销制度，使财务管理更加规范化、程序化。</w:t>
      </w:r>
    </w:p>
    <w:p>
      <w:pPr>
        <w:pStyle w:val="24"/>
      </w:pPr>
      <w:r>
        <w:t>（三）加强资金支出管理。牢固树立依法理财和厉行节约的理念，坚持预算执行进度和财政资金使用的安全性、规范性和有效性并重的原则，在加快项目实施和资金支付进度的同时，认真做好资金支付的监督管理工作，使监督检查工作常态化。坚决杜绝为完成支付进度，不履行合同约定的工期、质量、付款等实质性条款，违规预付、超前支付，以及违反规定擅自改变项目支出的范围、标准、对象和期限。进一步规范劳务费、项目管理费的管理，加强发票和现金管理，对国家禁止发放和支用的款项、关联交易等要加大自查力度，严禁违规转移资金、编制虚假合同、提前支付合同款，确保资金安全和项目绩效。</w:t>
      </w:r>
    </w:p>
    <w:p>
      <w:pPr>
        <w:pStyle w:val="24"/>
      </w:pPr>
      <w:r>
        <w:t>（四）加强预算绩效运行监控。遵循目标导向、权责对等、全面覆盖、突出重点、适时适当的原则，对照批复的部门整体绩效目标、专项资金绩效目标、预算项目资金绩效目标，依托财政信息系统一体化平台，通过调查取证、实地核查等方式采集信息，掌握本部门预算绩效目标实现程度和预算资金执行情况。</w:t>
      </w:r>
    </w:p>
    <w:p>
      <w:pPr>
        <w:pStyle w:val="24"/>
      </w:pPr>
      <w:r>
        <w:t>（五）做好绩效自评。按要求开展上年度部门预算绩效自评和重点评价工作，对评价中发现的问题及时整改，调整优化支出结构，提高财政资金使用效益。</w:t>
      </w:r>
    </w:p>
    <w:p>
      <w:pPr>
        <w:pStyle w:val="24"/>
      </w:pPr>
      <w:r>
        <w:t>（六）规范财务资产管理。完善财务管理制度，严格审批程序，加强固定资产登记、使用和报废处置管理，做到支出合理，物尽其用。</w:t>
      </w:r>
    </w:p>
    <w:p>
      <w:pPr>
        <w:pStyle w:val="24"/>
      </w:pPr>
      <w:r>
        <w:t>（七）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八）加强宣传培训调研等。加强人员培训，提高本部门职工业务素质和业务水平；加强调查研究，探索优化财政资金配置和提高资金使用效益的方法；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3" w:name="_Toc_3_3_0000000015"/>
      <w:r>
        <w:rPr>
          <w:rFonts w:ascii="黑体" w:hAnsi="黑体" w:eastAsia="黑体" w:cs="黑体"/>
          <w:color w:val="000000"/>
          <w:sz w:val="32"/>
        </w:rPr>
        <w:t>六、部门主管专项资金预算安排情况及绩效目标</w:t>
      </w:r>
      <w:bookmarkEnd w:id="13"/>
    </w:p>
    <w:p>
      <w:pPr>
        <w:spacing w:line="460" w:lineRule="exact"/>
        <w:ind w:firstLine="640" w:firstLineChars="200"/>
        <w:rPr>
          <w:rFonts w:hint="eastAsia" w:ascii="仿宋" w:hAnsi="仿宋" w:eastAsia="仿宋" w:cs="方正楷体_GBK"/>
          <w:color w:val="000000"/>
          <w:sz w:val="32"/>
        </w:rPr>
      </w:pPr>
      <w:r>
        <w:rPr>
          <w:rFonts w:hint="eastAsia" w:ascii="仿宋" w:hAnsi="仿宋" w:eastAsia="仿宋" w:cs="方正楷体_GBK"/>
          <w:color w:val="000000"/>
          <w:sz w:val="32"/>
        </w:rPr>
        <w:t>我部门2024年无专项资金</w:t>
      </w:r>
    </w:p>
    <w:p>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6"/>
      <w:r>
        <w:rPr>
          <w:rFonts w:ascii="黑体" w:hAnsi="黑体" w:eastAsia="黑体" w:cs="黑体"/>
          <w:color w:val="000000"/>
          <w:sz w:val="32"/>
        </w:rPr>
        <w:t>七、部门项目预算安排情况及绩效目标</w:t>
      </w:r>
      <w:bookmarkEnd w:id="14"/>
    </w:p>
    <w:p>
      <w:pPr>
        <w:spacing w:before="0" w:after="0"/>
        <w:ind w:firstLine="560"/>
        <w:jc w:val="left"/>
        <w:outlineLvl w:val="9"/>
      </w:pPr>
      <w:r>
        <w:rPr>
          <w:rFonts w:ascii="方正仿宋_GBK" w:hAnsi="方正仿宋_GBK" w:eastAsia="方正仿宋_GBK" w:cs="方正仿宋_GBK"/>
          <w:color w:val="000000"/>
          <w:sz w:val="28"/>
        </w:rPr>
        <w:t>1、劳务派遣人员经费绩效目标表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13010924P00000810002T</w:t>
            </w:r>
          </w:p>
        </w:tc>
        <w:tc>
          <w:tcPr>
            <w:tcW w:w="2835" w:type="dxa"/>
            <w:vAlign w:val="center"/>
          </w:tcPr>
          <w:p>
            <w:pPr>
              <w:pStyle w:val="11"/>
            </w:pPr>
            <w:r>
              <w:t>项目名称</w:t>
            </w:r>
          </w:p>
        </w:tc>
        <w:tc>
          <w:tcPr>
            <w:tcW w:w="6094" w:type="dxa"/>
            <w:gridSpan w:val="3"/>
            <w:vAlign w:val="center"/>
          </w:tcPr>
          <w:p>
            <w:pPr>
              <w:pStyle w:val="13"/>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96.00</w:t>
            </w:r>
          </w:p>
        </w:tc>
        <w:tc>
          <w:tcPr>
            <w:tcW w:w="2835" w:type="dxa"/>
            <w:vAlign w:val="center"/>
          </w:tcPr>
          <w:p>
            <w:pPr>
              <w:pStyle w:val="11"/>
            </w:pPr>
            <w:r>
              <w:t>其中：财政    资金</w:t>
            </w:r>
          </w:p>
        </w:tc>
        <w:tc>
          <w:tcPr>
            <w:tcW w:w="2551" w:type="dxa"/>
            <w:vAlign w:val="center"/>
          </w:tcPr>
          <w:p>
            <w:pPr>
              <w:pStyle w:val="13"/>
            </w:pPr>
            <w:r>
              <w:t>96.00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1.保证后勤保障工作长期有效开展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劳务派遣工资保准</w:t>
            </w:r>
          </w:p>
        </w:tc>
        <w:tc>
          <w:tcPr>
            <w:tcW w:w="5386" w:type="dxa"/>
            <w:vAlign w:val="center"/>
          </w:tcPr>
          <w:p>
            <w:pPr>
              <w:pStyle w:val="13"/>
            </w:pPr>
            <w:r>
              <w:t>按照聘用协议执行</w:t>
            </w:r>
          </w:p>
        </w:tc>
        <w:tc>
          <w:tcPr>
            <w:tcW w:w="2268" w:type="dxa"/>
            <w:vAlign w:val="center"/>
          </w:tcPr>
          <w:p>
            <w:pPr>
              <w:pStyle w:val="13"/>
            </w:pPr>
            <w:r>
              <w:t>工资标准按聘用协议执行</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劳务派遣工人数</w:t>
            </w:r>
          </w:p>
        </w:tc>
        <w:tc>
          <w:tcPr>
            <w:tcW w:w="5386" w:type="dxa"/>
            <w:vAlign w:val="center"/>
          </w:tcPr>
          <w:p>
            <w:pPr>
              <w:pStyle w:val="13"/>
            </w:pPr>
            <w:r>
              <w:t>确保发放及时</w:t>
            </w:r>
          </w:p>
        </w:tc>
        <w:tc>
          <w:tcPr>
            <w:tcW w:w="2268" w:type="dxa"/>
            <w:vAlign w:val="center"/>
          </w:tcPr>
          <w:p>
            <w:pPr>
              <w:pStyle w:val="13"/>
            </w:pPr>
            <w:r>
              <w:t>劳务派遣工人数</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在预算范围内</w:t>
            </w:r>
          </w:p>
        </w:tc>
        <w:tc>
          <w:tcPr>
            <w:tcW w:w="5386" w:type="dxa"/>
            <w:vAlign w:val="center"/>
          </w:tcPr>
          <w:p>
            <w:pPr>
              <w:pStyle w:val="13"/>
            </w:pPr>
            <w:r>
              <w:t>将成本控制在预算内,本着节约原则合理运用预算，按工资标准执行</w:t>
            </w:r>
          </w:p>
        </w:tc>
        <w:tc>
          <w:tcPr>
            <w:tcW w:w="2268" w:type="dxa"/>
            <w:vAlign w:val="center"/>
          </w:tcPr>
          <w:p>
            <w:pPr>
              <w:pStyle w:val="13"/>
            </w:pPr>
            <w:r>
              <w:t>≤96万元</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工资每月及时发放到位</w:t>
            </w:r>
          </w:p>
        </w:tc>
        <w:tc>
          <w:tcPr>
            <w:tcW w:w="5386" w:type="dxa"/>
            <w:vAlign w:val="center"/>
          </w:tcPr>
          <w:p>
            <w:pPr>
              <w:pStyle w:val="13"/>
            </w:pPr>
            <w:r>
              <w:t>工资每月及时发放到位</w:t>
            </w:r>
          </w:p>
        </w:tc>
        <w:tc>
          <w:tcPr>
            <w:tcW w:w="2268" w:type="dxa"/>
            <w:vAlign w:val="center"/>
          </w:tcPr>
          <w:p>
            <w:pPr>
              <w:pStyle w:val="13"/>
            </w:pPr>
            <w:r>
              <w:t>100%</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保证工资足量，可控</w:t>
            </w:r>
          </w:p>
        </w:tc>
        <w:tc>
          <w:tcPr>
            <w:tcW w:w="5386" w:type="dxa"/>
            <w:vAlign w:val="center"/>
          </w:tcPr>
          <w:p>
            <w:pPr>
              <w:pStyle w:val="13"/>
            </w:pPr>
            <w:r>
              <w:t>保证工资足量，可控</w:t>
            </w:r>
          </w:p>
        </w:tc>
        <w:tc>
          <w:tcPr>
            <w:tcW w:w="2268" w:type="dxa"/>
            <w:vAlign w:val="center"/>
          </w:tcPr>
          <w:p>
            <w:pPr>
              <w:pStyle w:val="13"/>
            </w:pPr>
            <w:r>
              <w:t>保证工资足量，可控</w:t>
            </w:r>
          </w:p>
          <w:p>
            <w:pPr>
              <w:pStyle w:val="13"/>
            </w:pP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两院工作人员的满意度</w:t>
            </w:r>
          </w:p>
        </w:tc>
        <w:tc>
          <w:tcPr>
            <w:tcW w:w="5386" w:type="dxa"/>
            <w:vAlign w:val="center"/>
          </w:tcPr>
          <w:p>
            <w:pPr>
              <w:pStyle w:val="13"/>
            </w:pPr>
            <w:r>
              <w:t>两院后勤工作的完成率和各项工作的完成质量,达到领导的标准</w:t>
            </w:r>
          </w:p>
        </w:tc>
        <w:tc>
          <w:tcPr>
            <w:tcW w:w="2268" w:type="dxa"/>
            <w:vAlign w:val="center"/>
          </w:tcPr>
          <w:p>
            <w:pPr>
              <w:pStyle w:val="13"/>
            </w:pPr>
            <w:r>
              <w:t>≥99%</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2、区委办会议组织和协调运转费绩效目标表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13010924P00000910002G</w:t>
            </w:r>
          </w:p>
        </w:tc>
        <w:tc>
          <w:tcPr>
            <w:tcW w:w="2835" w:type="dxa"/>
            <w:vAlign w:val="center"/>
          </w:tcPr>
          <w:p>
            <w:pPr>
              <w:pStyle w:val="11"/>
            </w:pPr>
            <w:r>
              <w:t>项目名称</w:t>
            </w:r>
          </w:p>
        </w:tc>
        <w:tc>
          <w:tcPr>
            <w:tcW w:w="6094" w:type="dxa"/>
            <w:gridSpan w:val="3"/>
            <w:vAlign w:val="center"/>
          </w:tcPr>
          <w:p>
            <w:pPr>
              <w:pStyle w:val="13"/>
            </w:pPr>
            <w:r>
              <w:t>区委办会议组织和协调运转费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48.50</w:t>
            </w:r>
          </w:p>
        </w:tc>
        <w:tc>
          <w:tcPr>
            <w:tcW w:w="2835" w:type="dxa"/>
            <w:vAlign w:val="center"/>
          </w:tcPr>
          <w:p>
            <w:pPr>
              <w:pStyle w:val="11"/>
            </w:pPr>
            <w:r>
              <w:t>其中：财政    资金</w:t>
            </w:r>
          </w:p>
        </w:tc>
        <w:tc>
          <w:tcPr>
            <w:tcW w:w="2551" w:type="dxa"/>
            <w:vAlign w:val="center"/>
          </w:tcPr>
          <w:p>
            <w:pPr>
              <w:pStyle w:val="13"/>
            </w:pPr>
            <w:r>
              <w:t>48.50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区委办会议组织和协调运转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1.保证会议顺利召开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开会次数</w:t>
            </w:r>
          </w:p>
        </w:tc>
        <w:tc>
          <w:tcPr>
            <w:tcW w:w="5386" w:type="dxa"/>
            <w:vAlign w:val="center"/>
          </w:tcPr>
          <w:p>
            <w:pPr>
              <w:pStyle w:val="13"/>
            </w:pPr>
            <w:r>
              <w:t>严格执行标准，不得超标</w:t>
            </w:r>
          </w:p>
        </w:tc>
        <w:tc>
          <w:tcPr>
            <w:tcW w:w="2268" w:type="dxa"/>
            <w:vAlign w:val="center"/>
          </w:tcPr>
          <w:p>
            <w:pPr>
              <w:pStyle w:val="13"/>
            </w:pPr>
            <w:r>
              <w:t>100%</w:t>
            </w:r>
          </w:p>
        </w:tc>
        <w:tc>
          <w:tcPr>
            <w:tcW w:w="1276" w:type="dxa"/>
            <w:vAlign w:val="center"/>
          </w:tcPr>
          <w:p>
            <w:pPr>
              <w:pStyle w:val="13"/>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保证会议顺利召开</w:t>
            </w:r>
          </w:p>
        </w:tc>
        <w:tc>
          <w:tcPr>
            <w:tcW w:w="5386" w:type="dxa"/>
            <w:vAlign w:val="center"/>
          </w:tcPr>
          <w:p>
            <w:pPr>
              <w:pStyle w:val="13"/>
            </w:pPr>
            <w:r>
              <w:t>保证会议顺利召开</w:t>
            </w:r>
          </w:p>
        </w:tc>
        <w:tc>
          <w:tcPr>
            <w:tcW w:w="2268" w:type="dxa"/>
            <w:vAlign w:val="center"/>
          </w:tcPr>
          <w:p>
            <w:pPr>
              <w:pStyle w:val="13"/>
            </w:pPr>
            <w:r>
              <w:t>保证会议顺利召开</w:t>
            </w:r>
          </w:p>
        </w:tc>
        <w:tc>
          <w:tcPr>
            <w:tcW w:w="1276" w:type="dxa"/>
            <w:vAlign w:val="center"/>
          </w:tcPr>
          <w:p>
            <w:pPr>
              <w:pStyle w:val="13"/>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会议后勤保障及时率</w:t>
            </w:r>
          </w:p>
        </w:tc>
        <w:tc>
          <w:tcPr>
            <w:tcW w:w="5386" w:type="dxa"/>
            <w:vAlign w:val="center"/>
          </w:tcPr>
          <w:p>
            <w:pPr>
              <w:pStyle w:val="13"/>
            </w:pPr>
            <w:r>
              <w:t>保证会议按时召开</w:t>
            </w:r>
          </w:p>
        </w:tc>
        <w:tc>
          <w:tcPr>
            <w:tcW w:w="2268" w:type="dxa"/>
            <w:vAlign w:val="center"/>
          </w:tcPr>
          <w:p>
            <w:pPr>
              <w:pStyle w:val="13"/>
            </w:pPr>
            <w:r>
              <w:t>≥98%</w:t>
            </w:r>
          </w:p>
        </w:tc>
        <w:tc>
          <w:tcPr>
            <w:tcW w:w="1276" w:type="dxa"/>
            <w:vAlign w:val="center"/>
          </w:tcPr>
          <w:p>
            <w:pPr>
              <w:pStyle w:val="13"/>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保证工作需求，尽量降低成本</w:t>
            </w:r>
          </w:p>
        </w:tc>
        <w:tc>
          <w:tcPr>
            <w:tcW w:w="5386" w:type="dxa"/>
            <w:vAlign w:val="center"/>
          </w:tcPr>
          <w:p>
            <w:pPr>
              <w:pStyle w:val="13"/>
            </w:pPr>
            <w:r>
              <w:t>热情服务、节俭办事。</w:t>
            </w:r>
          </w:p>
        </w:tc>
        <w:tc>
          <w:tcPr>
            <w:tcW w:w="2268" w:type="dxa"/>
            <w:vAlign w:val="center"/>
          </w:tcPr>
          <w:p>
            <w:pPr>
              <w:pStyle w:val="13"/>
            </w:pPr>
            <w:r>
              <w:t>保证工作需求，尽量降低成本</w:t>
            </w:r>
          </w:p>
        </w:tc>
        <w:tc>
          <w:tcPr>
            <w:tcW w:w="1276" w:type="dxa"/>
            <w:vAlign w:val="center"/>
          </w:tcPr>
          <w:p>
            <w:pPr>
              <w:pStyle w:val="13"/>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保证工作需求，尽量降低成本</w:t>
            </w:r>
          </w:p>
        </w:tc>
        <w:tc>
          <w:tcPr>
            <w:tcW w:w="5386" w:type="dxa"/>
            <w:vAlign w:val="center"/>
          </w:tcPr>
          <w:p>
            <w:pPr>
              <w:pStyle w:val="13"/>
            </w:pPr>
            <w:r>
              <w:t>认真做好会议组织和协调运转,将成本控制预算范围内</w:t>
            </w:r>
          </w:p>
        </w:tc>
        <w:tc>
          <w:tcPr>
            <w:tcW w:w="2268" w:type="dxa"/>
            <w:vAlign w:val="center"/>
          </w:tcPr>
          <w:p>
            <w:pPr>
              <w:pStyle w:val="13"/>
            </w:pPr>
            <w:r>
              <w:t>保证工作需求，尽量降低成本</w:t>
            </w:r>
          </w:p>
        </w:tc>
        <w:tc>
          <w:tcPr>
            <w:tcW w:w="1276" w:type="dxa"/>
            <w:vAlign w:val="center"/>
          </w:tcPr>
          <w:p>
            <w:pPr>
              <w:pStyle w:val="13"/>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 xml:space="preserve"> 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3、商贸大楼22年4月-23年12月物业费、制冷费、取暖费绩效目标表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13010924P00001510001D</w:t>
            </w:r>
          </w:p>
        </w:tc>
        <w:tc>
          <w:tcPr>
            <w:tcW w:w="2835" w:type="dxa"/>
            <w:vAlign w:val="center"/>
          </w:tcPr>
          <w:p>
            <w:pPr>
              <w:pStyle w:val="11"/>
            </w:pPr>
            <w:r>
              <w:t>项目名称</w:t>
            </w:r>
          </w:p>
        </w:tc>
        <w:tc>
          <w:tcPr>
            <w:tcW w:w="6094" w:type="dxa"/>
            <w:gridSpan w:val="3"/>
            <w:vAlign w:val="center"/>
          </w:tcPr>
          <w:p>
            <w:pPr>
              <w:pStyle w:val="13"/>
            </w:pPr>
            <w:r>
              <w:t>商贸大楼22年4月-23年12月物业费、制冷费、取暖费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缴纳商贸大楼所需费用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1.保证按时、足额缴纳商贸大楼费用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保证足额缴纳商贸大楼所需费用</w:t>
            </w:r>
          </w:p>
        </w:tc>
        <w:tc>
          <w:tcPr>
            <w:tcW w:w="5386" w:type="dxa"/>
            <w:vAlign w:val="center"/>
          </w:tcPr>
          <w:p>
            <w:pPr>
              <w:pStyle w:val="13"/>
            </w:pPr>
            <w:r>
              <w:t xml:space="preserve"> 保证足额缴纳商贸大楼所需费用</w:t>
            </w:r>
          </w:p>
        </w:tc>
        <w:tc>
          <w:tcPr>
            <w:tcW w:w="2268" w:type="dxa"/>
            <w:vAlign w:val="center"/>
          </w:tcPr>
          <w:p>
            <w:pPr>
              <w:pStyle w:val="13"/>
            </w:pPr>
            <w:r>
              <w:t>≥98%</w:t>
            </w:r>
          </w:p>
        </w:tc>
        <w:tc>
          <w:tcPr>
            <w:tcW w:w="1276" w:type="dxa"/>
            <w:vAlign w:val="center"/>
          </w:tcPr>
          <w:p>
            <w:pPr>
              <w:pStyle w:val="13"/>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保证缴纳商贸大楼所需费用</w:t>
            </w:r>
          </w:p>
        </w:tc>
        <w:tc>
          <w:tcPr>
            <w:tcW w:w="5386" w:type="dxa"/>
            <w:vAlign w:val="center"/>
          </w:tcPr>
          <w:p>
            <w:pPr>
              <w:pStyle w:val="13"/>
            </w:pPr>
            <w:r>
              <w:t xml:space="preserve"> 保证缴纳商贸大楼所需费用</w:t>
            </w:r>
          </w:p>
        </w:tc>
        <w:tc>
          <w:tcPr>
            <w:tcW w:w="2268" w:type="dxa"/>
            <w:vAlign w:val="center"/>
          </w:tcPr>
          <w:p>
            <w:pPr>
              <w:pStyle w:val="13"/>
            </w:pPr>
            <w:r>
              <w:t>≥98%</w:t>
            </w:r>
          </w:p>
        </w:tc>
        <w:tc>
          <w:tcPr>
            <w:tcW w:w="1276" w:type="dxa"/>
            <w:vAlign w:val="center"/>
          </w:tcPr>
          <w:p>
            <w:pPr>
              <w:pStyle w:val="13"/>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保证按时缴纳商贸大楼所需费用</w:t>
            </w:r>
          </w:p>
          <w:p>
            <w:pPr>
              <w:pStyle w:val="13"/>
            </w:pPr>
          </w:p>
        </w:tc>
        <w:tc>
          <w:tcPr>
            <w:tcW w:w="5386" w:type="dxa"/>
            <w:vAlign w:val="center"/>
          </w:tcPr>
          <w:p>
            <w:pPr>
              <w:pStyle w:val="13"/>
            </w:pPr>
            <w:r>
              <w:t xml:space="preserve"> 保证按时缴纳商贸大楼所需费用</w:t>
            </w:r>
          </w:p>
          <w:p>
            <w:pPr>
              <w:pStyle w:val="13"/>
            </w:pPr>
          </w:p>
        </w:tc>
        <w:tc>
          <w:tcPr>
            <w:tcW w:w="2268" w:type="dxa"/>
            <w:vAlign w:val="center"/>
          </w:tcPr>
          <w:p>
            <w:pPr>
              <w:pStyle w:val="13"/>
            </w:pPr>
            <w:r>
              <w:t>≥98%</w:t>
            </w:r>
          </w:p>
        </w:tc>
        <w:tc>
          <w:tcPr>
            <w:tcW w:w="1276" w:type="dxa"/>
            <w:vAlign w:val="center"/>
          </w:tcPr>
          <w:p>
            <w:pPr>
              <w:pStyle w:val="13"/>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保证控制在成本内</w:t>
            </w:r>
          </w:p>
        </w:tc>
        <w:tc>
          <w:tcPr>
            <w:tcW w:w="5386" w:type="dxa"/>
            <w:vAlign w:val="center"/>
          </w:tcPr>
          <w:p>
            <w:pPr>
              <w:pStyle w:val="13"/>
            </w:pPr>
            <w:r>
              <w:t xml:space="preserve"> 保证控制在成本内</w:t>
            </w:r>
          </w:p>
        </w:tc>
        <w:tc>
          <w:tcPr>
            <w:tcW w:w="2268" w:type="dxa"/>
            <w:vAlign w:val="center"/>
          </w:tcPr>
          <w:p>
            <w:pPr>
              <w:pStyle w:val="13"/>
            </w:pPr>
            <w:r>
              <w:t>≥98%</w:t>
            </w:r>
          </w:p>
        </w:tc>
        <w:tc>
          <w:tcPr>
            <w:tcW w:w="1276" w:type="dxa"/>
            <w:vAlign w:val="center"/>
          </w:tcPr>
          <w:p>
            <w:pPr>
              <w:pStyle w:val="13"/>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保证足额缴纳商贸大楼所需费用</w:t>
            </w:r>
          </w:p>
        </w:tc>
        <w:tc>
          <w:tcPr>
            <w:tcW w:w="5386" w:type="dxa"/>
            <w:vAlign w:val="center"/>
          </w:tcPr>
          <w:p>
            <w:pPr>
              <w:pStyle w:val="13"/>
            </w:pPr>
            <w:r>
              <w:t xml:space="preserve"> 保证足额缴纳商贸大楼所需费用</w:t>
            </w:r>
          </w:p>
        </w:tc>
        <w:tc>
          <w:tcPr>
            <w:tcW w:w="2268" w:type="dxa"/>
            <w:vAlign w:val="center"/>
          </w:tcPr>
          <w:p>
            <w:pPr>
              <w:pStyle w:val="13"/>
            </w:pPr>
            <w:r>
              <w:t>≥98%</w:t>
            </w:r>
          </w:p>
        </w:tc>
        <w:tc>
          <w:tcPr>
            <w:tcW w:w="1276" w:type="dxa"/>
            <w:vAlign w:val="center"/>
          </w:tcPr>
          <w:p>
            <w:pPr>
              <w:pStyle w:val="13"/>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 xml:space="preserve"> 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4、异地交流干部生活保障房绩效目标表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13010924P00001410001P</w:t>
            </w:r>
          </w:p>
        </w:tc>
        <w:tc>
          <w:tcPr>
            <w:tcW w:w="2835" w:type="dxa"/>
            <w:vAlign w:val="center"/>
          </w:tcPr>
          <w:p>
            <w:pPr>
              <w:pStyle w:val="11"/>
            </w:pPr>
            <w:r>
              <w:t>项目名称</w:t>
            </w:r>
          </w:p>
        </w:tc>
        <w:tc>
          <w:tcPr>
            <w:tcW w:w="6094" w:type="dxa"/>
            <w:gridSpan w:val="3"/>
            <w:vAlign w:val="center"/>
          </w:tcPr>
          <w:p>
            <w:pPr>
              <w:pStyle w:val="13"/>
            </w:pPr>
            <w:r>
              <w:t>异地交流干部生活保障房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650.00</w:t>
            </w:r>
          </w:p>
        </w:tc>
        <w:tc>
          <w:tcPr>
            <w:tcW w:w="2835" w:type="dxa"/>
            <w:vAlign w:val="center"/>
          </w:tcPr>
          <w:p>
            <w:pPr>
              <w:pStyle w:val="11"/>
            </w:pPr>
            <w:r>
              <w:t>其中：财政    资金</w:t>
            </w:r>
          </w:p>
        </w:tc>
        <w:tc>
          <w:tcPr>
            <w:tcW w:w="2551" w:type="dxa"/>
            <w:vAlign w:val="center"/>
          </w:tcPr>
          <w:p>
            <w:pPr>
              <w:pStyle w:val="13"/>
            </w:pPr>
            <w:r>
              <w:t>650.00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易地交流干部生活保障房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1.保证建造足量房屋保障易地交流干部生活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保证建造足量房屋供异地干部使用</w:t>
            </w:r>
          </w:p>
        </w:tc>
        <w:tc>
          <w:tcPr>
            <w:tcW w:w="5386" w:type="dxa"/>
            <w:vAlign w:val="center"/>
          </w:tcPr>
          <w:p>
            <w:pPr>
              <w:pStyle w:val="13"/>
            </w:pPr>
            <w:r>
              <w:t>保证建造足量房屋供异地干部使用</w:t>
            </w:r>
          </w:p>
        </w:tc>
        <w:tc>
          <w:tcPr>
            <w:tcW w:w="2268" w:type="dxa"/>
            <w:vAlign w:val="center"/>
          </w:tcPr>
          <w:p>
            <w:pPr>
              <w:pStyle w:val="13"/>
            </w:pPr>
            <w:r>
              <w:t>≥98%</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保证所建房屋优质，保障易地交流干部居住环境</w:t>
            </w:r>
          </w:p>
        </w:tc>
        <w:tc>
          <w:tcPr>
            <w:tcW w:w="5386" w:type="dxa"/>
            <w:vAlign w:val="center"/>
          </w:tcPr>
          <w:p>
            <w:pPr>
              <w:pStyle w:val="13"/>
            </w:pPr>
            <w:r>
              <w:t>保证所建房屋优质，保障易地交流干部居住环境</w:t>
            </w:r>
          </w:p>
        </w:tc>
        <w:tc>
          <w:tcPr>
            <w:tcW w:w="2268" w:type="dxa"/>
            <w:vAlign w:val="center"/>
          </w:tcPr>
          <w:p>
            <w:pPr>
              <w:pStyle w:val="13"/>
            </w:pPr>
            <w:r>
              <w:t>≥98%</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保证项目及时性</w:t>
            </w:r>
          </w:p>
        </w:tc>
        <w:tc>
          <w:tcPr>
            <w:tcW w:w="5386" w:type="dxa"/>
            <w:vAlign w:val="center"/>
          </w:tcPr>
          <w:p>
            <w:pPr>
              <w:pStyle w:val="13"/>
            </w:pPr>
            <w:r>
              <w:t>保证项目及时性，在规定的时间内完成施工</w:t>
            </w:r>
          </w:p>
        </w:tc>
        <w:tc>
          <w:tcPr>
            <w:tcW w:w="2268" w:type="dxa"/>
            <w:vAlign w:val="center"/>
          </w:tcPr>
          <w:p>
            <w:pPr>
              <w:pStyle w:val="13"/>
            </w:pPr>
            <w:r>
              <w:t>≥98%</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保证项目金额不超项目总额</w:t>
            </w:r>
          </w:p>
        </w:tc>
        <w:tc>
          <w:tcPr>
            <w:tcW w:w="5386" w:type="dxa"/>
            <w:vAlign w:val="center"/>
          </w:tcPr>
          <w:p>
            <w:pPr>
              <w:pStyle w:val="13"/>
            </w:pPr>
            <w:r>
              <w:t>保证项目金额不超项目总额</w:t>
            </w:r>
          </w:p>
        </w:tc>
        <w:tc>
          <w:tcPr>
            <w:tcW w:w="2268" w:type="dxa"/>
            <w:vAlign w:val="center"/>
          </w:tcPr>
          <w:p>
            <w:pPr>
              <w:pStyle w:val="13"/>
            </w:pPr>
            <w:r>
              <w:t>保证项目金额不超评审结果</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保证项目金额不超项目总额</w:t>
            </w:r>
          </w:p>
        </w:tc>
        <w:tc>
          <w:tcPr>
            <w:tcW w:w="5386" w:type="dxa"/>
            <w:vAlign w:val="center"/>
          </w:tcPr>
          <w:p>
            <w:pPr>
              <w:pStyle w:val="13"/>
            </w:pPr>
            <w:r>
              <w:t>保证项目金额不超项目总额</w:t>
            </w:r>
          </w:p>
        </w:tc>
        <w:tc>
          <w:tcPr>
            <w:tcW w:w="2268" w:type="dxa"/>
            <w:vAlign w:val="center"/>
          </w:tcPr>
          <w:p>
            <w:pPr>
              <w:pStyle w:val="13"/>
            </w:pPr>
            <w:r>
              <w:t>保证项目金额不超评审结果</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5、政府办会议组织和协调运转费绩效目标表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13010924P000010100011</w:t>
            </w:r>
          </w:p>
        </w:tc>
        <w:tc>
          <w:tcPr>
            <w:tcW w:w="2835" w:type="dxa"/>
            <w:vAlign w:val="center"/>
          </w:tcPr>
          <w:p>
            <w:pPr>
              <w:pStyle w:val="11"/>
            </w:pPr>
            <w:r>
              <w:t>项目名称</w:t>
            </w:r>
          </w:p>
        </w:tc>
        <w:tc>
          <w:tcPr>
            <w:tcW w:w="6094" w:type="dxa"/>
            <w:gridSpan w:val="3"/>
            <w:vAlign w:val="center"/>
          </w:tcPr>
          <w:p>
            <w:pPr>
              <w:pStyle w:val="13"/>
            </w:pPr>
            <w:r>
              <w:t>政府办会议组织和协调运转费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48.50</w:t>
            </w:r>
          </w:p>
        </w:tc>
        <w:tc>
          <w:tcPr>
            <w:tcW w:w="2835" w:type="dxa"/>
            <w:vAlign w:val="center"/>
          </w:tcPr>
          <w:p>
            <w:pPr>
              <w:pStyle w:val="11"/>
            </w:pPr>
            <w:r>
              <w:t>其中：财政    资金</w:t>
            </w:r>
          </w:p>
        </w:tc>
        <w:tc>
          <w:tcPr>
            <w:tcW w:w="2551" w:type="dxa"/>
            <w:vAlign w:val="center"/>
          </w:tcPr>
          <w:p>
            <w:pPr>
              <w:pStyle w:val="13"/>
            </w:pPr>
            <w:r>
              <w:t>48.50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政府办会议组织和协调运转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1.保证会议顺利召开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开会次数</w:t>
            </w:r>
          </w:p>
        </w:tc>
        <w:tc>
          <w:tcPr>
            <w:tcW w:w="5386" w:type="dxa"/>
            <w:vAlign w:val="center"/>
          </w:tcPr>
          <w:p>
            <w:pPr>
              <w:pStyle w:val="13"/>
            </w:pPr>
            <w:r>
              <w:t>严格执行标准，不得超标</w:t>
            </w:r>
          </w:p>
        </w:tc>
        <w:tc>
          <w:tcPr>
            <w:tcW w:w="2268" w:type="dxa"/>
            <w:vAlign w:val="center"/>
          </w:tcPr>
          <w:p>
            <w:pPr>
              <w:pStyle w:val="13"/>
            </w:pPr>
            <w:r>
              <w:t>100%</w:t>
            </w:r>
          </w:p>
        </w:tc>
        <w:tc>
          <w:tcPr>
            <w:tcW w:w="1276" w:type="dxa"/>
            <w:vAlign w:val="center"/>
          </w:tcPr>
          <w:p>
            <w:pPr>
              <w:pStyle w:val="13"/>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保证会议顺利召开</w:t>
            </w:r>
          </w:p>
        </w:tc>
        <w:tc>
          <w:tcPr>
            <w:tcW w:w="5386" w:type="dxa"/>
            <w:vAlign w:val="center"/>
          </w:tcPr>
          <w:p>
            <w:pPr>
              <w:pStyle w:val="13"/>
            </w:pPr>
            <w:r>
              <w:t>保证会议顺利召开</w:t>
            </w:r>
          </w:p>
        </w:tc>
        <w:tc>
          <w:tcPr>
            <w:tcW w:w="2268" w:type="dxa"/>
            <w:vAlign w:val="center"/>
          </w:tcPr>
          <w:p>
            <w:pPr>
              <w:pStyle w:val="13"/>
            </w:pPr>
            <w:r>
              <w:t>保证会议顺利召开</w:t>
            </w:r>
          </w:p>
        </w:tc>
        <w:tc>
          <w:tcPr>
            <w:tcW w:w="1276" w:type="dxa"/>
            <w:vAlign w:val="center"/>
          </w:tcPr>
          <w:p>
            <w:pPr>
              <w:pStyle w:val="13"/>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会议后勤保障及时率</w:t>
            </w:r>
          </w:p>
        </w:tc>
        <w:tc>
          <w:tcPr>
            <w:tcW w:w="5386" w:type="dxa"/>
            <w:vAlign w:val="center"/>
          </w:tcPr>
          <w:p>
            <w:pPr>
              <w:pStyle w:val="13"/>
            </w:pPr>
            <w:r>
              <w:t>保证会议按时召开</w:t>
            </w:r>
          </w:p>
        </w:tc>
        <w:tc>
          <w:tcPr>
            <w:tcW w:w="2268" w:type="dxa"/>
            <w:vAlign w:val="center"/>
          </w:tcPr>
          <w:p>
            <w:pPr>
              <w:pStyle w:val="13"/>
            </w:pPr>
            <w:r>
              <w:t>保证会议顺利召开</w:t>
            </w:r>
          </w:p>
        </w:tc>
        <w:tc>
          <w:tcPr>
            <w:tcW w:w="1276" w:type="dxa"/>
            <w:vAlign w:val="center"/>
          </w:tcPr>
          <w:p>
            <w:pPr>
              <w:pStyle w:val="13"/>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热情服务、节俭办事。</w:t>
            </w:r>
          </w:p>
        </w:tc>
        <w:tc>
          <w:tcPr>
            <w:tcW w:w="5386" w:type="dxa"/>
            <w:vAlign w:val="center"/>
          </w:tcPr>
          <w:p>
            <w:pPr>
              <w:pStyle w:val="13"/>
            </w:pPr>
            <w:r>
              <w:t>热情服务、节俭办事</w:t>
            </w:r>
          </w:p>
        </w:tc>
        <w:tc>
          <w:tcPr>
            <w:tcW w:w="2268" w:type="dxa"/>
            <w:vAlign w:val="center"/>
          </w:tcPr>
          <w:p>
            <w:pPr>
              <w:pStyle w:val="13"/>
            </w:pPr>
            <w:r>
              <w:t>保证工作需求，尽量降低成本</w:t>
            </w:r>
          </w:p>
        </w:tc>
        <w:tc>
          <w:tcPr>
            <w:tcW w:w="1276" w:type="dxa"/>
            <w:vAlign w:val="center"/>
          </w:tcPr>
          <w:p>
            <w:pPr>
              <w:pStyle w:val="13"/>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热情服务、节俭办事。</w:t>
            </w:r>
          </w:p>
        </w:tc>
        <w:tc>
          <w:tcPr>
            <w:tcW w:w="5386" w:type="dxa"/>
            <w:vAlign w:val="center"/>
          </w:tcPr>
          <w:p>
            <w:pPr>
              <w:pStyle w:val="13"/>
            </w:pPr>
            <w:r>
              <w:t>热情服务、节俭办事</w:t>
            </w:r>
          </w:p>
        </w:tc>
        <w:tc>
          <w:tcPr>
            <w:tcW w:w="2268" w:type="dxa"/>
            <w:vAlign w:val="center"/>
          </w:tcPr>
          <w:p>
            <w:pPr>
              <w:pStyle w:val="13"/>
            </w:pPr>
            <w:r>
              <w:t>保证工作需求，尽量降低成本</w:t>
            </w:r>
          </w:p>
        </w:tc>
        <w:tc>
          <w:tcPr>
            <w:tcW w:w="1276" w:type="dxa"/>
            <w:vAlign w:val="center"/>
          </w:tcPr>
          <w:p>
            <w:pPr>
              <w:pStyle w:val="13"/>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满意程度 </w:t>
            </w:r>
          </w:p>
        </w:tc>
        <w:tc>
          <w:tcPr>
            <w:tcW w:w="5386" w:type="dxa"/>
            <w:vAlign w:val="center"/>
          </w:tcPr>
          <w:p>
            <w:pPr>
              <w:pStyle w:val="13"/>
            </w:pPr>
            <w:r>
              <w:t xml:space="preserve">满意程度 </w:t>
            </w:r>
          </w:p>
        </w:tc>
        <w:tc>
          <w:tcPr>
            <w:tcW w:w="2268" w:type="dxa"/>
            <w:vAlign w:val="center"/>
          </w:tcPr>
          <w:p>
            <w:pPr>
              <w:pStyle w:val="13"/>
            </w:pPr>
            <w:r>
              <w:t>≥98%</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6、政府东西两院维护费绩效目标表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13010924P00001110001N</w:t>
            </w:r>
          </w:p>
        </w:tc>
        <w:tc>
          <w:tcPr>
            <w:tcW w:w="2835" w:type="dxa"/>
            <w:vAlign w:val="center"/>
          </w:tcPr>
          <w:p>
            <w:pPr>
              <w:pStyle w:val="11"/>
            </w:pPr>
            <w:r>
              <w:t>项目名称</w:t>
            </w:r>
          </w:p>
        </w:tc>
        <w:tc>
          <w:tcPr>
            <w:tcW w:w="6094" w:type="dxa"/>
            <w:gridSpan w:val="3"/>
            <w:vAlign w:val="center"/>
          </w:tcPr>
          <w:p>
            <w:pPr>
              <w:pStyle w:val="13"/>
            </w:pPr>
            <w:r>
              <w:t>政府东西两院维护费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92.39</w:t>
            </w:r>
          </w:p>
        </w:tc>
        <w:tc>
          <w:tcPr>
            <w:tcW w:w="2835" w:type="dxa"/>
            <w:vAlign w:val="center"/>
          </w:tcPr>
          <w:p>
            <w:pPr>
              <w:pStyle w:val="11"/>
            </w:pPr>
            <w:r>
              <w:t>其中：财政    资金</w:t>
            </w:r>
          </w:p>
        </w:tc>
        <w:tc>
          <w:tcPr>
            <w:tcW w:w="2551" w:type="dxa"/>
            <w:vAlign w:val="center"/>
          </w:tcPr>
          <w:p>
            <w:pPr>
              <w:pStyle w:val="13"/>
            </w:pPr>
            <w:r>
              <w:t>92.39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东西两院运行维护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1.保障机关正常运转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政府东西两院维护次数按需进行</w:t>
            </w:r>
          </w:p>
        </w:tc>
        <w:tc>
          <w:tcPr>
            <w:tcW w:w="5386" w:type="dxa"/>
            <w:vAlign w:val="center"/>
          </w:tcPr>
          <w:p>
            <w:pPr>
              <w:pStyle w:val="13"/>
            </w:pPr>
            <w:r>
              <w:t>政府东西两院维护次数按需进行</w:t>
            </w:r>
          </w:p>
        </w:tc>
        <w:tc>
          <w:tcPr>
            <w:tcW w:w="2268" w:type="dxa"/>
            <w:vAlign w:val="center"/>
          </w:tcPr>
          <w:p>
            <w:pPr>
              <w:pStyle w:val="13"/>
            </w:pPr>
            <w:r>
              <w:t>政府东西两院维护次数按需进行</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保证提供规范维护</w:t>
            </w:r>
          </w:p>
        </w:tc>
        <w:tc>
          <w:tcPr>
            <w:tcW w:w="5386" w:type="dxa"/>
            <w:vAlign w:val="center"/>
          </w:tcPr>
          <w:p>
            <w:pPr>
              <w:pStyle w:val="13"/>
            </w:pPr>
            <w:r>
              <w:t>保证提供规范维护</w:t>
            </w:r>
          </w:p>
        </w:tc>
        <w:tc>
          <w:tcPr>
            <w:tcW w:w="2268" w:type="dxa"/>
            <w:vAlign w:val="center"/>
          </w:tcPr>
          <w:p>
            <w:pPr>
              <w:pStyle w:val="13"/>
            </w:pPr>
            <w:r>
              <w:t>≥98%</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及时维护，保障机关正常运转</w:t>
            </w:r>
          </w:p>
        </w:tc>
        <w:tc>
          <w:tcPr>
            <w:tcW w:w="5386" w:type="dxa"/>
            <w:vAlign w:val="center"/>
          </w:tcPr>
          <w:p>
            <w:pPr>
              <w:pStyle w:val="13"/>
            </w:pPr>
            <w:r>
              <w:t>及时维护，保障机关正常运转</w:t>
            </w:r>
          </w:p>
        </w:tc>
        <w:tc>
          <w:tcPr>
            <w:tcW w:w="2268" w:type="dxa"/>
            <w:vAlign w:val="center"/>
          </w:tcPr>
          <w:p>
            <w:pPr>
              <w:pStyle w:val="13"/>
            </w:pPr>
            <w:r>
              <w:t>≥98%</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在预算范围内保障机关正常运转</w:t>
            </w:r>
          </w:p>
        </w:tc>
        <w:tc>
          <w:tcPr>
            <w:tcW w:w="5386" w:type="dxa"/>
            <w:vAlign w:val="center"/>
          </w:tcPr>
          <w:p>
            <w:pPr>
              <w:pStyle w:val="13"/>
            </w:pPr>
            <w:r>
              <w:t>在预算范围内保障机关正常运转</w:t>
            </w:r>
          </w:p>
        </w:tc>
        <w:tc>
          <w:tcPr>
            <w:tcW w:w="2268" w:type="dxa"/>
            <w:vAlign w:val="center"/>
          </w:tcPr>
          <w:p>
            <w:pPr>
              <w:pStyle w:val="13"/>
            </w:pPr>
            <w:r>
              <w:t>在预算范围内保障机关正常运转</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在预算范围内保障机关正常运转</w:t>
            </w:r>
          </w:p>
        </w:tc>
        <w:tc>
          <w:tcPr>
            <w:tcW w:w="5386" w:type="dxa"/>
            <w:vAlign w:val="center"/>
          </w:tcPr>
          <w:p>
            <w:pPr>
              <w:pStyle w:val="13"/>
            </w:pPr>
            <w:r>
              <w:t>在预算范围内保障机关正常运转</w:t>
            </w:r>
          </w:p>
        </w:tc>
        <w:tc>
          <w:tcPr>
            <w:tcW w:w="2268" w:type="dxa"/>
            <w:vAlign w:val="center"/>
          </w:tcPr>
          <w:p>
            <w:pPr>
              <w:pStyle w:val="13"/>
            </w:pPr>
            <w:r>
              <w:t>在预算范围内保障机关正常运转</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7、政府机关基本运行维护费绩效目标表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13010924P000012100020</w:t>
            </w:r>
          </w:p>
        </w:tc>
        <w:tc>
          <w:tcPr>
            <w:tcW w:w="2835" w:type="dxa"/>
            <w:vAlign w:val="center"/>
          </w:tcPr>
          <w:p>
            <w:pPr>
              <w:pStyle w:val="11"/>
            </w:pPr>
            <w:r>
              <w:t>项目名称</w:t>
            </w:r>
          </w:p>
        </w:tc>
        <w:tc>
          <w:tcPr>
            <w:tcW w:w="6094" w:type="dxa"/>
            <w:gridSpan w:val="3"/>
            <w:vAlign w:val="center"/>
          </w:tcPr>
          <w:p>
            <w:pPr>
              <w:pStyle w:val="13"/>
            </w:pPr>
            <w:r>
              <w:t>政府机关基本运行维护费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98.00</w:t>
            </w:r>
          </w:p>
        </w:tc>
        <w:tc>
          <w:tcPr>
            <w:tcW w:w="2835" w:type="dxa"/>
            <w:vAlign w:val="center"/>
          </w:tcPr>
          <w:p>
            <w:pPr>
              <w:pStyle w:val="11"/>
            </w:pPr>
            <w:r>
              <w:t>其中：财政    资金</w:t>
            </w:r>
          </w:p>
        </w:tc>
        <w:tc>
          <w:tcPr>
            <w:tcW w:w="2551" w:type="dxa"/>
            <w:vAlign w:val="center"/>
          </w:tcPr>
          <w:p>
            <w:pPr>
              <w:pStyle w:val="13"/>
            </w:pPr>
            <w:r>
              <w:t>98.00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政府机关基本运行维护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1.保障全年食堂有序运营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食材和天然气采购次数</w:t>
            </w:r>
          </w:p>
        </w:tc>
        <w:tc>
          <w:tcPr>
            <w:tcW w:w="5386" w:type="dxa"/>
            <w:vAlign w:val="center"/>
          </w:tcPr>
          <w:p>
            <w:pPr>
              <w:pStyle w:val="13"/>
            </w:pPr>
            <w:r>
              <w:t>食材和天然气采购次数按需进行</w:t>
            </w:r>
          </w:p>
        </w:tc>
        <w:tc>
          <w:tcPr>
            <w:tcW w:w="2268" w:type="dxa"/>
            <w:vAlign w:val="center"/>
          </w:tcPr>
          <w:p>
            <w:pPr>
              <w:pStyle w:val="13"/>
            </w:pPr>
            <w:r>
              <w:t>≥98%</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保证提供足量新鲜食材</w:t>
            </w:r>
          </w:p>
        </w:tc>
        <w:tc>
          <w:tcPr>
            <w:tcW w:w="5386" w:type="dxa"/>
            <w:vAlign w:val="center"/>
          </w:tcPr>
          <w:p>
            <w:pPr>
              <w:pStyle w:val="13"/>
            </w:pPr>
            <w:r>
              <w:t>保证提供足量新鲜食材</w:t>
            </w:r>
          </w:p>
        </w:tc>
        <w:tc>
          <w:tcPr>
            <w:tcW w:w="2268" w:type="dxa"/>
            <w:vAlign w:val="center"/>
          </w:tcPr>
          <w:p>
            <w:pPr>
              <w:pStyle w:val="13"/>
            </w:pPr>
            <w:r>
              <w:t>≥98%</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食堂用餐保障准时，足量</w:t>
            </w:r>
          </w:p>
        </w:tc>
        <w:tc>
          <w:tcPr>
            <w:tcW w:w="5386" w:type="dxa"/>
            <w:vAlign w:val="center"/>
          </w:tcPr>
          <w:p>
            <w:pPr>
              <w:pStyle w:val="13"/>
            </w:pPr>
            <w:r>
              <w:t>食堂用餐保障准时，足量</w:t>
            </w:r>
          </w:p>
        </w:tc>
        <w:tc>
          <w:tcPr>
            <w:tcW w:w="2268" w:type="dxa"/>
            <w:vAlign w:val="center"/>
          </w:tcPr>
          <w:p>
            <w:pPr>
              <w:pStyle w:val="13"/>
            </w:pPr>
            <w:r>
              <w:t>≥98%</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在预算范围内保障机关正常运转</w:t>
            </w:r>
          </w:p>
        </w:tc>
        <w:tc>
          <w:tcPr>
            <w:tcW w:w="5386" w:type="dxa"/>
            <w:vAlign w:val="center"/>
          </w:tcPr>
          <w:p>
            <w:pPr>
              <w:pStyle w:val="13"/>
            </w:pPr>
            <w:r>
              <w:t>在预算范围内保障机关正常运转</w:t>
            </w:r>
          </w:p>
        </w:tc>
        <w:tc>
          <w:tcPr>
            <w:tcW w:w="2268" w:type="dxa"/>
            <w:vAlign w:val="center"/>
          </w:tcPr>
          <w:p>
            <w:pPr>
              <w:pStyle w:val="13"/>
            </w:pPr>
            <w:r>
              <w:t>在预算范围内保障机关正常运转</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在预算范围内保障机关正常运转</w:t>
            </w:r>
          </w:p>
        </w:tc>
        <w:tc>
          <w:tcPr>
            <w:tcW w:w="5386" w:type="dxa"/>
            <w:vAlign w:val="center"/>
          </w:tcPr>
          <w:p>
            <w:pPr>
              <w:pStyle w:val="13"/>
            </w:pPr>
            <w:r>
              <w:t>在预算范围内保障机关正常运转</w:t>
            </w:r>
          </w:p>
        </w:tc>
        <w:tc>
          <w:tcPr>
            <w:tcW w:w="2268" w:type="dxa"/>
            <w:vAlign w:val="center"/>
          </w:tcPr>
          <w:p>
            <w:pPr>
              <w:pStyle w:val="13"/>
            </w:pPr>
            <w:r>
              <w:t>在预算范围内保障机关正常运转</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领导批示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430石家庄市藁城区机关事务服务中心</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石家庄市藁城区机关事务服务中心（含所属单位）上年末固定资产金额为6324.30万元（详见下表）。本年度拟购置固定资产总额为0.00万元，已按要求列入政府采购预算，详见政府采购预算表。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430石家庄市藁城区机关事务服务中心</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6324.30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24105</w:t>
            </w:r>
          </w:p>
        </w:tc>
        <w:tc>
          <w:tcPr>
            <w:tcW w:w="2835" w:type="dxa"/>
            <w:vAlign w:val="center"/>
          </w:tcPr>
          <w:p>
            <w:pPr>
              <w:pStyle w:val="12"/>
            </w:pPr>
            <w:r>
              <w:t>5136.48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162.22</w:t>
            </w:r>
          </w:p>
        </w:tc>
        <w:tc>
          <w:tcPr>
            <w:tcW w:w="2835" w:type="dxa"/>
            <w:vAlign w:val="center"/>
          </w:tcPr>
          <w:p>
            <w:pPr>
              <w:pStyle w:val="12"/>
            </w:pPr>
            <w:r>
              <w:t>41.99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7</w:t>
            </w:r>
          </w:p>
        </w:tc>
        <w:tc>
          <w:tcPr>
            <w:tcW w:w="2835" w:type="dxa"/>
            <w:vAlign w:val="center"/>
          </w:tcPr>
          <w:p>
            <w:pPr>
              <w:pStyle w:val="12"/>
            </w:pPr>
            <w:r>
              <w:t>1030.09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265</w:t>
            </w:r>
          </w:p>
        </w:tc>
        <w:tc>
          <w:tcPr>
            <w:tcW w:w="2835" w:type="dxa"/>
            <w:vAlign w:val="center"/>
          </w:tcPr>
          <w:p>
            <w:pPr>
              <w:pStyle w:val="12"/>
            </w:pPr>
            <w:r>
              <w:t>148.35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TgyODMyNjcxM2Q1NWQ3NTZjOTBiNjUwYWY2YzY5NTAifQ=="/>
  </w:docVars>
  <w:rsids>
    <w:rsidRoot w:val="00000000"/>
    <w:rsid w:val="07A07068"/>
    <w:rsid w:val="204B1D65"/>
    <w:rsid w:val="214E07A8"/>
    <w:rsid w:val="29602403"/>
    <w:rsid w:val="316E678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2024-02-29T10:50:55Z</dcterms:created>
  <dcterms:modified xsi:type="dcterms:W3CDTF">2024-02-29T02:50:55Z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2024-02-29T10:50:55Z</dcterms:created>
  <dcterms:modified xsi:type="dcterms:W3CDTF">2024-02-29T02:50:55Z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2024-02-29T10:50:56Z</dcterms:created>
  <dcterms:modified xsi:type="dcterms:W3CDTF">2024-02-29T02:50:56Z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2024-02-29T10:50:57Z</dcterms:created>
  <dcterms:modified xsi:type="dcterms:W3CDTF">2024-02-29T02:50:57Z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2024-02-29T10:50:53Z</dcterms:created>
  <dcterms:modified xsi:type="dcterms:W3CDTF">2024-02-29T02:50:53Z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2024-02-29T10:50:52Z</dcterms:created>
  <dcterms:modified xsi:type="dcterms:W3CDTF">2024-02-29T02:50:52Z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2024-02-29T10:50:52Z</dcterms:created>
  <dcterms:modified xsi:type="dcterms:W3CDTF">2024-02-29T02:50:52Z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2024-02-29T10:50:53Z</dcterms:created>
  <dcterms:modified xsi:type="dcterms:W3CDTF">2024-02-29T02:50:53Z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2024-02-29T10:50:51Z</dcterms:created>
  <dcterms:modified xsi:type="dcterms:W3CDTF">2024-02-29T02:50:51Z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2024-02-29T10:50:54Z</dcterms:created>
  <dcterms:modified xsi:type="dcterms:W3CDTF">2024-02-29T02:50:54Z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2024-02-29T10:50:54Z</dcterms:created>
  <dcterms:modified xsi:type="dcterms:W3CDTF">2024-02-29T02:50:54Z</dcterms:modified>
</cp:coreProperties>
</file>

<file path=customXml/itemProps1.xml><?xml version="1.0" encoding="utf-8"?>
<ds:datastoreItem xmlns:ds="http://schemas.openxmlformats.org/officeDocument/2006/customXml" ds:itemID="{3db9de3c-91d2-4dcb-8d2a-c4e25746843f}">
  <ds:schemaRefs/>
</ds:datastoreItem>
</file>

<file path=customXml/itemProps10.xml><?xml version="1.0" encoding="utf-8"?>
<ds:datastoreItem xmlns:ds="http://schemas.openxmlformats.org/officeDocument/2006/customXml" ds:itemID="{23cb688f-050a-4987-8024-806f8278083a}">
  <ds:schemaRefs/>
</ds:datastoreItem>
</file>

<file path=customXml/itemProps11.xml><?xml version="1.0" encoding="utf-8"?>
<ds:datastoreItem xmlns:ds="http://schemas.openxmlformats.org/officeDocument/2006/customXml" ds:itemID="{25109ab1-b219-4a87-83b2-26674a8ccdcf}">
  <ds:schemaRefs/>
</ds:datastoreItem>
</file>

<file path=customXml/itemProps12.xml><?xml version="1.0" encoding="utf-8"?>
<ds:datastoreItem xmlns:ds="http://schemas.openxmlformats.org/officeDocument/2006/customXml" ds:itemID="{2d23e0b6-ba36-43bc-bdd6-3a4f52962684}">
  <ds:schemaRefs/>
</ds:datastoreItem>
</file>

<file path=customXml/itemProps13.xml><?xml version="1.0" encoding="utf-8"?>
<ds:datastoreItem xmlns:ds="http://schemas.openxmlformats.org/officeDocument/2006/customXml" ds:itemID="{8bdae25e-b61e-44d5-be21-77e9fd81557d}">
  <ds:schemaRefs/>
</ds:datastoreItem>
</file>

<file path=customXml/itemProps14.xml><?xml version="1.0" encoding="utf-8"?>
<ds:datastoreItem xmlns:ds="http://schemas.openxmlformats.org/officeDocument/2006/customXml" ds:itemID="{8cb3e2d4-e82c-466a-b5a2-aa0f353ca4e7}">
  <ds:schemaRefs/>
</ds:datastoreItem>
</file>

<file path=customXml/itemProps15.xml><?xml version="1.0" encoding="utf-8"?>
<ds:datastoreItem xmlns:ds="http://schemas.openxmlformats.org/officeDocument/2006/customXml" ds:itemID="{2a3a1c55-f7e4-486d-bf47-e42e2de8c569}">
  <ds:schemaRefs/>
</ds:datastoreItem>
</file>

<file path=customXml/itemProps16.xml><?xml version="1.0" encoding="utf-8"?>
<ds:datastoreItem xmlns:ds="http://schemas.openxmlformats.org/officeDocument/2006/customXml" ds:itemID="{56533b12-96ec-4d94-a20c-3e77a6b672f5}">
  <ds:schemaRefs/>
</ds:datastoreItem>
</file>

<file path=customXml/itemProps17.xml><?xml version="1.0" encoding="utf-8"?>
<ds:datastoreItem xmlns:ds="http://schemas.openxmlformats.org/officeDocument/2006/customXml" ds:itemID="{b33407ac-f04f-4893-b0be-1a6e95eb3f23}">
  <ds:schemaRefs/>
</ds:datastoreItem>
</file>

<file path=customXml/itemProps18.xml><?xml version="1.0" encoding="utf-8"?>
<ds:datastoreItem xmlns:ds="http://schemas.openxmlformats.org/officeDocument/2006/customXml" ds:itemID="{f7f3e3a8-59e1-4f55-b256-b887eb03d870}">
  <ds:schemaRefs/>
</ds:datastoreItem>
</file>

<file path=customXml/itemProps19.xml><?xml version="1.0" encoding="utf-8"?>
<ds:datastoreItem xmlns:ds="http://schemas.openxmlformats.org/officeDocument/2006/customXml" ds:itemID="{1e60f1ed-e406-4917-b636-8d24889816dd}">
  <ds:schemaRefs/>
</ds:datastoreItem>
</file>

<file path=customXml/itemProps2.xml><?xml version="1.0" encoding="utf-8"?>
<ds:datastoreItem xmlns:ds="http://schemas.openxmlformats.org/officeDocument/2006/customXml" ds:itemID="{453e6f15-46ad-4c71-9f5c-4516a82f03fe}">
  <ds:schemaRefs/>
</ds:datastoreItem>
</file>

<file path=customXml/itemProps20.xml><?xml version="1.0" encoding="utf-8"?>
<ds:datastoreItem xmlns:ds="http://schemas.openxmlformats.org/officeDocument/2006/customXml" ds:itemID="{434f0672-df8c-4de3-bed3-3a98d8ff5062}">
  <ds:schemaRefs/>
</ds:datastoreItem>
</file>

<file path=customXml/itemProps21.xml><?xml version="1.0" encoding="utf-8"?>
<ds:datastoreItem xmlns:ds="http://schemas.openxmlformats.org/officeDocument/2006/customXml" ds:itemID="{ddd173ce-6e3e-4b47-8647-1078e8fb70fb}">
  <ds:schemaRefs/>
</ds:datastoreItem>
</file>

<file path=customXml/itemProps22.xml><?xml version="1.0" encoding="utf-8"?>
<ds:datastoreItem xmlns:ds="http://schemas.openxmlformats.org/officeDocument/2006/customXml" ds:itemID="{272b1896-0e52-4afc-8a4a-8f6f04fa987b}">
  <ds:schemaRefs/>
</ds:datastoreItem>
</file>

<file path=customXml/itemProps3.xml><?xml version="1.0" encoding="utf-8"?>
<ds:datastoreItem xmlns:ds="http://schemas.openxmlformats.org/officeDocument/2006/customXml" ds:itemID="{dcbe3ae3-8c0b-4779-8ac2-eb06757c3c31}">
  <ds:schemaRefs/>
</ds:datastoreItem>
</file>

<file path=customXml/itemProps4.xml><?xml version="1.0" encoding="utf-8"?>
<ds:datastoreItem xmlns:ds="http://schemas.openxmlformats.org/officeDocument/2006/customXml" ds:itemID="{9a358968-4e65-40b8-9e39-63921c6f8cd3}">
  <ds:schemaRefs/>
</ds:datastoreItem>
</file>

<file path=customXml/itemProps5.xml><?xml version="1.0" encoding="utf-8"?>
<ds:datastoreItem xmlns:ds="http://schemas.openxmlformats.org/officeDocument/2006/customXml" ds:itemID="{948884b6-69ca-4107-abd6-fd6765e5fd76}">
  <ds:schemaRefs/>
</ds:datastoreItem>
</file>

<file path=customXml/itemProps6.xml><?xml version="1.0" encoding="utf-8"?>
<ds:datastoreItem xmlns:ds="http://schemas.openxmlformats.org/officeDocument/2006/customXml" ds:itemID="{497171e4-23fa-497c-8719-69844fe3fcf4}">
  <ds:schemaRefs/>
</ds:datastoreItem>
</file>

<file path=customXml/itemProps7.xml><?xml version="1.0" encoding="utf-8"?>
<ds:datastoreItem xmlns:ds="http://schemas.openxmlformats.org/officeDocument/2006/customXml" ds:itemID="{29c8cb11-bb60-4818-a0ad-bf93591722a0}">
  <ds:schemaRefs/>
</ds:datastoreItem>
</file>

<file path=customXml/itemProps8.xml><?xml version="1.0" encoding="utf-8"?>
<ds:datastoreItem xmlns:ds="http://schemas.openxmlformats.org/officeDocument/2006/customXml" ds:itemID="{980219f8-6092-48fa-bffb-49d1c86aef01}">
  <ds:schemaRefs/>
</ds:datastoreItem>
</file>

<file path=customXml/itemProps9.xml><?xml version="1.0" encoding="utf-8"?>
<ds:datastoreItem xmlns:ds="http://schemas.openxmlformats.org/officeDocument/2006/customXml" ds:itemID="{67a02033-c0c4-41ce-9a06-c5d07fe8a880}">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2024-02-29T10:50:00Z</dcterms:created>
  <dc:creator>123</dc:creator>
  <cp:lastModifiedBy>浮生若梦亦是梦</cp:lastModifiedBy>
  <dcterms:modified xsi:type="dcterms:W3CDTF">2024-03-01T06:46:23Z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3B20EF4F5AA84DD8958F2E5ABC8D2494_12</vt:lpwstr>
  </property>
</Properties>
</file>