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一、中国共产党石家庄市藁城区委员会宣传部本级收支预算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二、石家庄市藁城区梅花惨案纪念馆收支预算</w:t>
      </w:r>
      <w:r>
        <w:tab/>
      </w:r>
      <w:r>
        <w:fldChar w:fldCharType="begin"/>
      </w:r>
      <w:r>
        <w:instrText xml:space="preserve">PAGEREF _Toc_4_4_0000000002 \h</w:instrText>
      </w:r>
      <w:r>
        <w:fldChar w:fldCharType="separate"/>
      </w:r>
      <w:r>
        <w:t>44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636.83</w:t>
            </w:r>
          </w:p>
        </w:tc>
        <w:tc>
          <w:tcPr>
            <w:tcW w:w="4535" w:type="dxa"/>
            <w:vAlign w:val="center"/>
          </w:tcPr>
          <w:p>
            <w:pPr>
              <w:pStyle w:val="12"/>
            </w:pPr>
            <w:r>
              <w:t>一、一般公共服务支出</w:t>
            </w:r>
          </w:p>
        </w:tc>
        <w:tc>
          <w:tcPr>
            <w:tcW w:w="2126" w:type="dxa"/>
            <w:vAlign w:val="center"/>
          </w:tcPr>
          <w:p>
            <w:pPr>
              <w:pStyle w:val="11"/>
            </w:pPr>
            <w:r>
              <w:t>636.83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34.00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670.83</w:t>
            </w:r>
          </w:p>
        </w:tc>
        <w:tc>
          <w:tcPr>
            <w:tcW w:w="4535" w:type="dxa"/>
            <w:vAlign w:val="center"/>
          </w:tcPr>
          <w:p>
            <w:pPr>
              <w:pStyle w:val="14"/>
            </w:pPr>
            <w:r>
              <w:t>本年支出合计</w:t>
            </w:r>
          </w:p>
        </w:tc>
        <w:tc>
          <w:tcPr>
            <w:tcW w:w="2126" w:type="dxa"/>
            <w:vAlign w:val="center"/>
          </w:tcPr>
          <w:p>
            <w:pPr>
              <w:pStyle w:val="15"/>
            </w:pPr>
            <w:r>
              <w:t>725.14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54.30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725.14</w:t>
            </w:r>
          </w:p>
        </w:tc>
        <w:tc>
          <w:tcPr>
            <w:tcW w:w="4535" w:type="dxa"/>
            <w:vAlign w:val="center"/>
          </w:tcPr>
          <w:p>
            <w:pPr>
              <w:pStyle w:val="14"/>
            </w:pPr>
            <w:r>
              <w:t>支出总计</w:t>
            </w:r>
          </w:p>
        </w:tc>
        <w:tc>
          <w:tcPr>
            <w:tcW w:w="2126" w:type="dxa"/>
            <w:vAlign w:val="center"/>
          </w:tcPr>
          <w:p>
            <w:pPr>
              <w:pStyle w:val="15"/>
            </w:pPr>
            <w:r>
              <w:t>725.14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725.14</w:t>
            </w:r>
          </w:p>
        </w:tc>
        <w:tc>
          <w:tcPr>
            <w:tcW w:w="1134" w:type="dxa"/>
            <w:vAlign w:val="center"/>
          </w:tcPr>
          <w:p>
            <w:pPr>
              <w:pStyle w:val="15"/>
            </w:pPr>
            <w:r>
              <w:t>670.83</w:t>
            </w:r>
          </w:p>
        </w:tc>
        <w:tc>
          <w:tcPr>
            <w:tcW w:w="1134" w:type="dxa"/>
            <w:vAlign w:val="center"/>
          </w:tcPr>
          <w:p>
            <w:pPr>
              <w:pStyle w:val="15"/>
            </w:pPr>
            <w:r>
              <w:t>670.83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636.83</w:t>
            </w:r>
          </w:p>
        </w:tc>
        <w:tc>
          <w:tcPr>
            <w:tcW w:w="1134" w:type="dxa"/>
            <w:vAlign w:val="center"/>
          </w:tcPr>
          <w:p>
            <w:pPr>
              <w:pStyle w:val="11"/>
            </w:pPr>
            <w:r>
              <w:t>636.83</w:t>
            </w:r>
          </w:p>
        </w:tc>
        <w:tc>
          <w:tcPr>
            <w:tcW w:w="1134" w:type="dxa"/>
            <w:vAlign w:val="center"/>
          </w:tcPr>
          <w:p>
            <w:pPr>
              <w:pStyle w:val="11"/>
            </w:pPr>
            <w:r>
              <w:t>636.83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636.83</w:t>
            </w:r>
          </w:p>
        </w:tc>
        <w:tc>
          <w:tcPr>
            <w:tcW w:w="1134" w:type="dxa"/>
            <w:vAlign w:val="center"/>
          </w:tcPr>
          <w:p>
            <w:pPr>
              <w:pStyle w:val="11"/>
            </w:pPr>
            <w:r>
              <w:t>636.83</w:t>
            </w:r>
          </w:p>
        </w:tc>
        <w:tc>
          <w:tcPr>
            <w:tcW w:w="1134" w:type="dxa"/>
            <w:vAlign w:val="center"/>
          </w:tcPr>
          <w:p>
            <w:pPr>
              <w:pStyle w:val="11"/>
            </w:pPr>
            <w:r>
              <w:t>636.83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408.84</w:t>
            </w:r>
          </w:p>
        </w:tc>
        <w:tc>
          <w:tcPr>
            <w:tcW w:w="1134" w:type="dxa"/>
            <w:vAlign w:val="center"/>
          </w:tcPr>
          <w:p>
            <w:pPr>
              <w:pStyle w:val="11"/>
            </w:pPr>
            <w:r>
              <w:t>408.84</w:t>
            </w:r>
          </w:p>
        </w:tc>
        <w:tc>
          <w:tcPr>
            <w:tcW w:w="1134" w:type="dxa"/>
            <w:vAlign w:val="center"/>
          </w:tcPr>
          <w:p>
            <w:pPr>
              <w:pStyle w:val="11"/>
            </w:pPr>
            <w:r>
              <w:t>408.84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2013304</w:t>
            </w:r>
          </w:p>
        </w:tc>
        <w:tc>
          <w:tcPr>
            <w:tcW w:w="1559" w:type="dxa"/>
            <w:vAlign w:val="center"/>
          </w:tcPr>
          <w:p>
            <w:pPr>
              <w:pStyle w:val="12"/>
            </w:pPr>
            <w:r>
              <w:t>宣传管理</w:t>
            </w:r>
          </w:p>
        </w:tc>
        <w:tc>
          <w:tcPr>
            <w:tcW w:w="1134" w:type="dxa"/>
            <w:vAlign w:val="center"/>
          </w:tcPr>
          <w:p>
            <w:pPr>
              <w:pStyle w:val="11"/>
            </w:pPr>
            <w:r>
              <w:t>227.99</w:t>
            </w:r>
          </w:p>
        </w:tc>
        <w:tc>
          <w:tcPr>
            <w:tcW w:w="1134" w:type="dxa"/>
            <w:vAlign w:val="center"/>
          </w:tcPr>
          <w:p>
            <w:pPr>
              <w:pStyle w:val="11"/>
            </w:pPr>
            <w:r>
              <w:t>227.99</w:t>
            </w:r>
          </w:p>
        </w:tc>
        <w:tc>
          <w:tcPr>
            <w:tcW w:w="1134" w:type="dxa"/>
            <w:vAlign w:val="center"/>
          </w:tcPr>
          <w:p>
            <w:pPr>
              <w:pStyle w:val="11"/>
            </w:pPr>
            <w:r>
              <w:t>227.99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88.30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43.68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43.68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20707</w:t>
            </w:r>
          </w:p>
        </w:tc>
        <w:tc>
          <w:tcPr>
            <w:tcW w:w="1559" w:type="dxa"/>
            <w:vAlign w:val="center"/>
          </w:tcPr>
          <w:p>
            <w:pPr>
              <w:pStyle w:val="12"/>
            </w:pPr>
            <w:r>
              <w:t>国家电影事业发展专项资金安排的支出</w:t>
            </w:r>
          </w:p>
        </w:tc>
        <w:tc>
          <w:tcPr>
            <w:tcW w:w="1134" w:type="dxa"/>
            <w:vAlign w:val="center"/>
          </w:tcPr>
          <w:p>
            <w:pPr>
              <w:pStyle w:val="11"/>
            </w:pPr>
            <w:r>
              <w:t>35.50</w:t>
            </w:r>
          </w:p>
        </w:tc>
        <w:tc>
          <w:tcPr>
            <w:tcW w:w="1134" w:type="dxa"/>
            <w:vAlign w:val="center"/>
          </w:tcPr>
          <w:p>
            <w:pPr>
              <w:pStyle w:val="11"/>
            </w:pPr>
            <w:r>
              <w:t>34.00</w:t>
            </w:r>
          </w:p>
        </w:tc>
        <w:tc>
          <w:tcPr>
            <w:tcW w:w="1134" w:type="dxa"/>
            <w:vAlign w:val="center"/>
          </w:tcPr>
          <w:p>
            <w:pPr>
              <w:pStyle w:val="11"/>
            </w:pPr>
            <w:r>
              <w:t>34.00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2070701</w:t>
            </w:r>
          </w:p>
        </w:tc>
        <w:tc>
          <w:tcPr>
            <w:tcW w:w="1559" w:type="dxa"/>
            <w:vAlign w:val="center"/>
          </w:tcPr>
          <w:p>
            <w:pPr>
              <w:pStyle w:val="12"/>
            </w:pPr>
            <w:r>
              <w:t>资助国产影片放映</w:t>
            </w:r>
          </w:p>
        </w:tc>
        <w:tc>
          <w:tcPr>
            <w:tcW w:w="1134" w:type="dxa"/>
            <w:vAlign w:val="center"/>
          </w:tcPr>
          <w:p>
            <w:pPr>
              <w:pStyle w:val="11"/>
            </w:pPr>
            <w:r>
              <w:t>3.00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2070702</w:t>
            </w:r>
          </w:p>
        </w:tc>
        <w:tc>
          <w:tcPr>
            <w:tcW w:w="1559" w:type="dxa"/>
            <w:vAlign w:val="center"/>
          </w:tcPr>
          <w:p>
            <w:pPr>
              <w:pStyle w:val="12"/>
            </w:pPr>
            <w:r>
              <w:t>资助影院建设</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r>
              <w:t>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2070799</w:t>
            </w:r>
          </w:p>
        </w:tc>
        <w:tc>
          <w:tcPr>
            <w:tcW w:w="1559" w:type="dxa"/>
            <w:vAlign w:val="center"/>
          </w:tcPr>
          <w:p>
            <w:pPr>
              <w:pStyle w:val="12"/>
            </w:pPr>
            <w:r>
              <w:t>其他国家电影事业发展专项资金支出</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725.14</w:t>
            </w:r>
          </w:p>
        </w:tc>
        <w:tc>
          <w:tcPr>
            <w:tcW w:w="1361" w:type="dxa"/>
            <w:vAlign w:val="center"/>
          </w:tcPr>
          <w:p>
            <w:pPr>
              <w:pStyle w:val="15"/>
            </w:pPr>
            <w:r>
              <w:t>408.84</w:t>
            </w:r>
          </w:p>
        </w:tc>
        <w:tc>
          <w:tcPr>
            <w:tcW w:w="1361" w:type="dxa"/>
            <w:vAlign w:val="center"/>
          </w:tcPr>
          <w:p>
            <w:pPr>
              <w:pStyle w:val="15"/>
            </w:pPr>
            <w:r>
              <w:t>316.30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636.83</w:t>
            </w:r>
          </w:p>
        </w:tc>
        <w:tc>
          <w:tcPr>
            <w:tcW w:w="1361" w:type="dxa"/>
            <w:vAlign w:val="center"/>
          </w:tcPr>
          <w:p>
            <w:pPr>
              <w:pStyle w:val="11"/>
            </w:pPr>
            <w:r>
              <w:t>408.84</w:t>
            </w:r>
          </w:p>
        </w:tc>
        <w:tc>
          <w:tcPr>
            <w:tcW w:w="1361" w:type="dxa"/>
            <w:vAlign w:val="center"/>
          </w:tcPr>
          <w:p>
            <w:pPr>
              <w:pStyle w:val="11"/>
            </w:pPr>
            <w:r>
              <w:t>227.99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636.83</w:t>
            </w:r>
          </w:p>
        </w:tc>
        <w:tc>
          <w:tcPr>
            <w:tcW w:w="1361" w:type="dxa"/>
            <w:vAlign w:val="center"/>
          </w:tcPr>
          <w:p>
            <w:pPr>
              <w:pStyle w:val="11"/>
            </w:pPr>
            <w:r>
              <w:t>408.84</w:t>
            </w:r>
          </w:p>
        </w:tc>
        <w:tc>
          <w:tcPr>
            <w:tcW w:w="1361" w:type="dxa"/>
            <w:vAlign w:val="center"/>
          </w:tcPr>
          <w:p>
            <w:pPr>
              <w:pStyle w:val="11"/>
            </w:pPr>
            <w:r>
              <w:t>227.99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408.84</w:t>
            </w:r>
          </w:p>
        </w:tc>
        <w:tc>
          <w:tcPr>
            <w:tcW w:w="1361" w:type="dxa"/>
            <w:vAlign w:val="center"/>
          </w:tcPr>
          <w:p>
            <w:pPr>
              <w:pStyle w:val="11"/>
            </w:pPr>
            <w:r>
              <w:t>408.84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2013304</w:t>
            </w:r>
          </w:p>
        </w:tc>
        <w:tc>
          <w:tcPr>
            <w:tcW w:w="4535" w:type="dxa"/>
            <w:vAlign w:val="center"/>
          </w:tcPr>
          <w:p>
            <w:pPr>
              <w:pStyle w:val="12"/>
            </w:pPr>
            <w:r>
              <w:t>宣传管理</w:t>
            </w:r>
          </w:p>
        </w:tc>
        <w:tc>
          <w:tcPr>
            <w:tcW w:w="1361" w:type="dxa"/>
            <w:vAlign w:val="center"/>
          </w:tcPr>
          <w:p>
            <w:pPr>
              <w:pStyle w:val="11"/>
            </w:pPr>
            <w:r>
              <w:t>227.99</w:t>
            </w:r>
          </w:p>
        </w:tc>
        <w:tc>
          <w:tcPr>
            <w:tcW w:w="1361" w:type="dxa"/>
            <w:vAlign w:val="center"/>
          </w:tcPr>
          <w:p>
            <w:pPr>
              <w:pStyle w:val="11"/>
            </w:pPr>
          </w:p>
        </w:tc>
        <w:tc>
          <w:tcPr>
            <w:tcW w:w="1361" w:type="dxa"/>
            <w:vAlign w:val="center"/>
          </w:tcPr>
          <w:p>
            <w:pPr>
              <w:pStyle w:val="11"/>
            </w:pPr>
            <w:r>
              <w:t>227.99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88.30</w:t>
            </w:r>
          </w:p>
        </w:tc>
        <w:tc>
          <w:tcPr>
            <w:tcW w:w="1361" w:type="dxa"/>
            <w:vAlign w:val="center"/>
          </w:tcPr>
          <w:p>
            <w:pPr>
              <w:pStyle w:val="11"/>
            </w:pPr>
          </w:p>
        </w:tc>
        <w:tc>
          <w:tcPr>
            <w:tcW w:w="1361" w:type="dxa"/>
            <w:vAlign w:val="center"/>
          </w:tcPr>
          <w:p>
            <w:pPr>
              <w:pStyle w:val="11"/>
            </w:pPr>
            <w:r>
              <w:t>88.30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43.68</w:t>
            </w:r>
          </w:p>
        </w:tc>
        <w:tc>
          <w:tcPr>
            <w:tcW w:w="1361" w:type="dxa"/>
            <w:vAlign w:val="center"/>
          </w:tcPr>
          <w:p>
            <w:pPr>
              <w:pStyle w:val="11"/>
            </w:pPr>
          </w:p>
        </w:tc>
        <w:tc>
          <w:tcPr>
            <w:tcW w:w="1361" w:type="dxa"/>
            <w:vAlign w:val="center"/>
          </w:tcPr>
          <w:p>
            <w:pPr>
              <w:pStyle w:val="11"/>
            </w:pPr>
            <w:r>
              <w:t>43.68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43.68</w:t>
            </w:r>
          </w:p>
        </w:tc>
        <w:tc>
          <w:tcPr>
            <w:tcW w:w="1361" w:type="dxa"/>
            <w:vAlign w:val="center"/>
          </w:tcPr>
          <w:p>
            <w:pPr>
              <w:pStyle w:val="11"/>
            </w:pPr>
          </w:p>
        </w:tc>
        <w:tc>
          <w:tcPr>
            <w:tcW w:w="1361" w:type="dxa"/>
            <w:vAlign w:val="center"/>
          </w:tcPr>
          <w:p>
            <w:pPr>
              <w:pStyle w:val="11"/>
            </w:pPr>
            <w:r>
              <w:t>43.68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20707</w:t>
            </w:r>
          </w:p>
        </w:tc>
        <w:tc>
          <w:tcPr>
            <w:tcW w:w="4535" w:type="dxa"/>
            <w:vAlign w:val="center"/>
          </w:tcPr>
          <w:p>
            <w:pPr>
              <w:pStyle w:val="12"/>
            </w:pPr>
            <w:r>
              <w:t>国家电影事业发展专项资金安排的支出</w:t>
            </w: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2070701</w:t>
            </w:r>
          </w:p>
        </w:tc>
        <w:tc>
          <w:tcPr>
            <w:tcW w:w="4535" w:type="dxa"/>
            <w:vAlign w:val="center"/>
          </w:tcPr>
          <w:p>
            <w:pPr>
              <w:pStyle w:val="12"/>
            </w:pPr>
            <w:r>
              <w:t>资助国产影片放映</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2070702</w:t>
            </w:r>
          </w:p>
        </w:tc>
        <w:tc>
          <w:tcPr>
            <w:tcW w:w="4535" w:type="dxa"/>
            <w:vAlign w:val="center"/>
          </w:tcPr>
          <w:p>
            <w:pPr>
              <w:pStyle w:val="12"/>
            </w:pPr>
            <w:r>
              <w:t>资助影院建设</w:t>
            </w: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r>
              <w:t>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2070799</w:t>
            </w:r>
          </w:p>
        </w:tc>
        <w:tc>
          <w:tcPr>
            <w:tcW w:w="4535" w:type="dxa"/>
            <w:vAlign w:val="center"/>
          </w:tcPr>
          <w:p>
            <w:pPr>
              <w:pStyle w:val="12"/>
            </w:pPr>
            <w:r>
              <w:t>其他国家电影事业发展专项资金支出</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r>
              <w:t>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636.83</w:t>
            </w:r>
          </w:p>
        </w:tc>
        <w:tc>
          <w:tcPr>
            <w:tcW w:w="3402" w:type="dxa"/>
            <w:vAlign w:val="center"/>
          </w:tcPr>
          <w:p>
            <w:pPr>
              <w:pStyle w:val="12"/>
            </w:pPr>
            <w:r>
              <w:t>一、一般公共服务支出</w:t>
            </w:r>
          </w:p>
        </w:tc>
        <w:tc>
          <w:tcPr>
            <w:tcW w:w="1474" w:type="dxa"/>
            <w:vAlign w:val="center"/>
          </w:tcPr>
          <w:p>
            <w:pPr>
              <w:pStyle w:val="11"/>
            </w:pPr>
            <w:r>
              <w:t>636.83</w:t>
            </w:r>
          </w:p>
        </w:tc>
        <w:tc>
          <w:tcPr>
            <w:tcW w:w="1474" w:type="dxa"/>
            <w:vAlign w:val="center"/>
          </w:tcPr>
          <w:p>
            <w:pPr>
              <w:pStyle w:val="11"/>
            </w:pPr>
            <w:r>
              <w:t>636.83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34.00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88.30</w:t>
            </w:r>
          </w:p>
        </w:tc>
        <w:tc>
          <w:tcPr>
            <w:tcW w:w="1474" w:type="dxa"/>
            <w:vAlign w:val="center"/>
          </w:tcPr>
          <w:p>
            <w:pPr>
              <w:pStyle w:val="11"/>
            </w:pPr>
            <w:r>
              <w:t>52.80</w:t>
            </w:r>
          </w:p>
        </w:tc>
        <w:tc>
          <w:tcPr>
            <w:tcW w:w="1474" w:type="dxa"/>
            <w:vAlign w:val="center"/>
          </w:tcPr>
          <w:p>
            <w:pPr>
              <w:pStyle w:val="11"/>
            </w:pPr>
            <w:r>
              <w:t>35.50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670.83</w:t>
            </w:r>
          </w:p>
        </w:tc>
        <w:tc>
          <w:tcPr>
            <w:tcW w:w="3402" w:type="dxa"/>
            <w:vAlign w:val="center"/>
          </w:tcPr>
          <w:p>
            <w:pPr>
              <w:pStyle w:val="14"/>
            </w:pPr>
            <w:r>
              <w:t>本年支出合计</w:t>
            </w:r>
          </w:p>
        </w:tc>
        <w:tc>
          <w:tcPr>
            <w:tcW w:w="1474" w:type="dxa"/>
            <w:vAlign w:val="center"/>
          </w:tcPr>
          <w:p>
            <w:pPr>
              <w:pStyle w:val="15"/>
            </w:pPr>
            <w:r>
              <w:t>725.14</w:t>
            </w:r>
          </w:p>
        </w:tc>
        <w:tc>
          <w:tcPr>
            <w:tcW w:w="1474" w:type="dxa"/>
            <w:vAlign w:val="center"/>
          </w:tcPr>
          <w:p>
            <w:pPr>
              <w:pStyle w:val="15"/>
            </w:pPr>
            <w:r>
              <w:t>689.64</w:t>
            </w:r>
          </w:p>
        </w:tc>
        <w:tc>
          <w:tcPr>
            <w:tcW w:w="1474" w:type="dxa"/>
            <w:vAlign w:val="center"/>
          </w:tcPr>
          <w:p>
            <w:pPr>
              <w:pStyle w:val="15"/>
            </w:pPr>
            <w:r>
              <w:t>35.50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54.30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52.80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1.50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725.14</w:t>
            </w:r>
          </w:p>
        </w:tc>
        <w:tc>
          <w:tcPr>
            <w:tcW w:w="3402" w:type="dxa"/>
            <w:vAlign w:val="center"/>
          </w:tcPr>
          <w:p>
            <w:pPr>
              <w:pStyle w:val="14"/>
            </w:pPr>
            <w:r>
              <w:t>支出总计</w:t>
            </w:r>
          </w:p>
        </w:tc>
        <w:tc>
          <w:tcPr>
            <w:tcW w:w="1474" w:type="dxa"/>
            <w:vAlign w:val="center"/>
          </w:tcPr>
          <w:p>
            <w:pPr>
              <w:pStyle w:val="15"/>
            </w:pPr>
            <w:r>
              <w:t>725.14</w:t>
            </w:r>
          </w:p>
        </w:tc>
        <w:tc>
          <w:tcPr>
            <w:tcW w:w="1474" w:type="dxa"/>
            <w:vAlign w:val="center"/>
          </w:tcPr>
          <w:p>
            <w:pPr>
              <w:pStyle w:val="15"/>
            </w:pPr>
            <w:r>
              <w:t>689.64</w:t>
            </w:r>
          </w:p>
        </w:tc>
        <w:tc>
          <w:tcPr>
            <w:tcW w:w="1474" w:type="dxa"/>
            <w:vAlign w:val="center"/>
          </w:tcPr>
          <w:p>
            <w:pPr>
              <w:pStyle w:val="15"/>
            </w:pPr>
            <w:r>
              <w:t>35.50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689.64</w:t>
            </w:r>
          </w:p>
        </w:tc>
        <w:tc>
          <w:tcPr>
            <w:tcW w:w="2551" w:type="dxa"/>
            <w:vAlign w:val="center"/>
          </w:tcPr>
          <w:p>
            <w:pPr>
              <w:pStyle w:val="15"/>
            </w:pPr>
            <w:r>
              <w:t>408.84</w:t>
            </w:r>
          </w:p>
        </w:tc>
        <w:tc>
          <w:tcPr>
            <w:tcW w:w="2551" w:type="dxa"/>
            <w:vAlign w:val="center"/>
          </w:tcPr>
          <w:p>
            <w:pPr>
              <w:pStyle w:val="15"/>
            </w:pPr>
            <w:r>
              <w:t>280.80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636.83</w:t>
            </w:r>
          </w:p>
        </w:tc>
        <w:tc>
          <w:tcPr>
            <w:tcW w:w="2551" w:type="dxa"/>
            <w:vAlign w:val="center"/>
          </w:tcPr>
          <w:p>
            <w:pPr>
              <w:pStyle w:val="11"/>
            </w:pPr>
            <w:r>
              <w:t>408.84</w:t>
            </w:r>
          </w:p>
        </w:tc>
        <w:tc>
          <w:tcPr>
            <w:tcW w:w="2551" w:type="dxa"/>
            <w:vAlign w:val="center"/>
          </w:tcPr>
          <w:p>
            <w:pPr>
              <w:pStyle w:val="11"/>
            </w:pPr>
            <w:r>
              <w:t>227.99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636.83</w:t>
            </w:r>
          </w:p>
        </w:tc>
        <w:tc>
          <w:tcPr>
            <w:tcW w:w="2551" w:type="dxa"/>
            <w:vAlign w:val="center"/>
          </w:tcPr>
          <w:p>
            <w:pPr>
              <w:pStyle w:val="11"/>
            </w:pPr>
            <w:r>
              <w:t>408.84</w:t>
            </w:r>
          </w:p>
        </w:tc>
        <w:tc>
          <w:tcPr>
            <w:tcW w:w="2551" w:type="dxa"/>
            <w:vAlign w:val="center"/>
          </w:tcPr>
          <w:p>
            <w:pPr>
              <w:pStyle w:val="11"/>
            </w:pPr>
            <w:r>
              <w:t>227.99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408.84</w:t>
            </w:r>
          </w:p>
        </w:tc>
        <w:tc>
          <w:tcPr>
            <w:tcW w:w="2551" w:type="dxa"/>
            <w:vAlign w:val="center"/>
          </w:tcPr>
          <w:p>
            <w:pPr>
              <w:pStyle w:val="11"/>
            </w:pPr>
            <w:r>
              <w:t>408.84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2013304</w:t>
            </w:r>
          </w:p>
        </w:tc>
        <w:tc>
          <w:tcPr>
            <w:tcW w:w="4535" w:type="dxa"/>
            <w:vAlign w:val="center"/>
          </w:tcPr>
          <w:p>
            <w:pPr>
              <w:pStyle w:val="12"/>
            </w:pPr>
            <w:r>
              <w:t>宣传管理</w:t>
            </w:r>
          </w:p>
        </w:tc>
        <w:tc>
          <w:tcPr>
            <w:tcW w:w="2551" w:type="dxa"/>
            <w:vAlign w:val="center"/>
          </w:tcPr>
          <w:p>
            <w:pPr>
              <w:pStyle w:val="11"/>
            </w:pPr>
            <w:r>
              <w:t>227.99</w:t>
            </w:r>
          </w:p>
        </w:tc>
        <w:tc>
          <w:tcPr>
            <w:tcW w:w="2551" w:type="dxa"/>
            <w:vAlign w:val="center"/>
          </w:tcPr>
          <w:p>
            <w:pPr>
              <w:pStyle w:val="11"/>
            </w:pPr>
          </w:p>
        </w:tc>
        <w:tc>
          <w:tcPr>
            <w:tcW w:w="2551" w:type="dxa"/>
            <w:vAlign w:val="center"/>
          </w:tcPr>
          <w:p>
            <w:pPr>
              <w:pStyle w:val="11"/>
            </w:pPr>
            <w:r>
              <w:t>227.99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52.80</w:t>
            </w:r>
          </w:p>
        </w:tc>
        <w:tc>
          <w:tcPr>
            <w:tcW w:w="2551" w:type="dxa"/>
            <w:vAlign w:val="center"/>
          </w:tcPr>
          <w:p>
            <w:pPr>
              <w:pStyle w:val="11"/>
            </w:pPr>
          </w:p>
        </w:tc>
        <w:tc>
          <w:tcPr>
            <w:tcW w:w="2551" w:type="dxa"/>
            <w:vAlign w:val="center"/>
          </w:tcPr>
          <w:p>
            <w:pPr>
              <w:pStyle w:val="11"/>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43.68</w:t>
            </w:r>
          </w:p>
        </w:tc>
        <w:tc>
          <w:tcPr>
            <w:tcW w:w="2551" w:type="dxa"/>
            <w:vAlign w:val="center"/>
          </w:tcPr>
          <w:p>
            <w:pPr>
              <w:pStyle w:val="11"/>
            </w:pPr>
          </w:p>
        </w:tc>
        <w:tc>
          <w:tcPr>
            <w:tcW w:w="2551" w:type="dxa"/>
            <w:vAlign w:val="center"/>
          </w:tcPr>
          <w:p>
            <w:pPr>
              <w:pStyle w:val="11"/>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43.68</w:t>
            </w:r>
          </w:p>
        </w:tc>
        <w:tc>
          <w:tcPr>
            <w:tcW w:w="2551" w:type="dxa"/>
            <w:vAlign w:val="center"/>
          </w:tcPr>
          <w:p>
            <w:pPr>
              <w:pStyle w:val="11"/>
            </w:pPr>
          </w:p>
        </w:tc>
        <w:tc>
          <w:tcPr>
            <w:tcW w:w="2551" w:type="dxa"/>
            <w:vAlign w:val="center"/>
          </w:tcPr>
          <w:p>
            <w:pPr>
              <w:pStyle w:val="11"/>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9.12</w:t>
            </w:r>
          </w:p>
        </w:tc>
        <w:tc>
          <w:tcPr>
            <w:tcW w:w="2551" w:type="dxa"/>
            <w:vAlign w:val="center"/>
          </w:tcPr>
          <w:p>
            <w:pPr>
              <w:pStyle w:val="11"/>
            </w:pPr>
          </w:p>
        </w:tc>
        <w:tc>
          <w:tcPr>
            <w:tcW w:w="2551" w:type="dxa"/>
            <w:vAlign w:val="center"/>
          </w:tcPr>
          <w:p>
            <w:pPr>
              <w:pStyle w:val="11"/>
            </w:pPr>
            <w:r>
              <w:t>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9.12</w:t>
            </w:r>
          </w:p>
        </w:tc>
        <w:tc>
          <w:tcPr>
            <w:tcW w:w="2551" w:type="dxa"/>
            <w:vAlign w:val="center"/>
          </w:tcPr>
          <w:p>
            <w:pPr>
              <w:pStyle w:val="11"/>
            </w:pPr>
          </w:p>
        </w:tc>
        <w:tc>
          <w:tcPr>
            <w:tcW w:w="2551" w:type="dxa"/>
            <w:vAlign w:val="center"/>
          </w:tcPr>
          <w:p>
            <w:pPr>
              <w:pStyle w:val="11"/>
            </w:pPr>
            <w:r>
              <w:t>9.12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408.84</w:t>
            </w:r>
          </w:p>
        </w:tc>
        <w:tc>
          <w:tcPr>
            <w:tcW w:w="2551" w:type="dxa"/>
            <w:vAlign w:val="center"/>
          </w:tcPr>
          <w:p>
            <w:pPr>
              <w:pStyle w:val="15"/>
            </w:pPr>
            <w:r>
              <w:t>375.51</w:t>
            </w:r>
          </w:p>
        </w:tc>
        <w:tc>
          <w:tcPr>
            <w:tcW w:w="2551" w:type="dxa"/>
            <w:vAlign w:val="center"/>
          </w:tcPr>
          <w:p>
            <w:pPr>
              <w:pStyle w:val="15"/>
            </w:pPr>
            <w:r>
              <w:t>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353.41</w:t>
            </w:r>
          </w:p>
        </w:tc>
        <w:tc>
          <w:tcPr>
            <w:tcW w:w="2551" w:type="dxa"/>
            <w:vAlign w:val="center"/>
          </w:tcPr>
          <w:p>
            <w:pPr>
              <w:pStyle w:val="11"/>
            </w:pPr>
            <w:r>
              <w:t>353.41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85.70</w:t>
            </w:r>
          </w:p>
        </w:tc>
        <w:tc>
          <w:tcPr>
            <w:tcW w:w="2551" w:type="dxa"/>
            <w:vAlign w:val="center"/>
          </w:tcPr>
          <w:p>
            <w:pPr>
              <w:pStyle w:val="11"/>
            </w:pPr>
            <w:r>
              <w:t>85.70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91.92</w:t>
            </w:r>
          </w:p>
        </w:tc>
        <w:tc>
          <w:tcPr>
            <w:tcW w:w="2551" w:type="dxa"/>
            <w:vAlign w:val="center"/>
          </w:tcPr>
          <w:p>
            <w:pPr>
              <w:pStyle w:val="11"/>
            </w:pPr>
            <w:r>
              <w:t>91.92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50.31</w:t>
            </w:r>
          </w:p>
        </w:tc>
        <w:tc>
          <w:tcPr>
            <w:tcW w:w="2551" w:type="dxa"/>
            <w:vAlign w:val="center"/>
          </w:tcPr>
          <w:p>
            <w:pPr>
              <w:pStyle w:val="11"/>
            </w:pPr>
            <w:r>
              <w:t>50.31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15.90</w:t>
            </w:r>
          </w:p>
        </w:tc>
        <w:tc>
          <w:tcPr>
            <w:tcW w:w="2551" w:type="dxa"/>
            <w:vAlign w:val="center"/>
          </w:tcPr>
          <w:p>
            <w:pPr>
              <w:pStyle w:val="11"/>
            </w:pPr>
            <w:r>
              <w:t>15.90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39.95</w:t>
            </w:r>
          </w:p>
        </w:tc>
        <w:tc>
          <w:tcPr>
            <w:tcW w:w="2551" w:type="dxa"/>
            <w:vAlign w:val="center"/>
          </w:tcPr>
          <w:p>
            <w:pPr>
              <w:pStyle w:val="11"/>
            </w:pPr>
            <w:r>
              <w:t>39.95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13.95</w:t>
            </w:r>
          </w:p>
        </w:tc>
        <w:tc>
          <w:tcPr>
            <w:tcW w:w="2551" w:type="dxa"/>
            <w:vAlign w:val="center"/>
          </w:tcPr>
          <w:p>
            <w:pPr>
              <w:pStyle w:val="11"/>
            </w:pPr>
            <w:r>
              <w:t>13.95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10.79</w:t>
            </w:r>
          </w:p>
        </w:tc>
        <w:tc>
          <w:tcPr>
            <w:tcW w:w="2551" w:type="dxa"/>
            <w:vAlign w:val="center"/>
          </w:tcPr>
          <w:p>
            <w:pPr>
              <w:pStyle w:val="11"/>
            </w:pPr>
            <w:r>
              <w:t>10.79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14.38</w:t>
            </w:r>
          </w:p>
        </w:tc>
        <w:tc>
          <w:tcPr>
            <w:tcW w:w="2551" w:type="dxa"/>
            <w:vAlign w:val="center"/>
          </w:tcPr>
          <w:p>
            <w:pPr>
              <w:pStyle w:val="11"/>
            </w:pPr>
            <w:r>
              <w:t>14.38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30.52</w:t>
            </w:r>
          </w:p>
        </w:tc>
        <w:tc>
          <w:tcPr>
            <w:tcW w:w="2551" w:type="dxa"/>
            <w:vAlign w:val="center"/>
          </w:tcPr>
          <w:p>
            <w:pPr>
              <w:pStyle w:val="11"/>
            </w:pPr>
            <w:r>
              <w:t>30.52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33.33</w:t>
            </w:r>
          </w:p>
        </w:tc>
        <w:tc>
          <w:tcPr>
            <w:tcW w:w="2551" w:type="dxa"/>
            <w:vAlign w:val="center"/>
          </w:tcPr>
          <w:p>
            <w:pPr>
              <w:pStyle w:val="11"/>
            </w:pPr>
          </w:p>
        </w:tc>
        <w:tc>
          <w:tcPr>
            <w:tcW w:w="2551" w:type="dxa"/>
            <w:vAlign w:val="center"/>
          </w:tcPr>
          <w:p>
            <w:pPr>
              <w:pStyle w:val="11"/>
            </w:pPr>
            <w:r>
              <w:t>33.33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9.77</w:t>
            </w:r>
          </w:p>
        </w:tc>
        <w:tc>
          <w:tcPr>
            <w:tcW w:w="2551" w:type="dxa"/>
            <w:vAlign w:val="center"/>
          </w:tcPr>
          <w:p>
            <w:pPr>
              <w:pStyle w:val="11"/>
            </w:pPr>
          </w:p>
        </w:tc>
        <w:tc>
          <w:tcPr>
            <w:tcW w:w="2551" w:type="dxa"/>
            <w:vAlign w:val="center"/>
          </w:tcPr>
          <w:p>
            <w:pPr>
              <w:pStyle w:val="11"/>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2.43</w:t>
            </w:r>
          </w:p>
        </w:tc>
        <w:tc>
          <w:tcPr>
            <w:tcW w:w="2551" w:type="dxa"/>
            <w:vAlign w:val="center"/>
          </w:tcPr>
          <w:p>
            <w:pPr>
              <w:pStyle w:val="11"/>
            </w:pPr>
          </w:p>
        </w:tc>
        <w:tc>
          <w:tcPr>
            <w:tcW w:w="2551" w:type="dxa"/>
            <w:vAlign w:val="center"/>
          </w:tcPr>
          <w:p>
            <w:pPr>
              <w:pStyle w:val="11"/>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2.14</w:t>
            </w:r>
          </w:p>
        </w:tc>
        <w:tc>
          <w:tcPr>
            <w:tcW w:w="2551" w:type="dxa"/>
            <w:vAlign w:val="center"/>
          </w:tcPr>
          <w:p>
            <w:pPr>
              <w:pStyle w:val="11"/>
            </w:pPr>
          </w:p>
        </w:tc>
        <w:tc>
          <w:tcPr>
            <w:tcW w:w="2551" w:type="dxa"/>
            <w:vAlign w:val="center"/>
          </w:tcPr>
          <w:p>
            <w:pPr>
              <w:pStyle w:val="11"/>
            </w:pPr>
            <w:r>
              <w:t>2.14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12.42</w:t>
            </w:r>
          </w:p>
        </w:tc>
        <w:tc>
          <w:tcPr>
            <w:tcW w:w="2551" w:type="dxa"/>
            <w:vAlign w:val="center"/>
          </w:tcPr>
          <w:p>
            <w:pPr>
              <w:pStyle w:val="11"/>
            </w:pPr>
          </w:p>
        </w:tc>
        <w:tc>
          <w:tcPr>
            <w:tcW w:w="2551" w:type="dxa"/>
            <w:vAlign w:val="center"/>
          </w:tcPr>
          <w:p>
            <w:pPr>
              <w:pStyle w:val="11"/>
            </w:pPr>
            <w:r>
              <w:t>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0.57</w:t>
            </w:r>
          </w:p>
        </w:tc>
        <w:tc>
          <w:tcPr>
            <w:tcW w:w="2551" w:type="dxa"/>
            <w:vAlign w:val="center"/>
          </w:tcPr>
          <w:p>
            <w:pPr>
              <w:pStyle w:val="11"/>
            </w:pPr>
          </w:p>
        </w:tc>
        <w:tc>
          <w:tcPr>
            <w:tcW w:w="2551" w:type="dxa"/>
            <w:vAlign w:val="center"/>
          </w:tcPr>
          <w:p>
            <w:pPr>
              <w:pStyle w:val="11"/>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22.10</w:t>
            </w:r>
          </w:p>
        </w:tc>
        <w:tc>
          <w:tcPr>
            <w:tcW w:w="2551" w:type="dxa"/>
            <w:vAlign w:val="center"/>
          </w:tcPr>
          <w:p>
            <w:pPr>
              <w:pStyle w:val="11"/>
            </w:pPr>
            <w:r>
              <w:t>22.10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22.10</w:t>
            </w:r>
          </w:p>
        </w:tc>
        <w:tc>
          <w:tcPr>
            <w:tcW w:w="2551" w:type="dxa"/>
            <w:vAlign w:val="center"/>
          </w:tcPr>
          <w:p>
            <w:pPr>
              <w:pStyle w:val="11"/>
            </w:pPr>
            <w:r>
              <w:t>22.10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35.50</w:t>
            </w:r>
          </w:p>
        </w:tc>
        <w:tc>
          <w:tcPr>
            <w:tcW w:w="2551" w:type="dxa"/>
            <w:vAlign w:val="center"/>
          </w:tcPr>
          <w:p>
            <w:pPr>
              <w:pStyle w:val="15"/>
            </w:pPr>
          </w:p>
        </w:tc>
        <w:tc>
          <w:tcPr>
            <w:tcW w:w="2551" w:type="dxa"/>
            <w:vAlign w:val="center"/>
          </w:tcPr>
          <w:p>
            <w:pPr>
              <w:pStyle w:val="15"/>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35.50</w:t>
            </w:r>
          </w:p>
        </w:tc>
        <w:tc>
          <w:tcPr>
            <w:tcW w:w="2551" w:type="dxa"/>
            <w:vAlign w:val="center"/>
          </w:tcPr>
          <w:p>
            <w:pPr>
              <w:pStyle w:val="11"/>
            </w:pPr>
          </w:p>
        </w:tc>
        <w:tc>
          <w:tcPr>
            <w:tcW w:w="2551" w:type="dxa"/>
            <w:vAlign w:val="center"/>
          </w:tcPr>
          <w:p>
            <w:pPr>
              <w:pStyle w:val="11"/>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20707</w:t>
            </w:r>
          </w:p>
        </w:tc>
        <w:tc>
          <w:tcPr>
            <w:tcW w:w="4535" w:type="dxa"/>
            <w:vAlign w:val="center"/>
          </w:tcPr>
          <w:p>
            <w:pPr>
              <w:pStyle w:val="12"/>
            </w:pPr>
            <w:r>
              <w:t>国家电影事业发展专项资金安排的支出</w:t>
            </w:r>
          </w:p>
        </w:tc>
        <w:tc>
          <w:tcPr>
            <w:tcW w:w="2551" w:type="dxa"/>
            <w:vAlign w:val="center"/>
          </w:tcPr>
          <w:p>
            <w:pPr>
              <w:pStyle w:val="11"/>
            </w:pPr>
            <w:r>
              <w:t>35.50</w:t>
            </w:r>
          </w:p>
        </w:tc>
        <w:tc>
          <w:tcPr>
            <w:tcW w:w="2551" w:type="dxa"/>
            <w:vAlign w:val="center"/>
          </w:tcPr>
          <w:p>
            <w:pPr>
              <w:pStyle w:val="11"/>
            </w:pPr>
          </w:p>
        </w:tc>
        <w:tc>
          <w:tcPr>
            <w:tcW w:w="2551" w:type="dxa"/>
            <w:vAlign w:val="center"/>
          </w:tcPr>
          <w:p>
            <w:pPr>
              <w:pStyle w:val="11"/>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2070701</w:t>
            </w:r>
          </w:p>
        </w:tc>
        <w:tc>
          <w:tcPr>
            <w:tcW w:w="4535" w:type="dxa"/>
            <w:vAlign w:val="center"/>
          </w:tcPr>
          <w:p>
            <w:pPr>
              <w:pStyle w:val="12"/>
            </w:pPr>
            <w:r>
              <w:t>资助国产影片放映</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2070702</w:t>
            </w:r>
          </w:p>
        </w:tc>
        <w:tc>
          <w:tcPr>
            <w:tcW w:w="4535" w:type="dxa"/>
            <w:vAlign w:val="center"/>
          </w:tcPr>
          <w:p>
            <w:pPr>
              <w:pStyle w:val="12"/>
            </w:pPr>
            <w:r>
              <w:t>资助影院建设</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2070799</w:t>
            </w:r>
          </w:p>
        </w:tc>
        <w:tc>
          <w:tcPr>
            <w:tcW w:w="4535" w:type="dxa"/>
            <w:vAlign w:val="center"/>
          </w:tcPr>
          <w:p>
            <w:pPr>
              <w:pStyle w:val="12"/>
            </w:pPr>
            <w:r>
              <w:t>其他国家电影事业发展专项资金支出</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中国共产党石家庄市藁城区委员会宣传部本级2024年单位预算信息公开情况说明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按照《中华人民共和国预算法》、《地方预决算公开操作规程》和《关于进一步推进预算公开工作的实施意见》规定，现将中国共产党石家庄市藁城区委员会宣传部本级2024年单位预算公开如下：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rPr>
      </w:pPr>
      <w:r>
        <w:rPr>
          <w:rFonts w:hint="eastAsia"/>
        </w:rPr>
        <w:t>1、负责区委中心组和全区党委中心组以及全区广大党员干部的理论学习教育和考核工作。</w:t>
      </w:r>
    </w:p>
    <w:p>
      <w:pPr>
        <w:pStyle w:val="17"/>
        <w:rPr>
          <w:rFonts w:hint="eastAsia"/>
        </w:rPr>
      </w:pPr>
      <w:r>
        <w:rPr>
          <w:rFonts w:hint="eastAsia"/>
        </w:rPr>
        <w:t>2、负责全区舆论引导的把握和全区各项工作的新闻宣传，对电视台、报社的工作实施政治方向和方针、政策的指导。</w:t>
      </w:r>
    </w:p>
    <w:p>
      <w:pPr>
        <w:pStyle w:val="17"/>
        <w:rPr>
          <w:rFonts w:hint="eastAsia"/>
        </w:rPr>
      </w:pPr>
      <w:r>
        <w:rPr>
          <w:rFonts w:hint="eastAsia"/>
        </w:rPr>
        <w:t>3、规划部署全区思想政治工作，负责全区爱国主义教育基地的建设和管理，负责全区政工职称的评定和政工人员的管理。</w:t>
      </w:r>
    </w:p>
    <w:p>
      <w:pPr>
        <w:pStyle w:val="17"/>
        <w:rPr>
          <w:rFonts w:hint="eastAsia"/>
        </w:rPr>
      </w:pPr>
      <w:r>
        <w:rPr>
          <w:rFonts w:hint="eastAsia"/>
        </w:rPr>
        <w:t>4、研究制定全区文化事业的发展规划，指导协调全区文化市场和文化环境的净化与管理。负责重大节日的气氛营造和其他社会宣传工作。对文广新局的工作，实施政治和方针、政策的指导和协调。</w:t>
      </w:r>
    </w:p>
    <w:p>
      <w:pPr>
        <w:pStyle w:val="17"/>
        <w:rPr>
          <w:rFonts w:hint="eastAsia"/>
        </w:rPr>
      </w:pPr>
      <w:r>
        <w:rPr>
          <w:rFonts w:hint="eastAsia"/>
        </w:rPr>
        <w:t>5、研究拟定有关全区思想道德和精神文明建设的工作方针、政策；规划部署全区思想道德和精神文明建设工作；组织指导全区群众精神文明创建活动。</w:t>
      </w:r>
    </w:p>
    <w:p>
      <w:pPr>
        <w:pStyle w:val="17"/>
        <w:rPr>
          <w:rFonts w:hint="eastAsia"/>
        </w:rPr>
      </w:pPr>
      <w:r>
        <w:rPr>
          <w:rFonts w:hint="eastAsia"/>
        </w:rPr>
        <w:t>6、负责谋划协调全区对外宣传、网上新闻和舆论引导。</w:t>
      </w:r>
    </w:p>
    <w:p>
      <w:pPr>
        <w:pStyle w:val="17"/>
      </w:pPr>
      <w:r>
        <w:rPr>
          <w:rFonts w:hint="eastAsia"/>
        </w:rPr>
        <w:t>7、指导全区国防教育领导小组办公室的工作。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反映本单位当年全部收入。2024年预算收入725.14万元，其中：一般公共预算收入670.83万元，上级一般公共预算安排转移支付收入29.93万元，政府性基金收入34万元，财政专户核拨收入0万元，其他来源收入0万元。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万元，其中基本支出408.84万元，包括人员经费375.51万元和日常公用经费33.33万元；项目支出316.3万元，主要为宣传文化发展支出3万元，创建办劳务派遣人员支出19.94万元，电影院农村公益电影放映支出16.64万元，国防教育支出1.5万元，电影公司在职退休人员待遇资金解决支出119.15万元，精神文明创建支出6万元，老放映电影员生活支出12.98万元，理论学习、宣传、宣讲等加强理论武装支出2万元，扫黄打非工作支出2万元，新时代文明实践中心工作支出6万元，新闻宣传支出4.5万元，宣传综合事务支出4.35万元，纪念馆日常运行支出12.6万元。省级国家电影事业发展专项支出1万元，2024年省级宣传文化专项资金20万元，提前下达2023年省级公共文化服务体系建设支出9.12万元，2024年中央补助地方国家电影事业发展专项资金32万元，中央补助地方公共文化服务体系建设专项资金43.68万元；其他支出0万元。</w:t>
      </w:r>
    </w:p>
    <w:p>
      <w:pPr>
        <w:pStyle w:val="18"/>
      </w:pPr>
      <w:r>
        <w:t>3、比上年增减情况</w:t>
      </w:r>
    </w:p>
    <w:p>
      <w:pPr>
        <w:pStyle w:val="18"/>
      </w:pPr>
      <w:r>
        <w:t>2024年单预算收支安排617.85万元，较2023年增加107.29万元，其中：基本支出减少29.89万元，主要是人员减少，相应减少人员经费和日常公用经费；项目支出减少137.18万元，主要是增加了上级转移支付收入和政府性基金收入；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年，我单位运行经费共计安排</w:t>
      </w:r>
      <w:r>
        <w:rPr>
          <w:rFonts w:hint="eastAsia"/>
          <w:lang w:val="en-US" w:eastAsia="zh-CN"/>
        </w:rPr>
        <w:t>33.33</w:t>
      </w:r>
      <w:bookmarkStart w:id="2" w:name="_GoBack"/>
      <w:bookmarkEnd w:id="2"/>
      <w:r>
        <w:t>万元，主要用于保证机关正常运转的办公及印刷费、邮电费、差旅费、会议费、福利费、专用材料及一般设备购置费、日常维修费等支出。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1、创建办劳务派遣人员费用绩效目标表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13010924P000002110771</w:t>
            </w:r>
          </w:p>
        </w:tc>
        <w:tc>
          <w:tcPr>
            <w:tcW w:w="2835" w:type="dxa"/>
            <w:vAlign w:val="center"/>
          </w:tcPr>
          <w:p>
            <w:pPr>
              <w:pStyle w:val="10"/>
            </w:pPr>
            <w:r>
              <w:t>项目名称</w:t>
            </w:r>
          </w:p>
        </w:tc>
        <w:tc>
          <w:tcPr>
            <w:tcW w:w="6094" w:type="dxa"/>
            <w:gridSpan w:val="3"/>
            <w:vAlign w:val="center"/>
          </w:tcPr>
          <w:p>
            <w:pPr>
              <w:pStyle w:val="12"/>
            </w:pPr>
            <w:r>
              <w:t>创建办劳务派遣人员费用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19.94</w:t>
            </w:r>
          </w:p>
        </w:tc>
        <w:tc>
          <w:tcPr>
            <w:tcW w:w="2835" w:type="dxa"/>
            <w:vAlign w:val="center"/>
          </w:tcPr>
          <w:p>
            <w:pPr>
              <w:pStyle w:val="10"/>
            </w:pPr>
            <w:r>
              <w:t>其中：财政    资金</w:t>
            </w:r>
          </w:p>
        </w:tc>
        <w:tc>
          <w:tcPr>
            <w:tcW w:w="2551" w:type="dxa"/>
            <w:vAlign w:val="center"/>
          </w:tcPr>
          <w:p>
            <w:pPr>
              <w:pStyle w:val="12"/>
            </w:pPr>
            <w:r>
              <w:t>19.94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管好用好劳务派遣人员，提高劳务派遣人员工作能力和综合素质，顺利完成文明城市创建实地督导、材料审核、问卷调查等各项工作任务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1.管好用好劳务派遣人员，提高劳务派遣人员工作能力和综合素质，顺利完成文明城市创建实地督导、材料审核、问卷调查等各项工作任务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足额发放派遣人员工资社保</w:t>
            </w:r>
          </w:p>
        </w:tc>
        <w:tc>
          <w:tcPr>
            <w:tcW w:w="5386" w:type="dxa"/>
            <w:vAlign w:val="center"/>
          </w:tcPr>
          <w:p>
            <w:pPr>
              <w:pStyle w:val="12"/>
            </w:pPr>
            <w:r>
              <w:t>每月足额发放工资给劳务派遣人员</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按标准足额发放</w:t>
            </w:r>
          </w:p>
        </w:tc>
        <w:tc>
          <w:tcPr>
            <w:tcW w:w="5386" w:type="dxa"/>
            <w:vAlign w:val="center"/>
          </w:tcPr>
          <w:p>
            <w:pPr>
              <w:pStyle w:val="12"/>
            </w:pPr>
            <w:r>
              <w:t>按标准足额发放</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按要求及时发放</w:t>
            </w:r>
          </w:p>
        </w:tc>
        <w:tc>
          <w:tcPr>
            <w:tcW w:w="5386" w:type="dxa"/>
            <w:vAlign w:val="center"/>
          </w:tcPr>
          <w:p>
            <w:pPr>
              <w:pStyle w:val="12"/>
            </w:pPr>
            <w:r>
              <w:t>按月及时发放</w:t>
            </w:r>
          </w:p>
        </w:tc>
        <w:tc>
          <w:tcPr>
            <w:tcW w:w="2268" w:type="dxa"/>
            <w:vAlign w:val="center"/>
          </w:tcPr>
          <w:p>
            <w:pPr>
              <w:pStyle w:val="12"/>
            </w:pPr>
            <w:r>
              <w:t>100%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派遣人员费用</w:t>
            </w:r>
          </w:p>
        </w:tc>
        <w:tc>
          <w:tcPr>
            <w:tcW w:w="5386" w:type="dxa"/>
            <w:vAlign w:val="center"/>
          </w:tcPr>
          <w:p>
            <w:pPr>
              <w:pStyle w:val="12"/>
            </w:pPr>
            <w:r>
              <w:t>派遣人员工资社保费用</w:t>
            </w:r>
          </w:p>
        </w:tc>
        <w:tc>
          <w:tcPr>
            <w:tcW w:w="2268" w:type="dxa"/>
            <w:vAlign w:val="center"/>
          </w:tcPr>
          <w:p>
            <w:pPr>
              <w:pStyle w:val="12"/>
            </w:pPr>
            <w:r>
              <w:t>按标准执行</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创建办劳务派遣人员工作积极性的提升程度</w:t>
            </w:r>
          </w:p>
        </w:tc>
        <w:tc>
          <w:tcPr>
            <w:tcW w:w="5386" w:type="dxa"/>
            <w:vAlign w:val="center"/>
          </w:tcPr>
          <w:p>
            <w:pPr>
              <w:pStyle w:val="12"/>
            </w:pPr>
            <w:r>
              <w:t>创建办劳务派遣人员工作积极性的提升程度</w:t>
            </w:r>
          </w:p>
        </w:tc>
        <w:tc>
          <w:tcPr>
            <w:tcW w:w="2268" w:type="dxa"/>
            <w:vAlign w:val="center"/>
          </w:tcPr>
          <w:p>
            <w:pPr>
              <w:pStyle w:val="12"/>
            </w:pPr>
            <w:r>
              <w:t>普遍提升</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创建办人员满意度</w:t>
            </w:r>
          </w:p>
        </w:tc>
        <w:tc>
          <w:tcPr>
            <w:tcW w:w="5386" w:type="dxa"/>
            <w:vAlign w:val="center"/>
          </w:tcPr>
          <w:p>
            <w:pPr>
              <w:pStyle w:val="12"/>
            </w:pPr>
            <w:r>
              <w:t>创建办人员满意度</w:t>
            </w:r>
          </w:p>
        </w:tc>
        <w:tc>
          <w:tcPr>
            <w:tcW w:w="2268" w:type="dxa"/>
            <w:vAlign w:val="center"/>
          </w:tcPr>
          <w:p>
            <w:pPr>
              <w:pStyle w:val="12"/>
            </w:pPr>
            <w:r>
              <w:t>≥95%</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2、电影公司在职退休人员待遇资金解决（电影公司经营困难补助经费）绩效目标表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13010924P00003710339K</w:t>
            </w:r>
          </w:p>
        </w:tc>
        <w:tc>
          <w:tcPr>
            <w:tcW w:w="2835" w:type="dxa"/>
            <w:vAlign w:val="center"/>
          </w:tcPr>
          <w:p>
            <w:pPr>
              <w:pStyle w:val="10"/>
            </w:pPr>
            <w:r>
              <w:t>项目名称</w:t>
            </w:r>
          </w:p>
        </w:tc>
        <w:tc>
          <w:tcPr>
            <w:tcW w:w="6094" w:type="dxa"/>
            <w:gridSpan w:val="3"/>
            <w:vAlign w:val="center"/>
          </w:tcPr>
          <w:p>
            <w:pPr>
              <w:pStyle w:val="12"/>
            </w:pPr>
            <w:r>
              <w:t>电影公司在职退休人员待遇资金解决（电影公司经营困难补助经费）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119.15</w:t>
            </w:r>
          </w:p>
        </w:tc>
        <w:tc>
          <w:tcPr>
            <w:tcW w:w="2835" w:type="dxa"/>
            <w:vAlign w:val="center"/>
          </w:tcPr>
          <w:p>
            <w:pPr>
              <w:pStyle w:val="10"/>
            </w:pPr>
            <w:r>
              <w:t>其中：财政    资金</w:t>
            </w:r>
          </w:p>
        </w:tc>
        <w:tc>
          <w:tcPr>
            <w:tcW w:w="2551" w:type="dxa"/>
            <w:vAlign w:val="center"/>
          </w:tcPr>
          <w:p>
            <w:pPr>
              <w:pStyle w:val="12"/>
            </w:pPr>
            <w:r>
              <w:t>119.15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解决好区电影发行放映公司历史遗留问题，确保区电影发行放映公司人员信访稳定。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1.解决好区电影发行放映公司历史遗留问题，确保区电影发行放映公司人员信访稳定。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补助经费所涉及的人员数量</w:t>
            </w:r>
          </w:p>
        </w:tc>
        <w:tc>
          <w:tcPr>
            <w:tcW w:w="5386" w:type="dxa"/>
            <w:vAlign w:val="center"/>
          </w:tcPr>
          <w:p>
            <w:pPr>
              <w:pStyle w:val="12"/>
            </w:pPr>
            <w:r>
              <w:t>补助经费所涉及的人员数量</w:t>
            </w:r>
          </w:p>
        </w:tc>
        <w:tc>
          <w:tcPr>
            <w:tcW w:w="2268" w:type="dxa"/>
            <w:vAlign w:val="center"/>
          </w:tcPr>
          <w:p>
            <w:pPr>
              <w:pStyle w:val="12"/>
            </w:pPr>
            <w:r>
              <w:t>28人</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稳定工作达标率</w:t>
            </w:r>
          </w:p>
        </w:tc>
        <w:tc>
          <w:tcPr>
            <w:tcW w:w="5386" w:type="dxa"/>
            <w:vAlign w:val="center"/>
          </w:tcPr>
          <w:p>
            <w:pPr>
              <w:pStyle w:val="12"/>
            </w:pPr>
            <w:r>
              <w:t>稳定职工情绪，不引起信访案件发生</w:t>
            </w:r>
          </w:p>
        </w:tc>
        <w:tc>
          <w:tcPr>
            <w:tcW w:w="2268" w:type="dxa"/>
            <w:vAlign w:val="center"/>
          </w:tcPr>
          <w:p>
            <w:pPr>
              <w:pStyle w:val="12"/>
            </w:pPr>
            <w:r>
              <w:t>≥90%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pPr>
            <w:r>
              <w:t>资金下达后及时发放</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电影公司日常经营支出费用、职工保险缴纳费用</w:t>
            </w:r>
          </w:p>
        </w:tc>
        <w:tc>
          <w:tcPr>
            <w:tcW w:w="5386" w:type="dxa"/>
            <w:vAlign w:val="center"/>
          </w:tcPr>
          <w:p>
            <w:pPr>
              <w:pStyle w:val="12"/>
            </w:pPr>
            <w:r>
              <w:t>电影公司日常经营支出费用、职工保险缴纳费用</w:t>
            </w:r>
          </w:p>
        </w:tc>
        <w:tc>
          <w:tcPr>
            <w:tcW w:w="2268" w:type="dxa"/>
            <w:vAlign w:val="center"/>
          </w:tcPr>
          <w:p>
            <w:pPr>
              <w:pStyle w:val="12"/>
            </w:pPr>
            <w:r>
              <w:t>按实际缴纳费用标准</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解决好区电影发行放映公司历史遗留问题，确保区电影发行放映公司人员信访稳定。</w:t>
            </w:r>
          </w:p>
        </w:tc>
        <w:tc>
          <w:tcPr>
            <w:tcW w:w="5386" w:type="dxa"/>
            <w:vAlign w:val="center"/>
          </w:tcPr>
          <w:p>
            <w:pPr>
              <w:pStyle w:val="12"/>
            </w:pPr>
            <w:r>
              <w:t>解决好区电影发行放映公司历史遗留问题，确保区电影发行放映公司人员信访稳定。</w:t>
            </w:r>
          </w:p>
        </w:tc>
        <w:tc>
          <w:tcPr>
            <w:tcW w:w="2268" w:type="dxa"/>
            <w:vAlign w:val="center"/>
          </w:tcPr>
          <w:p>
            <w:pPr>
              <w:pStyle w:val="12"/>
            </w:pPr>
            <w:r>
              <w:t>≥90%</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影院日常经营持续性产生费用、职工保险持续性缴纳</w:t>
            </w:r>
          </w:p>
        </w:tc>
        <w:tc>
          <w:tcPr>
            <w:tcW w:w="5386" w:type="dxa"/>
            <w:vAlign w:val="center"/>
          </w:tcPr>
          <w:p>
            <w:pPr>
              <w:pStyle w:val="12"/>
            </w:pPr>
            <w:r>
              <w:t>影院日常经营持续性产生费用、职工保险持续性缴纳</w:t>
            </w:r>
          </w:p>
        </w:tc>
        <w:tc>
          <w:tcPr>
            <w:tcW w:w="2268" w:type="dxa"/>
            <w:vAlign w:val="center"/>
          </w:tcPr>
          <w:p>
            <w:pPr>
              <w:pStyle w:val="12"/>
            </w:pPr>
            <w:r>
              <w:t>≥5万元</w:t>
            </w:r>
          </w:p>
        </w:tc>
        <w:tc>
          <w:tcPr>
            <w:tcW w:w="1276"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影院职工满意度</w:t>
            </w:r>
          </w:p>
        </w:tc>
        <w:tc>
          <w:tcPr>
            <w:tcW w:w="5386" w:type="dxa"/>
            <w:vAlign w:val="center"/>
          </w:tcPr>
          <w:p>
            <w:pPr>
              <w:pStyle w:val="12"/>
            </w:pPr>
            <w:r>
              <w:t>影院职工满意度</w:t>
            </w:r>
          </w:p>
        </w:tc>
        <w:tc>
          <w:tcPr>
            <w:tcW w:w="2268" w:type="dxa"/>
            <w:vAlign w:val="center"/>
          </w:tcPr>
          <w:p>
            <w:pPr>
              <w:pStyle w:val="12"/>
            </w:pPr>
            <w:r>
              <w:t>≥90%</w:t>
            </w:r>
          </w:p>
        </w:tc>
        <w:tc>
          <w:tcPr>
            <w:tcW w:w="1276" w:type="dxa"/>
            <w:vAlign w:val="center"/>
          </w:tcPr>
          <w:p>
            <w:pPr>
              <w:pStyle w:val="12"/>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3、电影院农村公益电影放映补助（上缴市级）绩效目标表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13010924P000002113014</w:t>
            </w:r>
          </w:p>
        </w:tc>
        <w:tc>
          <w:tcPr>
            <w:tcW w:w="2835" w:type="dxa"/>
            <w:vAlign w:val="center"/>
          </w:tcPr>
          <w:p>
            <w:pPr>
              <w:pStyle w:val="10"/>
            </w:pPr>
            <w:r>
              <w:t>项目名称</w:t>
            </w:r>
          </w:p>
        </w:tc>
        <w:tc>
          <w:tcPr>
            <w:tcW w:w="6094" w:type="dxa"/>
            <w:gridSpan w:val="3"/>
            <w:vAlign w:val="center"/>
          </w:tcPr>
          <w:p>
            <w:pPr>
              <w:pStyle w:val="12"/>
            </w:pPr>
            <w:r>
              <w:t>电影院农村公益电影放映补助（上缴市级）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16.64</w:t>
            </w:r>
          </w:p>
        </w:tc>
        <w:tc>
          <w:tcPr>
            <w:tcW w:w="2835" w:type="dxa"/>
            <w:vAlign w:val="center"/>
          </w:tcPr>
          <w:p>
            <w:pPr>
              <w:pStyle w:val="10"/>
            </w:pPr>
            <w:r>
              <w:t>其中：财政    资金</w:t>
            </w:r>
          </w:p>
        </w:tc>
        <w:tc>
          <w:tcPr>
            <w:tcW w:w="2551" w:type="dxa"/>
            <w:vAlign w:val="center"/>
          </w:tcPr>
          <w:p>
            <w:pPr>
              <w:pStyle w:val="12"/>
            </w:pPr>
            <w:r>
              <w:t>16.64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根据《河北省农村电影放映工程实施管理办法》，按时完成放映任务，丰富群众文化生活。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1.根据《河北省农村电影放映工程实施管理办法》，按时完成放映任务，丰富群众文化生活。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全年完成农村电影公益放映数量</w:t>
            </w:r>
          </w:p>
        </w:tc>
        <w:tc>
          <w:tcPr>
            <w:tcW w:w="5386" w:type="dxa"/>
            <w:vAlign w:val="center"/>
          </w:tcPr>
          <w:p>
            <w:pPr>
              <w:pStyle w:val="12"/>
            </w:pPr>
            <w:r>
              <w:t>全年完成农村电影公益放映数量</w:t>
            </w:r>
          </w:p>
        </w:tc>
        <w:tc>
          <w:tcPr>
            <w:tcW w:w="2268" w:type="dxa"/>
            <w:vAlign w:val="center"/>
          </w:tcPr>
          <w:p>
            <w:pPr>
              <w:pStyle w:val="12"/>
            </w:pPr>
            <w:r>
              <w:t>≥2400场次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确保放映质量</w:t>
            </w:r>
          </w:p>
        </w:tc>
        <w:tc>
          <w:tcPr>
            <w:tcW w:w="5386" w:type="dxa"/>
            <w:vAlign w:val="center"/>
          </w:tcPr>
          <w:p>
            <w:pPr>
              <w:pStyle w:val="12"/>
            </w:pPr>
            <w:r>
              <w:t>确保放映质量</w:t>
            </w:r>
          </w:p>
        </w:tc>
        <w:tc>
          <w:tcPr>
            <w:tcW w:w="2268" w:type="dxa"/>
            <w:vAlign w:val="center"/>
          </w:tcPr>
          <w:p>
            <w:pPr>
              <w:pStyle w:val="12"/>
            </w:pPr>
            <w:r>
              <w:t>放映质量高</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放映及时率</w:t>
            </w:r>
          </w:p>
        </w:tc>
        <w:tc>
          <w:tcPr>
            <w:tcW w:w="5386" w:type="dxa"/>
            <w:vAlign w:val="center"/>
          </w:tcPr>
          <w:p>
            <w:pPr>
              <w:pStyle w:val="12"/>
            </w:pPr>
            <w:r>
              <w:t>放映及时率</w:t>
            </w:r>
          </w:p>
        </w:tc>
        <w:tc>
          <w:tcPr>
            <w:tcW w:w="2268" w:type="dxa"/>
            <w:vAlign w:val="center"/>
          </w:tcPr>
          <w:p>
            <w:pPr>
              <w:pStyle w:val="12"/>
            </w:pPr>
            <w:r>
              <w:t>≥1场/月</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放映费用</w:t>
            </w:r>
          </w:p>
        </w:tc>
        <w:tc>
          <w:tcPr>
            <w:tcW w:w="5386" w:type="dxa"/>
            <w:vAlign w:val="center"/>
          </w:tcPr>
          <w:p>
            <w:pPr>
              <w:pStyle w:val="12"/>
            </w:pPr>
            <w:r>
              <w:t>放映费用</w:t>
            </w:r>
          </w:p>
        </w:tc>
        <w:tc>
          <w:tcPr>
            <w:tcW w:w="2268" w:type="dxa"/>
            <w:vAlign w:val="center"/>
          </w:tcPr>
          <w:p>
            <w:pPr>
              <w:pStyle w:val="12"/>
            </w:pPr>
            <w:r>
              <w:t>每场200元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全年持续性开展放映活动</w:t>
            </w:r>
          </w:p>
        </w:tc>
        <w:tc>
          <w:tcPr>
            <w:tcW w:w="5386" w:type="dxa"/>
            <w:vAlign w:val="center"/>
          </w:tcPr>
          <w:p>
            <w:pPr>
              <w:pStyle w:val="12"/>
            </w:pPr>
            <w:r>
              <w:t>全年持续性开展放映活动</w:t>
            </w:r>
          </w:p>
        </w:tc>
        <w:tc>
          <w:tcPr>
            <w:tcW w:w="2268" w:type="dxa"/>
            <w:vAlign w:val="center"/>
          </w:tcPr>
          <w:p>
            <w:pPr>
              <w:pStyle w:val="12"/>
            </w:pPr>
            <w:r>
              <w:t>持续开展</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放映内容满意度</w:t>
            </w:r>
          </w:p>
        </w:tc>
        <w:tc>
          <w:tcPr>
            <w:tcW w:w="5386" w:type="dxa"/>
            <w:vAlign w:val="center"/>
          </w:tcPr>
          <w:p>
            <w:pPr>
              <w:pStyle w:val="12"/>
            </w:pPr>
            <w:r>
              <w:t>放映内容满意度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4、国防教育工作经费绩效目标表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13010924P00000211304Y</w:t>
            </w:r>
          </w:p>
        </w:tc>
        <w:tc>
          <w:tcPr>
            <w:tcW w:w="2835" w:type="dxa"/>
            <w:vAlign w:val="center"/>
          </w:tcPr>
          <w:p>
            <w:pPr>
              <w:pStyle w:val="10"/>
            </w:pPr>
            <w:r>
              <w:t>项目名称</w:t>
            </w:r>
          </w:p>
        </w:tc>
        <w:tc>
          <w:tcPr>
            <w:tcW w:w="6094" w:type="dxa"/>
            <w:gridSpan w:val="3"/>
            <w:vAlign w:val="center"/>
          </w:tcPr>
          <w:p>
            <w:pPr>
              <w:pStyle w:val="12"/>
            </w:pPr>
            <w:r>
              <w:t>国防教育工作经费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了解和掌握国防教育情况，对全区国防教育活动予以指导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1.了解和掌握国防教育情况，对全区国防教育活动予以指导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组织国防教育活动、宣传国防教育次数</w:t>
            </w:r>
          </w:p>
        </w:tc>
        <w:tc>
          <w:tcPr>
            <w:tcW w:w="5386" w:type="dxa"/>
            <w:vAlign w:val="center"/>
          </w:tcPr>
          <w:p>
            <w:pPr>
              <w:pStyle w:val="12"/>
            </w:pPr>
            <w:r>
              <w:t>组织国防教育活动、宣传国防教育次数</w:t>
            </w:r>
          </w:p>
        </w:tc>
        <w:tc>
          <w:tcPr>
            <w:tcW w:w="2268" w:type="dxa"/>
            <w:vAlign w:val="center"/>
          </w:tcPr>
          <w:p>
            <w:pPr>
              <w:pStyle w:val="12"/>
            </w:pPr>
            <w:r>
              <w:t>≥2次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扎实组织开展全区国防教育各项活动，有内容、有实绩、有亮点，被区级及以上媒体报道次数</w:t>
            </w:r>
          </w:p>
        </w:tc>
        <w:tc>
          <w:tcPr>
            <w:tcW w:w="5386" w:type="dxa"/>
            <w:vAlign w:val="center"/>
          </w:tcPr>
          <w:p>
            <w:pPr>
              <w:pStyle w:val="12"/>
            </w:pPr>
            <w:r>
              <w:t>扎实组织开展全区国防教育各项活动，有内容、有实绩、有亮点，被区级及以上媒体报道次数</w:t>
            </w:r>
          </w:p>
        </w:tc>
        <w:tc>
          <w:tcPr>
            <w:tcW w:w="2268" w:type="dxa"/>
            <w:vAlign w:val="center"/>
          </w:tcPr>
          <w:p>
            <w:pPr>
              <w:pStyle w:val="12"/>
            </w:pPr>
            <w:r>
              <w:t>≥1次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按照时间节点组织活动</w:t>
            </w:r>
          </w:p>
        </w:tc>
        <w:tc>
          <w:tcPr>
            <w:tcW w:w="5386" w:type="dxa"/>
            <w:vAlign w:val="center"/>
          </w:tcPr>
          <w:p>
            <w:pPr>
              <w:pStyle w:val="12"/>
            </w:pPr>
            <w:r>
              <w:t>按照时间节点组织活动</w:t>
            </w:r>
          </w:p>
        </w:tc>
        <w:tc>
          <w:tcPr>
            <w:tcW w:w="2268" w:type="dxa"/>
            <w:vAlign w:val="center"/>
          </w:tcPr>
          <w:p>
            <w:pPr>
              <w:pStyle w:val="12"/>
            </w:pPr>
            <w:r>
              <w:t>按照规定</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活动所需物资</w:t>
            </w:r>
          </w:p>
        </w:tc>
        <w:tc>
          <w:tcPr>
            <w:tcW w:w="5386" w:type="dxa"/>
            <w:vAlign w:val="center"/>
          </w:tcPr>
          <w:p>
            <w:pPr>
              <w:pStyle w:val="12"/>
            </w:pPr>
            <w:r>
              <w:t>活动所需物资</w:t>
            </w:r>
          </w:p>
        </w:tc>
        <w:tc>
          <w:tcPr>
            <w:tcW w:w="2268" w:type="dxa"/>
            <w:vAlign w:val="center"/>
          </w:tcPr>
          <w:p>
            <w:pPr>
              <w:pStyle w:val="12"/>
            </w:pPr>
            <w:r>
              <w:t>≤2万元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国防教育各项活动扎实开展，宣传效果影响程度</w:t>
            </w:r>
          </w:p>
        </w:tc>
        <w:tc>
          <w:tcPr>
            <w:tcW w:w="5386" w:type="dxa"/>
            <w:vAlign w:val="center"/>
          </w:tcPr>
          <w:p>
            <w:pPr>
              <w:pStyle w:val="12"/>
            </w:pPr>
            <w:r>
              <w:t>国防教育各项活动扎实开展，宣传效果影响程度</w:t>
            </w:r>
          </w:p>
        </w:tc>
        <w:tc>
          <w:tcPr>
            <w:tcW w:w="2268" w:type="dxa"/>
            <w:vAlign w:val="center"/>
          </w:tcPr>
          <w:p>
            <w:pPr>
              <w:pStyle w:val="12"/>
            </w:pPr>
            <w:r>
              <w:t>影响较大</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群众对我区国防教育工作的满意程度</w:t>
            </w:r>
          </w:p>
        </w:tc>
        <w:tc>
          <w:tcPr>
            <w:tcW w:w="5386" w:type="dxa"/>
            <w:vAlign w:val="center"/>
          </w:tcPr>
          <w:p>
            <w:pPr>
              <w:pStyle w:val="12"/>
            </w:pPr>
            <w:r>
              <w:t>群众对我区国防教育工作的满意程度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5、精神文明创建工作经费绩效目标表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13010924P000002113066</w:t>
            </w:r>
          </w:p>
        </w:tc>
        <w:tc>
          <w:tcPr>
            <w:tcW w:w="2835" w:type="dxa"/>
            <w:vAlign w:val="center"/>
          </w:tcPr>
          <w:p>
            <w:pPr>
              <w:pStyle w:val="10"/>
            </w:pPr>
            <w:r>
              <w:t>项目名称</w:t>
            </w:r>
          </w:p>
        </w:tc>
        <w:tc>
          <w:tcPr>
            <w:tcW w:w="6094" w:type="dxa"/>
            <w:gridSpan w:val="3"/>
            <w:vAlign w:val="center"/>
          </w:tcPr>
          <w:p>
            <w:pPr>
              <w:pStyle w:val="12"/>
            </w:pPr>
            <w:r>
              <w:t>精神文明创建工作经费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全区城乡文明程度显著提升，和谐向善的社会风气逐步形成。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1.全区城乡文明程度显著提升，和谐向善的社会风气逐步形成。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开展活动次数</w:t>
            </w:r>
          </w:p>
        </w:tc>
        <w:tc>
          <w:tcPr>
            <w:tcW w:w="2268" w:type="dxa"/>
            <w:vAlign w:val="center"/>
          </w:tcPr>
          <w:p>
            <w:pPr>
              <w:pStyle w:val="12"/>
            </w:pPr>
            <w:r>
              <w:t>≥2次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文明创建质量</w:t>
            </w:r>
          </w:p>
        </w:tc>
        <w:tc>
          <w:tcPr>
            <w:tcW w:w="5386" w:type="dxa"/>
            <w:vAlign w:val="center"/>
          </w:tcPr>
          <w:p>
            <w:pPr>
              <w:pStyle w:val="12"/>
            </w:pPr>
            <w:r>
              <w:t>推广文明村镇、文明单位、文明校园、道德模范等在区级、市级、省级的个数</w:t>
            </w:r>
          </w:p>
        </w:tc>
        <w:tc>
          <w:tcPr>
            <w:tcW w:w="2268" w:type="dxa"/>
            <w:vAlign w:val="center"/>
          </w:tcPr>
          <w:p>
            <w:pPr>
              <w:pStyle w:val="12"/>
            </w:pPr>
            <w:r>
              <w:t>≥5个</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组织活动及时率</w:t>
            </w:r>
          </w:p>
        </w:tc>
        <w:tc>
          <w:tcPr>
            <w:tcW w:w="5386" w:type="dxa"/>
            <w:vAlign w:val="center"/>
          </w:tcPr>
          <w:p>
            <w:pPr>
              <w:pStyle w:val="12"/>
            </w:pPr>
            <w:r>
              <w:t>组织活动及时率</w:t>
            </w:r>
          </w:p>
        </w:tc>
        <w:tc>
          <w:tcPr>
            <w:tcW w:w="2268" w:type="dxa"/>
            <w:vAlign w:val="center"/>
          </w:tcPr>
          <w:p>
            <w:pPr>
              <w:pStyle w:val="12"/>
            </w:pPr>
            <w:r>
              <w:t>及时组织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文明创建活动所需物资</w:t>
            </w:r>
          </w:p>
        </w:tc>
        <w:tc>
          <w:tcPr>
            <w:tcW w:w="5386" w:type="dxa"/>
            <w:vAlign w:val="center"/>
          </w:tcPr>
          <w:p>
            <w:pPr>
              <w:pStyle w:val="12"/>
            </w:pPr>
            <w:r>
              <w:t>文明创建活动所需物资</w:t>
            </w:r>
          </w:p>
        </w:tc>
        <w:tc>
          <w:tcPr>
            <w:tcW w:w="2268" w:type="dxa"/>
            <w:vAlign w:val="center"/>
          </w:tcPr>
          <w:p>
            <w:pPr>
              <w:pStyle w:val="12"/>
            </w:pPr>
            <w:r>
              <w:t>≤5万元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全区城乡文明程度提升程度</w:t>
            </w:r>
          </w:p>
        </w:tc>
        <w:tc>
          <w:tcPr>
            <w:tcW w:w="5386" w:type="dxa"/>
            <w:vAlign w:val="center"/>
          </w:tcPr>
          <w:p>
            <w:pPr>
              <w:pStyle w:val="12"/>
            </w:pPr>
            <w:r>
              <w:t>全区城乡文明程度提升程度</w:t>
            </w:r>
          </w:p>
        </w:tc>
        <w:tc>
          <w:tcPr>
            <w:tcW w:w="2268" w:type="dxa"/>
            <w:vAlign w:val="center"/>
          </w:tcPr>
          <w:p>
            <w:pPr>
              <w:pStyle w:val="12"/>
            </w:pPr>
            <w:r>
              <w:t>普遍提升</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6、老放映电影员生活补助经费绩效目标表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13010924P00003710340Y</w:t>
            </w:r>
          </w:p>
        </w:tc>
        <w:tc>
          <w:tcPr>
            <w:tcW w:w="2835" w:type="dxa"/>
            <w:vAlign w:val="center"/>
          </w:tcPr>
          <w:p>
            <w:pPr>
              <w:pStyle w:val="10"/>
            </w:pPr>
            <w:r>
              <w:t>项目名称</w:t>
            </w:r>
          </w:p>
        </w:tc>
        <w:tc>
          <w:tcPr>
            <w:tcW w:w="6094" w:type="dxa"/>
            <w:gridSpan w:val="3"/>
            <w:vAlign w:val="center"/>
          </w:tcPr>
          <w:p>
            <w:pPr>
              <w:pStyle w:val="12"/>
            </w:pPr>
            <w:r>
              <w:t>老放映电影员生活补助经费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12.98</w:t>
            </w:r>
          </w:p>
        </w:tc>
        <w:tc>
          <w:tcPr>
            <w:tcW w:w="2835" w:type="dxa"/>
            <w:vAlign w:val="center"/>
          </w:tcPr>
          <w:p>
            <w:pPr>
              <w:pStyle w:val="10"/>
            </w:pPr>
            <w:r>
              <w:t>其中：财政    资金</w:t>
            </w:r>
          </w:p>
        </w:tc>
        <w:tc>
          <w:tcPr>
            <w:tcW w:w="2551" w:type="dxa"/>
            <w:vAlign w:val="center"/>
          </w:tcPr>
          <w:p>
            <w:pPr>
              <w:pStyle w:val="12"/>
            </w:pPr>
            <w:r>
              <w:t>12.98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保障广大乡镇（公社）老放映员的基本权益，维护社会和谐稳定。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1.保障广大乡镇（公社）老放映员的基本权益，维护社会和谐稳定。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发放老放映人员生活补助人数</w:t>
            </w:r>
          </w:p>
        </w:tc>
        <w:tc>
          <w:tcPr>
            <w:tcW w:w="5386" w:type="dxa"/>
            <w:vAlign w:val="center"/>
          </w:tcPr>
          <w:p>
            <w:pPr>
              <w:pStyle w:val="12"/>
            </w:pPr>
            <w:r>
              <w:t>发放老放映人员生活补助人数</w:t>
            </w:r>
          </w:p>
        </w:tc>
        <w:tc>
          <w:tcPr>
            <w:tcW w:w="2268" w:type="dxa"/>
            <w:vAlign w:val="center"/>
          </w:tcPr>
          <w:p>
            <w:pPr>
              <w:pStyle w:val="12"/>
            </w:pPr>
            <w:r>
              <w:t>40人</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保障广大乡镇（公社）老放映员的基本权益，维护社会和谐稳定</w:t>
            </w:r>
          </w:p>
        </w:tc>
        <w:tc>
          <w:tcPr>
            <w:tcW w:w="5386" w:type="dxa"/>
            <w:vAlign w:val="center"/>
          </w:tcPr>
          <w:p>
            <w:pPr>
              <w:pStyle w:val="12"/>
            </w:pPr>
            <w:r>
              <w:t>保障广大乡镇（公社）老放映员的基本权益，维护社会和谐稳定</w:t>
            </w:r>
          </w:p>
        </w:tc>
        <w:tc>
          <w:tcPr>
            <w:tcW w:w="2268" w:type="dxa"/>
            <w:vAlign w:val="center"/>
          </w:tcPr>
          <w:p>
            <w:pPr>
              <w:pStyle w:val="12"/>
            </w:pPr>
            <w:r>
              <w:t>保持稳定</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合理制定资金发放计划，确保将资金发放到位</w:t>
            </w:r>
          </w:p>
        </w:tc>
        <w:tc>
          <w:tcPr>
            <w:tcW w:w="5386" w:type="dxa"/>
            <w:vAlign w:val="center"/>
          </w:tcPr>
          <w:p>
            <w:pPr>
              <w:pStyle w:val="12"/>
            </w:pPr>
            <w:r>
              <w:t>合理制定资金发放计划，确保将资金发放到位</w:t>
            </w:r>
          </w:p>
        </w:tc>
        <w:tc>
          <w:tcPr>
            <w:tcW w:w="2268" w:type="dxa"/>
            <w:vAlign w:val="center"/>
          </w:tcPr>
          <w:p>
            <w:pPr>
              <w:pStyle w:val="12"/>
            </w:pPr>
            <w:r>
              <w:t>每月发放</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老放映员日常生活补助费用</w:t>
            </w:r>
          </w:p>
        </w:tc>
        <w:tc>
          <w:tcPr>
            <w:tcW w:w="5386" w:type="dxa"/>
            <w:vAlign w:val="center"/>
          </w:tcPr>
          <w:p>
            <w:pPr>
              <w:pStyle w:val="12"/>
            </w:pPr>
            <w:r>
              <w:t>老放映员日常生活补助费用</w:t>
            </w:r>
          </w:p>
        </w:tc>
        <w:tc>
          <w:tcPr>
            <w:tcW w:w="2268" w:type="dxa"/>
            <w:vAlign w:val="center"/>
          </w:tcPr>
          <w:p>
            <w:pPr>
              <w:pStyle w:val="12"/>
            </w:pPr>
            <w:r>
              <w:t>200元</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保障广大乡镇（公社）老放映员的基本权益，维护社会和谐稳定</w:t>
            </w:r>
          </w:p>
        </w:tc>
        <w:tc>
          <w:tcPr>
            <w:tcW w:w="5386" w:type="dxa"/>
            <w:vAlign w:val="center"/>
          </w:tcPr>
          <w:p>
            <w:pPr>
              <w:pStyle w:val="12"/>
            </w:pPr>
            <w:r>
              <w:t>保障广大乡镇（公社）老放映员的基本权益，维护社会和谐稳定</w:t>
            </w:r>
          </w:p>
        </w:tc>
        <w:tc>
          <w:tcPr>
            <w:tcW w:w="2268" w:type="dxa"/>
            <w:vAlign w:val="center"/>
          </w:tcPr>
          <w:p>
            <w:pPr>
              <w:pStyle w:val="12"/>
            </w:pPr>
            <w:r>
              <w:t>保障权益，维持稳定</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根据文件要求每年持续性发放</w:t>
            </w:r>
          </w:p>
        </w:tc>
        <w:tc>
          <w:tcPr>
            <w:tcW w:w="5386" w:type="dxa"/>
            <w:vAlign w:val="center"/>
          </w:tcPr>
          <w:p>
            <w:pPr>
              <w:pStyle w:val="12"/>
            </w:pPr>
            <w:r>
              <w:t>根据文件要求每年持续性发放</w:t>
            </w:r>
          </w:p>
        </w:tc>
        <w:tc>
          <w:tcPr>
            <w:tcW w:w="2268" w:type="dxa"/>
            <w:vAlign w:val="center"/>
          </w:tcPr>
          <w:p>
            <w:pPr>
              <w:pStyle w:val="12"/>
            </w:pPr>
            <w:r>
              <w:t>≥90%</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群众满意数量占总数的比例。</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上级文件、领导批示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7、理论学习宣传宣讲等加强理论武装工作经费绩效目标表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13010924P00000211307R</w:t>
            </w:r>
          </w:p>
        </w:tc>
        <w:tc>
          <w:tcPr>
            <w:tcW w:w="2835" w:type="dxa"/>
            <w:vAlign w:val="center"/>
          </w:tcPr>
          <w:p>
            <w:pPr>
              <w:pStyle w:val="10"/>
            </w:pPr>
            <w:r>
              <w:t>项目名称</w:t>
            </w:r>
          </w:p>
        </w:tc>
        <w:tc>
          <w:tcPr>
            <w:tcW w:w="6094" w:type="dxa"/>
            <w:gridSpan w:val="3"/>
            <w:vAlign w:val="center"/>
          </w:tcPr>
          <w:p>
            <w:pPr>
              <w:pStyle w:val="12"/>
            </w:pPr>
            <w:r>
              <w:t>理论学习宣传宣讲等加强理论武装工作经费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每年组织区委理论学习中心组开展集中学习不少于12次，提升党员领导干部运用党的理论解决实际问题能力。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1.每年组织区委理论学习中心组开展集中学习不少于12次，提升党员领导干部运用党的理论解决实际问题能力。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组织区委中心组学习次数、组织理论宣讲次数</w:t>
            </w:r>
          </w:p>
        </w:tc>
        <w:tc>
          <w:tcPr>
            <w:tcW w:w="5386" w:type="dxa"/>
            <w:vAlign w:val="center"/>
          </w:tcPr>
          <w:p>
            <w:pPr>
              <w:pStyle w:val="12"/>
            </w:pPr>
            <w:r>
              <w:t>组织区委中心组学习次数、组织理论宣讲次数</w:t>
            </w:r>
          </w:p>
        </w:tc>
        <w:tc>
          <w:tcPr>
            <w:tcW w:w="2268" w:type="dxa"/>
            <w:vAlign w:val="center"/>
          </w:tcPr>
          <w:p>
            <w:pPr>
              <w:pStyle w:val="12"/>
            </w:pPr>
            <w:r>
              <w:t>≥12场次</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党员干部群众理论素养进一步提升</w:t>
            </w:r>
          </w:p>
        </w:tc>
        <w:tc>
          <w:tcPr>
            <w:tcW w:w="5386" w:type="dxa"/>
            <w:vAlign w:val="center"/>
          </w:tcPr>
          <w:p>
            <w:pPr>
              <w:pStyle w:val="12"/>
            </w:pPr>
            <w:r>
              <w:t>党员干部群众理论素养进一步提升</w:t>
            </w:r>
          </w:p>
        </w:tc>
        <w:tc>
          <w:tcPr>
            <w:tcW w:w="2268" w:type="dxa"/>
            <w:vAlign w:val="center"/>
          </w:tcPr>
          <w:p>
            <w:pPr>
              <w:pStyle w:val="12"/>
            </w:pPr>
            <w:r>
              <w:t>自身理论素养进一步提升</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每月组织区委中心组开展集中学习次数</w:t>
            </w:r>
          </w:p>
        </w:tc>
        <w:tc>
          <w:tcPr>
            <w:tcW w:w="5386" w:type="dxa"/>
            <w:vAlign w:val="center"/>
          </w:tcPr>
          <w:p>
            <w:pPr>
              <w:pStyle w:val="12"/>
            </w:pPr>
            <w:r>
              <w:t>每月组织区委中心组开展集中学习次数</w:t>
            </w:r>
          </w:p>
        </w:tc>
        <w:tc>
          <w:tcPr>
            <w:tcW w:w="2268" w:type="dxa"/>
            <w:vAlign w:val="center"/>
          </w:tcPr>
          <w:p>
            <w:pPr>
              <w:pStyle w:val="12"/>
            </w:pPr>
            <w:r>
              <w:t>≥1场次</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区委中心组学习费用、理论宣讲费用</w:t>
            </w:r>
          </w:p>
        </w:tc>
        <w:tc>
          <w:tcPr>
            <w:tcW w:w="5386" w:type="dxa"/>
            <w:vAlign w:val="center"/>
          </w:tcPr>
          <w:p>
            <w:pPr>
              <w:pStyle w:val="12"/>
            </w:pPr>
            <w:r>
              <w:t>区委中心组学习费用、理论宣讲费用</w:t>
            </w:r>
          </w:p>
        </w:tc>
        <w:tc>
          <w:tcPr>
            <w:tcW w:w="2268" w:type="dxa"/>
            <w:vAlign w:val="center"/>
          </w:tcPr>
          <w:p>
            <w:pPr>
              <w:pStyle w:val="12"/>
            </w:pPr>
            <w:r>
              <w:t>≤2万元</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党员干部群众理论指导实践能力进一步提升</w:t>
            </w:r>
          </w:p>
        </w:tc>
        <w:tc>
          <w:tcPr>
            <w:tcW w:w="5386" w:type="dxa"/>
            <w:vAlign w:val="center"/>
          </w:tcPr>
          <w:p>
            <w:pPr>
              <w:pStyle w:val="12"/>
            </w:pPr>
            <w:r>
              <w:t>党员干部群众理论指导实践能力进一步提升</w:t>
            </w:r>
          </w:p>
        </w:tc>
        <w:tc>
          <w:tcPr>
            <w:tcW w:w="2268" w:type="dxa"/>
            <w:vAlign w:val="center"/>
          </w:tcPr>
          <w:p>
            <w:pPr>
              <w:pStyle w:val="12"/>
            </w:pPr>
            <w:r>
              <w:t>理论联系实际、理论指导实际水平进一步提升</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党员干部群众对党的理论认同度、满意度</w:t>
            </w:r>
          </w:p>
        </w:tc>
        <w:tc>
          <w:tcPr>
            <w:tcW w:w="5386" w:type="dxa"/>
            <w:vAlign w:val="center"/>
          </w:tcPr>
          <w:p>
            <w:pPr>
              <w:pStyle w:val="12"/>
            </w:pPr>
            <w:r>
              <w:t>党员干部群众对党的理论认同度、满意度</w:t>
            </w:r>
          </w:p>
        </w:tc>
        <w:tc>
          <w:tcPr>
            <w:tcW w:w="2268" w:type="dxa"/>
            <w:vAlign w:val="center"/>
          </w:tcPr>
          <w:p>
            <w:pPr>
              <w:pStyle w:val="12"/>
            </w:pPr>
            <w:r>
              <w:t>≥90%</w:t>
            </w:r>
          </w:p>
        </w:tc>
        <w:tc>
          <w:tcPr>
            <w:tcW w:w="1276" w:type="dxa"/>
            <w:vAlign w:val="center"/>
          </w:tcPr>
          <w:p>
            <w:pPr>
              <w:pStyle w:val="12"/>
            </w:pPr>
            <w:r>
              <w:t>《中共石家庄市藁城区委理论学习中心组学习规则》、《关于进一步推进习近平新时代中国特色社会主义思想“六进的实施方案”》、中共中央办公厅《关于新时代加强和改进思想政治工作的意见》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8、扫黄打非工作经费绩效目标表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13010924P000002113091</w:t>
            </w:r>
          </w:p>
        </w:tc>
        <w:tc>
          <w:tcPr>
            <w:tcW w:w="2835" w:type="dxa"/>
            <w:vAlign w:val="center"/>
          </w:tcPr>
          <w:p>
            <w:pPr>
              <w:pStyle w:val="10"/>
            </w:pPr>
            <w:r>
              <w:t>项目名称</w:t>
            </w:r>
          </w:p>
        </w:tc>
        <w:tc>
          <w:tcPr>
            <w:tcW w:w="6094" w:type="dxa"/>
            <w:gridSpan w:val="3"/>
            <w:vAlign w:val="center"/>
          </w:tcPr>
          <w:p>
            <w:pPr>
              <w:pStyle w:val="12"/>
            </w:pPr>
            <w:r>
              <w:t>扫黄打非工作经费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深入推进“扫黄打非”进基层，在基层站点配置上按照“六有”标准，实现“六个到位”，做到有人抓、有人管、有成效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1.深入推进“扫黄打非”进基层，在基层站点配置上按照“六有”标准，实现“六个到位”，做到有人抓、有人管、有成效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培养或引进高水平人才数量（人）</w:t>
            </w:r>
          </w:p>
        </w:tc>
        <w:tc>
          <w:tcPr>
            <w:tcW w:w="5386" w:type="dxa"/>
            <w:vAlign w:val="center"/>
          </w:tcPr>
          <w:p>
            <w:pPr>
              <w:pStyle w:val="12"/>
            </w:pPr>
            <w:r>
              <w:t>培养或引进高水平人才数量（人）</w:t>
            </w:r>
          </w:p>
        </w:tc>
        <w:tc>
          <w:tcPr>
            <w:tcW w:w="2268" w:type="dxa"/>
            <w:vAlign w:val="center"/>
          </w:tcPr>
          <w:p>
            <w:pPr>
              <w:pStyle w:val="12"/>
            </w:pPr>
            <w:r>
              <w:t>≥1场</w:t>
            </w:r>
          </w:p>
        </w:tc>
        <w:tc>
          <w:tcPr>
            <w:tcW w:w="1276" w:type="dxa"/>
            <w:vAlign w:val="center"/>
          </w:tcPr>
          <w:p>
            <w:pPr>
              <w:pStyle w:val="12"/>
            </w:pPr>
            <w:r>
              <w:t>上级文件2022年石家庄市“扫黄打非”工作考评办法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加强队伍建设、搞好业务培训</w:t>
            </w:r>
          </w:p>
        </w:tc>
        <w:tc>
          <w:tcPr>
            <w:tcW w:w="5386" w:type="dxa"/>
            <w:vAlign w:val="center"/>
          </w:tcPr>
          <w:p>
            <w:pPr>
              <w:pStyle w:val="12"/>
            </w:pPr>
            <w:r>
              <w:t>加强队伍建设、搞好业务培训</w:t>
            </w:r>
          </w:p>
        </w:tc>
        <w:tc>
          <w:tcPr>
            <w:tcW w:w="2268" w:type="dxa"/>
            <w:vAlign w:val="center"/>
          </w:tcPr>
          <w:p>
            <w:pPr>
              <w:pStyle w:val="12"/>
            </w:pPr>
            <w:r>
              <w:t>≥1次</w:t>
            </w:r>
          </w:p>
        </w:tc>
        <w:tc>
          <w:tcPr>
            <w:tcW w:w="1276" w:type="dxa"/>
            <w:vAlign w:val="center"/>
          </w:tcPr>
          <w:p>
            <w:pPr>
              <w:pStyle w:val="12"/>
            </w:pPr>
            <w:r>
              <w:t>上级文件2022年石家庄市“扫黄打非”工作考评办法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按时开展扫黄打非活动</w:t>
            </w:r>
          </w:p>
        </w:tc>
        <w:tc>
          <w:tcPr>
            <w:tcW w:w="5386" w:type="dxa"/>
            <w:vAlign w:val="center"/>
          </w:tcPr>
          <w:p>
            <w:pPr>
              <w:pStyle w:val="12"/>
            </w:pPr>
            <w:r>
              <w:t>按时开展扫黄打非活动</w:t>
            </w:r>
          </w:p>
        </w:tc>
        <w:tc>
          <w:tcPr>
            <w:tcW w:w="2268" w:type="dxa"/>
            <w:vAlign w:val="center"/>
          </w:tcPr>
          <w:p>
            <w:pPr>
              <w:pStyle w:val="12"/>
            </w:pPr>
            <w:r>
              <w:t>按时开展</w:t>
            </w:r>
          </w:p>
        </w:tc>
        <w:tc>
          <w:tcPr>
            <w:tcW w:w="1276" w:type="dxa"/>
            <w:vAlign w:val="center"/>
          </w:tcPr>
          <w:p>
            <w:pPr>
              <w:pStyle w:val="12"/>
            </w:pPr>
            <w:r>
              <w:t>上级文件2022年石家庄市“扫黄打非”工作考评办法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制作宣传品、开展培训活动、开展系列活动费用</w:t>
            </w:r>
          </w:p>
        </w:tc>
        <w:tc>
          <w:tcPr>
            <w:tcW w:w="5386" w:type="dxa"/>
            <w:vAlign w:val="center"/>
          </w:tcPr>
          <w:p>
            <w:pPr>
              <w:pStyle w:val="12"/>
            </w:pPr>
            <w:r>
              <w:t>制作宣传品、开展培训活动、开展系列活动费用</w:t>
            </w:r>
          </w:p>
        </w:tc>
        <w:tc>
          <w:tcPr>
            <w:tcW w:w="2268" w:type="dxa"/>
            <w:vAlign w:val="center"/>
          </w:tcPr>
          <w:p>
            <w:pPr>
              <w:pStyle w:val="12"/>
            </w:pPr>
            <w:r>
              <w:t>≤2万元</w:t>
            </w:r>
          </w:p>
        </w:tc>
        <w:tc>
          <w:tcPr>
            <w:tcW w:w="1276" w:type="dxa"/>
            <w:vAlign w:val="center"/>
          </w:tcPr>
          <w:p>
            <w:pPr>
              <w:pStyle w:val="12"/>
            </w:pPr>
            <w:r>
              <w:t>上级文件2022年石家庄市“扫黄打非”工作考评办法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营造良好文化市场环境，维护社会政治稳定。</w:t>
            </w:r>
          </w:p>
        </w:tc>
        <w:tc>
          <w:tcPr>
            <w:tcW w:w="5386" w:type="dxa"/>
            <w:vAlign w:val="center"/>
          </w:tcPr>
          <w:p>
            <w:pPr>
              <w:pStyle w:val="12"/>
            </w:pPr>
            <w:r>
              <w:t>营造良好文化市场环境，维护社会政治稳定。</w:t>
            </w:r>
          </w:p>
        </w:tc>
        <w:tc>
          <w:tcPr>
            <w:tcW w:w="2268" w:type="dxa"/>
            <w:vAlign w:val="center"/>
          </w:tcPr>
          <w:p>
            <w:pPr>
              <w:pStyle w:val="12"/>
            </w:pPr>
            <w:r>
              <w:t>营造良好文化环境</w:t>
            </w:r>
          </w:p>
        </w:tc>
        <w:tc>
          <w:tcPr>
            <w:tcW w:w="1276" w:type="dxa"/>
            <w:vAlign w:val="center"/>
          </w:tcPr>
          <w:p>
            <w:pPr>
              <w:pStyle w:val="12"/>
            </w:pPr>
            <w:r>
              <w:t>上级文件2022年石家庄市“扫黄打非”工作考评办法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全区“扫黄打非”工作取得一定成效，群众满意情况</w:t>
            </w:r>
          </w:p>
        </w:tc>
        <w:tc>
          <w:tcPr>
            <w:tcW w:w="5386" w:type="dxa"/>
            <w:vAlign w:val="center"/>
          </w:tcPr>
          <w:p>
            <w:pPr>
              <w:pStyle w:val="12"/>
            </w:pPr>
            <w:r>
              <w:t>全区“扫黄打非”工作取得一定成效，群众满意情况</w:t>
            </w:r>
          </w:p>
        </w:tc>
        <w:tc>
          <w:tcPr>
            <w:tcW w:w="2268" w:type="dxa"/>
            <w:vAlign w:val="center"/>
          </w:tcPr>
          <w:p>
            <w:pPr>
              <w:pStyle w:val="12"/>
            </w:pPr>
            <w:r>
              <w:t>≥90%</w:t>
            </w:r>
          </w:p>
        </w:tc>
        <w:tc>
          <w:tcPr>
            <w:tcW w:w="1276" w:type="dxa"/>
            <w:vAlign w:val="center"/>
          </w:tcPr>
          <w:p>
            <w:pPr>
              <w:pStyle w:val="12"/>
            </w:pPr>
            <w:r>
              <w:t>上级文件2022年石家庄市“扫黄打非”工作考评办法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9、石财教[2022]117号关于提前下达2023年省级国家电影事业发展专项资金预算的通知（放映国产影片奖励资金）绩效目标表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13010923P000001105075</w:t>
            </w:r>
          </w:p>
        </w:tc>
        <w:tc>
          <w:tcPr>
            <w:tcW w:w="2835" w:type="dxa"/>
            <w:vAlign w:val="center"/>
          </w:tcPr>
          <w:p>
            <w:pPr>
              <w:pStyle w:val="10"/>
            </w:pPr>
            <w:r>
              <w:t>项目名称</w:t>
            </w:r>
          </w:p>
        </w:tc>
        <w:tc>
          <w:tcPr>
            <w:tcW w:w="6094" w:type="dxa"/>
            <w:gridSpan w:val="3"/>
            <w:vAlign w:val="center"/>
          </w:tcPr>
          <w:p>
            <w:pPr>
              <w:pStyle w:val="12"/>
            </w:pPr>
            <w:r>
              <w:t>石财教[2022]117号关于提前下达2023年省级国家电影事业发展专项资金预算的通知（放映国产影片奖励资金）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用于引导影院放映国产影片，引导影院放映具有文化特色、艺术创新的国产影片；支持县城的数字影院建设，均衡发展电影市场，推动电影事业可持续发展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1.用于引导影院放映国产影片，引导影院放映具有文化特色、艺术创新的国产影片；支持县城的数字影院建设，均衡发展电影市场，推动电影事业可持续发展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影片全年放映国产影片率</w:t>
            </w:r>
          </w:p>
        </w:tc>
        <w:tc>
          <w:tcPr>
            <w:tcW w:w="5386" w:type="dxa"/>
            <w:vAlign w:val="center"/>
          </w:tcPr>
          <w:p>
            <w:pPr>
              <w:pStyle w:val="12"/>
            </w:pPr>
            <w:r>
              <w:t>影片全年放映国产影片率</w:t>
            </w:r>
          </w:p>
        </w:tc>
        <w:tc>
          <w:tcPr>
            <w:tcW w:w="2268" w:type="dxa"/>
            <w:vAlign w:val="center"/>
          </w:tcPr>
          <w:p>
            <w:pPr>
              <w:pStyle w:val="12"/>
            </w:pPr>
            <w:r>
              <w:t>≥60%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提升国产影片影响力</w:t>
            </w:r>
          </w:p>
        </w:tc>
        <w:tc>
          <w:tcPr>
            <w:tcW w:w="5386" w:type="dxa"/>
            <w:vAlign w:val="center"/>
          </w:tcPr>
          <w:p>
            <w:pPr>
              <w:pStyle w:val="12"/>
            </w:pPr>
            <w:r>
              <w:t>提升国产影片影响力</w:t>
            </w:r>
          </w:p>
        </w:tc>
        <w:tc>
          <w:tcPr>
            <w:tcW w:w="2268" w:type="dxa"/>
            <w:vAlign w:val="center"/>
          </w:tcPr>
          <w:p>
            <w:pPr>
              <w:pStyle w:val="12"/>
            </w:pPr>
            <w:r>
              <w:t>有效提升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2023年</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营造良好观影风气，促进社会和谐进步</w:t>
            </w:r>
          </w:p>
        </w:tc>
        <w:tc>
          <w:tcPr>
            <w:tcW w:w="5386" w:type="dxa"/>
            <w:vAlign w:val="center"/>
          </w:tcPr>
          <w:p>
            <w:pPr>
              <w:pStyle w:val="12"/>
            </w:pPr>
            <w:r>
              <w:t>营造良好观影风气，促进社会和谐进步</w:t>
            </w:r>
          </w:p>
        </w:tc>
        <w:tc>
          <w:tcPr>
            <w:tcW w:w="2268" w:type="dxa"/>
            <w:vAlign w:val="center"/>
          </w:tcPr>
          <w:p>
            <w:pPr>
              <w:pStyle w:val="12"/>
            </w:pPr>
            <w:r>
              <w:t>有效提升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10、石财教[2022]127号关于体现下达2023年省级公共文化服务体系建设补助资金的通知（原乡镇公社电影放映员生活补助、农村电影公益放映场次补贴）绩效目标表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13010923P00000110469A</w:t>
            </w:r>
          </w:p>
        </w:tc>
        <w:tc>
          <w:tcPr>
            <w:tcW w:w="2835" w:type="dxa"/>
            <w:vAlign w:val="center"/>
          </w:tcPr>
          <w:p>
            <w:pPr>
              <w:pStyle w:val="10"/>
            </w:pPr>
            <w:r>
              <w:t>项目名称</w:t>
            </w:r>
          </w:p>
        </w:tc>
        <w:tc>
          <w:tcPr>
            <w:tcW w:w="6094" w:type="dxa"/>
            <w:gridSpan w:val="3"/>
            <w:vAlign w:val="center"/>
          </w:tcPr>
          <w:p>
            <w:pPr>
              <w:pStyle w:val="12"/>
            </w:pPr>
            <w:r>
              <w:t>石财教[2022]127号关于体现下达2023年省级公共文化服务体系建设补助资金的通知（原乡镇公社电影放映员生活补助、农村电影公益放映场次补贴）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w:t>
            </w:r>
          </w:p>
        </w:tc>
        <w:tc>
          <w:tcPr>
            <w:tcW w:w="2835" w:type="dxa"/>
            <w:vAlign w:val="center"/>
          </w:tcPr>
          <w:p>
            <w:pPr>
              <w:pStyle w:val="10"/>
            </w:pPr>
            <w:r>
              <w:t>其中：财政    资金</w:t>
            </w:r>
          </w:p>
        </w:tc>
        <w:tc>
          <w:tcPr>
            <w:tcW w:w="2551" w:type="dxa"/>
            <w:vAlign w:val="center"/>
          </w:tcPr>
          <w:p>
            <w:pPr>
              <w:pStyle w:val="12"/>
            </w:pPr>
            <w:r>
              <w:t>9.12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保障广大乡镇（公社）老放映员的基本权益，维护社会和谐稳定。根据《河北省农村电影放映工程实施管理办法》，按时完成放映任务，丰富群众文化生活。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1.保障广大乡镇（公社）老放映员的基本权益，维护社会和谐稳定。根据《河北省农村电影放映工程实施管理办法》，按时完成放映任务，丰富群众文化生活。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发放老放映人员生活补助人数</w:t>
            </w:r>
          </w:p>
        </w:tc>
        <w:tc>
          <w:tcPr>
            <w:tcW w:w="5386" w:type="dxa"/>
            <w:vAlign w:val="center"/>
          </w:tcPr>
          <w:p>
            <w:pPr>
              <w:pStyle w:val="12"/>
            </w:pPr>
            <w:r>
              <w:t>发放老放映人员生活补助人数</w:t>
            </w:r>
          </w:p>
        </w:tc>
        <w:tc>
          <w:tcPr>
            <w:tcW w:w="2268" w:type="dxa"/>
            <w:vAlign w:val="center"/>
          </w:tcPr>
          <w:p>
            <w:pPr>
              <w:pStyle w:val="12"/>
            </w:pPr>
            <w:r>
              <w:t>≤47人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保障广大乡镇（公社）老放映员的基本权益，维护社会和谐稳定</w:t>
            </w:r>
          </w:p>
        </w:tc>
        <w:tc>
          <w:tcPr>
            <w:tcW w:w="5386" w:type="dxa"/>
            <w:vAlign w:val="center"/>
          </w:tcPr>
          <w:p>
            <w:pPr>
              <w:pStyle w:val="12"/>
            </w:pPr>
            <w:r>
              <w:t>保障广大乡镇（公社）老放映员的基本权益，维护社会和谐稳定</w:t>
            </w:r>
          </w:p>
        </w:tc>
        <w:tc>
          <w:tcPr>
            <w:tcW w:w="2268" w:type="dxa"/>
            <w:vAlign w:val="center"/>
          </w:tcPr>
          <w:p>
            <w:pPr>
              <w:pStyle w:val="12"/>
            </w:pPr>
            <w:r>
              <w:t>保持稳定</w:t>
            </w:r>
          </w:p>
          <w:p>
            <w:pPr>
              <w:pStyle w:val="12"/>
            </w:pP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在规定时间完成</w:t>
            </w:r>
          </w:p>
        </w:tc>
        <w:tc>
          <w:tcPr>
            <w:tcW w:w="2268" w:type="dxa"/>
            <w:vAlign w:val="center"/>
          </w:tcPr>
          <w:p>
            <w:pPr>
              <w:pStyle w:val="12"/>
            </w:pPr>
            <w:r>
              <w:t>2023年完成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≤11.47万元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影视作品对群众影响力</w:t>
            </w:r>
          </w:p>
        </w:tc>
        <w:tc>
          <w:tcPr>
            <w:tcW w:w="5386" w:type="dxa"/>
            <w:vAlign w:val="center"/>
          </w:tcPr>
          <w:p>
            <w:pPr>
              <w:pStyle w:val="12"/>
            </w:pPr>
            <w:r>
              <w:t>通过放映电影，引导群众积极向上，丰富群众文化生活。</w:t>
            </w:r>
          </w:p>
        </w:tc>
        <w:tc>
          <w:tcPr>
            <w:tcW w:w="2268" w:type="dxa"/>
            <w:vAlign w:val="center"/>
          </w:tcPr>
          <w:p>
            <w:pPr>
              <w:pStyle w:val="12"/>
            </w:pPr>
            <w:r>
              <w:t>丰富生活</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11、石财教【2023】102号提前下达2024年省级国家电影事业发展专项资金（放映国家电影补助）绩效目标表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13010924P00003810288P</w:t>
            </w:r>
          </w:p>
        </w:tc>
        <w:tc>
          <w:tcPr>
            <w:tcW w:w="2835" w:type="dxa"/>
            <w:vAlign w:val="center"/>
          </w:tcPr>
          <w:p>
            <w:pPr>
              <w:pStyle w:val="10"/>
            </w:pPr>
            <w:r>
              <w:t>项目名称</w:t>
            </w:r>
          </w:p>
        </w:tc>
        <w:tc>
          <w:tcPr>
            <w:tcW w:w="6094" w:type="dxa"/>
            <w:gridSpan w:val="3"/>
            <w:vAlign w:val="center"/>
          </w:tcPr>
          <w:p>
            <w:pPr>
              <w:pStyle w:val="12"/>
            </w:pPr>
            <w:r>
              <w:t>石财教【2023】102号提前下达2024年省级国家电影事业发展专项资金（放映国家电影补助）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用于引导影院放映国产影片，引导影院放映具有文化特色、艺术创新的国产影片；支持县城的数字影院建设，均衡发展电影市场，推动电影事业可持续发展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1.用于引导影院放映国产影片，引导影院放映具有文化特色、艺术创新的国产影片；支持县城的数字影院建设，均衡发展电影市场，推动电影事业可持续发展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影片全年放映国产影片率</w:t>
            </w:r>
          </w:p>
        </w:tc>
        <w:tc>
          <w:tcPr>
            <w:tcW w:w="5386" w:type="dxa"/>
            <w:vAlign w:val="center"/>
          </w:tcPr>
          <w:p>
            <w:pPr>
              <w:pStyle w:val="12"/>
            </w:pPr>
            <w:r>
              <w:t>影片全年放映国产影片率</w:t>
            </w:r>
          </w:p>
        </w:tc>
        <w:tc>
          <w:tcPr>
            <w:tcW w:w="2268" w:type="dxa"/>
            <w:vAlign w:val="center"/>
          </w:tcPr>
          <w:p>
            <w:pPr>
              <w:pStyle w:val="12"/>
            </w:pPr>
            <w:r>
              <w:t>≥60%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提升国产影片影响力</w:t>
            </w:r>
          </w:p>
        </w:tc>
        <w:tc>
          <w:tcPr>
            <w:tcW w:w="5386" w:type="dxa"/>
            <w:vAlign w:val="center"/>
          </w:tcPr>
          <w:p>
            <w:pPr>
              <w:pStyle w:val="12"/>
            </w:pPr>
            <w:r>
              <w:t>提升国产影片影响力</w:t>
            </w:r>
          </w:p>
        </w:tc>
        <w:tc>
          <w:tcPr>
            <w:tcW w:w="2268" w:type="dxa"/>
            <w:vAlign w:val="center"/>
          </w:tcPr>
          <w:p>
            <w:pPr>
              <w:pStyle w:val="12"/>
            </w:pPr>
            <w:r>
              <w:t>有效提升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任务完成时间</w:t>
            </w:r>
          </w:p>
        </w:tc>
        <w:tc>
          <w:tcPr>
            <w:tcW w:w="5386" w:type="dxa"/>
            <w:vAlign w:val="center"/>
          </w:tcPr>
          <w:p>
            <w:pPr>
              <w:pStyle w:val="12"/>
            </w:pPr>
            <w:r>
              <w:t>任务完成时间</w:t>
            </w:r>
          </w:p>
        </w:tc>
        <w:tc>
          <w:tcPr>
            <w:tcW w:w="2268" w:type="dxa"/>
            <w:vAlign w:val="center"/>
          </w:tcPr>
          <w:p>
            <w:pPr>
              <w:pStyle w:val="12"/>
            </w:pPr>
            <w:r>
              <w:t>2024年12月31日</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营造良好观影风气，促进社会和谐进步</w:t>
            </w:r>
          </w:p>
        </w:tc>
        <w:tc>
          <w:tcPr>
            <w:tcW w:w="5386" w:type="dxa"/>
            <w:vAlign w:val="center"/>
          </w:tcPr>
          <w:p>
            <w:pPr>
              <w:pStyle w:val="12"/>
            </w:pPr>
            <w:r>
              <w:t>营造良好观影风气，促进社会和谐进步</w:t>
            </w:r>
          </w:p>
        </w:tc>
        <w:tc>
          <w:tcPr>
            <w:tcW w:w="2268" w:type="dxa"/>
            <w:vAlign w:val="center"/>
          </w:tcPr>
          <w:p>
            <w:pPr>
              <w:pStyle w:val="12"/>
            </w:pPr>
            <w:r>
              <w:t>有效提升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12、石财教【2023】117号提前下达2024年农村电影公益放映场次补贴绩效目标表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13010924P00003810281E</w:t>
            </w:r>
          </w:p>
        </w:tc>
        <w:tc>
          <w:tcPr>
            <w:tcW w:w="2835" w:type="dxa"/>
            <w:vAlign w:val="center"/>
          </w:tcPr>
          <w:p>
            <w:pPr>
              <w:pStyle w:val="10"/>
            </w:pPr>
            <w:r>
              <w:t>项目名称</w:t>
            </w:r>
          </w:p>
        </w:tc>
        <w:tc>
          <w:tcPr>
            <w:tcW w:w="6094" w:type="dxa"/>
            <w:gridSpan w:val="3"/>
            <w:vAlign w:val="center"/>
          </w:tcPr>
          <w:p>
            <w:pPr>
              <w:pStyle w:val="12"/>
            </w:pPr>
            <w:r>
              <w:t>石财教【2023】117号提前下达2024年农村电影公益放映场次补贴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w:t>
            </w:r>
          </w:p>
        </w:tc>
        <w:tc>
          <w:tcPr>
            <w:tcW w:w="2835" w:type="dxa"/>
            <w:vAlign w:val="center"/>
          </w:tcPr>
          <w:p>
            <w:pPr>
              <w:pStyle w:val="10"/>
            </w:pPr>
            <w:r>
              <w:t>其中：财政    资金</w:t>
            </w:r>
          </w:p>
        </w:tc>
        <w:tc>
          <w:tcPr>
            <w:tcW w:w="2551" w:type="dxa"/>
            <w:vAlign w:val="center"/>
          </w:tcPr>
          <w:p>
            <w:pPr>
              <w:pStyle w:val="12"/>
            </w:pPr>
            <w:r>
              <w:t>8.20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根据《河北省农村电影放映工程实施管理办法》，按时完成放映任务，丰富群众文化生活。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1.根据《河北省农村电影放映工程实施管理办法》，按时完成放映任务，丰富群众文化生活。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全年完成农村电影公益放映数量</w:t>
            </w:r>
          </w:p>
        </w:tc>
        <w:tc>
          <w:tcPr>
            <w:tcW w:w="5386" w:type="dxa"/>
            <w:vAlign w:val="center"/>
          </w:tcPr>
          <w:p>
            <w:pPr>
              <w:pStyle w:val="12"/>
            </w:pPr>
            <w:r>
              <w:t>根据全区各村，每村每月一场的标准放映。</w:t>
            </w:r>
          </w:p>
        </w:tc>
        <w:tc>
          <w:tcPr>
            <w:tcW w:w="2268" w:type="dxa"/>
            <w:vAlign w:val="center"/>
          </w:tcPr>
          <w:p>
            <w:pPr>
              <w:pStyle w:val="12"/>
            </w:pPr>
            <w:r>
              <w:t>≥2400场次</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确保放映质量</w:t>
            </w:r>
          </w:p>
        </w:tc>
        <w:tc>
          <w:tcPr>
            <w:tcW w:w="5386" w:type="dxa"/>
            <w:vAlign w:val="center"/>
          </w:tcPr>
          <w:p>
            <w:pPr>
              <w:pStyle w:val="12"/>
            </w:pPr>
            <w:r>
              <w:t>放映内容积极向上，确保最新节目更新，社会影响力强，群众满意度高</w:t>
            </w:r>
          </w:p>
        </w:tc>
        <w:tc>
          <w:tcPr>
            <w:tcW w:w="2268" w:type="dxa"/>
            <w:vAlign w:val="center"/>
          </w:tcPr>
          <w:p>
            <w:pPr>
              <w:pStyle w:val="12"/>
            </w:pPr>
            <w:r>
              <w:t>放映质量高</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放映及时率</w:t>
            </w:r>
          </w:p>
        </w:tc>
        <w:tc>
          <w:tcPr>
            <w:tcW w:w="5386" w:type="dxa"/>
            <w:vAlign w:val="center"/>
          </w:tcPr>
          <w:p>
            <w:pPr>
              <w:pStyle w:val="12"/>
            </w:pPr>
            <w:r>
              <w:t>确保每村每月1场</w:t>
            </w:r>
          </w:p>
        </w:tc>
        <w:tc>
          <w:tcPr>
            <w:tcW w:w="2268" w:type="dxa"/>
            <w:vAlign w:val="center"/>
          </w:tcPr>
          <w:p>
            <w:pPr>
              <w:pStyle w:val="12"/>
            </w:pPr>
            <w:r>
              <w:t>≥1场每月</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放映费用</w:t>
            </w:r>
          </w:p>
        </w:tc>
        <w:tc>
          <w:tcPr>
            <w:tcW w:w="5386" w:type="dxa"/>
            <w:vAlign w:val="center"/>
          </w:tcPr>
          <w:p>
            <w:pPr>
              <w:pStyle w:val="12"/>
            </w:pPr>
            <w:r>
              <w:t>开展此项工作放映费用，</w:t>
            </w:r>
          </w:p>
        </w:tc>
        <w:tc>
          <w:tcPr>
            <w:tcW w:w="2268" w:type="dxa"/>
            <w:vAlign w:val="center"/>
          </w:tcPr>
          <w:p>
            <w:pPr>
              <w:pStyle w:val="12"/>
            </w:pPr>
            <w:r>
              <w:t>200元</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影视作品对群众影响力</w:t>
            </w:r>
          </w:p>
        </w:tc>
        <w:tc>
          <w:tcPr>
            <w:tcW w:w="5386" w:type="dxa"/>
            <w:vAlign w:val="center"/>
          </w:tcPr>
          <w:p>
            <w:pPr>
              <w:pStyle w:val="12"/>
            </w:pPr>
            <w:r>
              <w:t>通过放映电影，引导群众积极向上，丰富群众文化生活。</w:t>
            </w:r>
          </w:p>
        </w:tc>
        <w:tc>
          <w:tcPr>
            <w:tcW w:w="2268" w:type="dxa"/>
            <w:vAlign w:val="center"/>
          </w:tcPr>
          <w:p>
            <w:pPr>
              <w:pStyle w:val="12"/>
            </w:pPr>
            <w:r>
              <w:t>丰富生活</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全年持续性开展放映活动</w:t>
            </w:r>
          </w:p>
        </w:tc>
        <w:tc>
          <w:tcPr>
            <w:tcW w:w="5386" w:type="dxa"/>
            <w:vAlign w:val="center"/>
          </w:tcPr>
          <w:p>
            <w:pPr>
              <w:pStyle w:val="12"/>
            </w:pPr>
            <w:r>
              <w:t>全年持续性开展放映活动</w:t>
            </w:r>
          </w:p>
        </w:tc>
        <w:tc>
          <w:tcPr>
            <w:tcW w:w="2268" w:type="dxa"/>
            <w:vAlign w:val="center"/>
          </w:tcPr>
          <w:p>
            <w:pPr>
              <w:pStyle w:val="12"/>
            </w:pPr>
            <w:r>
              <w:t>持续开展</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放映内容满意度</w:t>
            </w:r>
          </w:p>
        </w:tc>
        <w:tc>
          <w:tcPr>
            <w:tcW w:w="5386" w:type="dxa"/>
            <w:vAlign w:val="center"/>
          </w:tcPr>
          <w:p>
            <w:pPr>
              <w:pStyle w:val="12"/>
            </w:pPr>
            <w:r>
              <w:t>放映内容满意度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13、石财教【2023】117号提前下达2024年原乡镇公社电影放映员生活补助绩效目标表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13010924P000038102822</w:t>
            </w:r>
          </w:p>
        </w:tc>
        <w:tc>
          <w:tcPr>
            <w:tcW w:w="2835" w:type="dxa"/>
            <w:vAlign w:val="center"/>
          </w:tcPr>
          <w:p>
            <w:pPr>
              <w:pStyle w:val="10"/>
            </w:pPr>
            <w:r>
              <w:t>项目名称</w:t>
            </w:r>
          </w:p>
        </w:tc>
        <w:tc>
          <w:tcPr>
            <w:tcW w:w="6094" w:type="dxa"/>
            <w:gridSpan w:val="3"/>
            <w:vAlign w:val="center"/>
          </w:tcPr>
          <w:p>
            <w:pPr>
              <w:pStyle w:val="12"/>
            </w:pPr>
            <w:r>
              <w:t>石财教【2023】117号提前下达2024年原乡镇公社电影放映员生活补助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w:t>
            </w:r>
          </w:p>
        </w:tc>
        <w:tc>
          <w:tcPr>
            <w:tcW w:w="2835" w:type="dxa"/>
            <w:vAlign w:val="center"/>
          </w:tcPr>
          <w:p>
            <w:pPr>
              <w:pStyle w:val="10"/>
            </w:pPr>
            <w:r>
              <w:t>其中：财政    资金</w:t>
            </w:r>
          </w:p>
        </w:tc>
        <w:tc>
          <w:tcPr>
            <w:tcW w:w="2551" w:type="dxa"/>
            <w:vAlign w:val="center"/>
          </w:tcPr>
          <w:p>
            <w:pPr>
              <w:pStyle w:val="12"/>
            </w:pPr>
            <w:r>
              <w:t>1.73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保障广大乡镇（公社）老放映员的基本权益，维护社会和谐稳定。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1.保障广大乡镇（公社）老放映员的基本权益，维护社会和谐稳定。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发放老放映人员生活补助人数</w:t>
            </w:r>
          </w:p>
        </w:tc>
        <w:tc>
          <w:tcPr>
            <w:tcW w:w="5386" w:type="dxa"/>
            <w:vAlign w:val="center"/>
          </w:tcPr>
          <w:p>
            <w:pPr>
              <w:pStyle w:val="12"/>
            </w:pPr>
            <w:r>
              <w:t>发放老放映人员生活补助人数</w:t>
            </w:r>
          </w:p>
        </w:tc>
        <w:tc>
          <w:tcPr>
            <w:tcW w:w="2268" w:type="dxa"/>
            <w:vAlign w:val="center"/>
          </w:tcPr>
          <w:p>
            <w:pPr>
              <w:pStyle w:val="12"/>
            </w:pPr>
            <w:r>
              <w:t>≤40人</w:t>
            </w:r>
          </w:p>
        </w:tc>
        <w:tc>
          <w:tcPr>
            <w:tcW w:w="1276" w:type="dxa"/>
            <w:vAlign w:val="center"/>
          </w:tcPr>
          <w:p>
            <w:pPr>
              <w:pStyle w:val="12"/>
            </w:pPr>
            <w:r>
              <w:t>上级文件、领导批示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保障广大乡镇（公社）老放映员的基本权益，维护社会和谐稳定</w:t>
            </w:r>
          </w:p>
        </w:tc>
        <w:tc>
          <w:tcPr>
            <w:tcW w:w="5386" w:type="dxa"/>
            <w:vAlign w:val="center"/>
          </w:tcPr>
          <w:p>
            <w:pPr>
              <w:pStyle w:val="12"/>
            </w:pPr>
            <w:r>
              <w:t>保障广大乡镇（公社）老放映员的基本权益，维护社会和谐稳定</w:t>
            </w:r>
          </w:p>
        </w:tc>
        <w:tc>
          <w:tcPr>
            <w:tcW w:w="2268" w:type="dxa"/>
            <w:vAlign w:val="center"/>
          </w:tcPr>
          <w:p>
            <w:pPr>
              <w:pStyle w:val="12"/>
            </w:pPr>
            <w:r>
              <w:t>保持稳定</w:t>
            </w:r>
          </w:p>
        </w:tc>
        <w:tc>
          <w:tcPr>
            <w:tcW w:w="1276" w:type="dxa"/>
            <w:vAlign w:val="center"/>
          </w:tcPr>
          <w:p>
            <w:pPr>
              <w:pStyle w:val="12"/>
            </w:pPr>
            <w:r>
              <w:t>上级文件、领导批示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合理制定资金发放计划，确保将资金发放到位</w:t>
            </w:r>
          </w:p>
        </w:tc>
        <w:tc>
          <w:tcPr>
            <w:tcW w:w="5386" w:type="dxa"/>
            <w:vAlign w:val="center"/>
          </w:tcPr>
          <w:p>
            <w:pPr>
              <w:pStyle w:val="12"/>
            </w:pPr>
            <w:r>
              <w:t>合理制定资金发放计划，确保将资金发放到位</w:t>
            </w:r>
          </w:p>
        </w:tc>
        <w:tc>
          <w:tcPr>
            <w:tcW w:w="2268" w:type="dxa"/>
            <w:vAlign w:val="center"/>
          </w:tcPr>
          <w:p>
            <w:pPr>
              <w:pStyle w:val="12"/>
            </w:pPr>
            <w:r>
              <w:t>每月发放</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老放映员日常生活补助费用</w:t>
            </w:r>
          </w:p>
        </w:tc>
        <w:tc>
          <w:tcPr>
            <w:tcW w:w="5386" w:type="dxa"/>
            <w:vAlign w:val="center"/>
          </w:tcPr>
          <w:p>
            <w:pPr>
              <w:pStyle w:val="12"/>
            </w:pPr>
            <w:r>
              <w:t>老放映员日常生活补助费用</w:t>
            </w:r>
          </w:p>
        </w:tc>
        <w:tc>
          <w:tcPr>
            <w:tcW w:w="2268" w:type="dxa"/>
            <w:vAlign w:val="center"/>
          </w:tcPr>
          <w:p>
            <w:pPr>
              <w:pStyle w:val="12"/>
            </w:pPr>
            <w:r>
              <w:t>200元</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保障广大乡镇（公社）老放映员的基本权益，维护社会和谐稳定</w:t>
            </w:r>
          </w:p>
        </w:tc>
        <w:tc>
          <w:tcPr>
            <w:tcW w:w="5386" w:type="dxa"/>
            <w:vAlign w:val="center"/>
          </w:tcPr>
          <w:p>
            <w:pPr>
              <w:pStyle w:val="12"/>
            </w:pPr>
            <w:r>
              <w:t>保障广大乡镇（公社）老放映员的基本权益，维护社会和谐稳定</w:t>
            </w:r>
          </w:p>
        </w:tc>
        <w:tc>
          <w:tcPr>
            <w:tcW w:w="2268" w:type="dxa"/>
            <w:vAlign w:val="center"/>
          </w:tcPr>
          <w:p>
            <w:pPr>
              <w:pStyle w:val="12"/>
            </w:pPr>
            <w:r>
              <w:t>保障权益，维持稳定</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根据文件要求每年持续性发放</w:t>
            </w:r>
          </w:p>
        </w:tc>
        <w:tc>
          <w:tcPr>
            <w:tcW w:w="5386" w:type="dxa"/>
            <w:vAlign w:val="center"/>
          </w:tcPr>
          <w:p>
            <w:pPr>
              <w:pStyle w:val="12"/>
            </w:pPr>
            <w:r>
              <w:t>根据文件要求每年持续性发放，持续保持社会稳定</w:t>
            </w:r>
          </w:p>
        </w:tc>
        <w:tc>
          <w:tcPr>
            <w:tcW w:w="2268" w:type="dxa"/>
            <w:vAlign w:val="center"/>
          </w:tcPr>
          <w:p>
            <w:pPr>
              <w:pStyle w:val="12"/>
            </w:pPr>
            <w:r>
              <w:t>持续保持社会稳定</w:t>
            </w:r>
          </w:p>
        </w:tc>
        <w:tc>
          <w:tcPr>
            <w:tcW w:w="1276" w:type="dxa"/>
            <w:vAlign w:val="center"/>
          </w:tcPr>
          <w:p>
            <w:pPr>
              <w:pStyle w:val="12"/>
            </w:pPr>
            <w:r>
              <w:t>上级文件、领导批示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群众满意数量占总数的比例。</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上级文件、领导批示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14、石财教【2023】60号关于下达2023年中央补助地方公共文化服务体系建设专项资金（农村书屋电影放映补助）绩效目标表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13010923P000038101707</w:t>
            </w:r>
          </w:p>
        </w:tc>
        <w:tc>
          <w:tcPr>
            <w:tcW w:w="2835" w:type="dxa"/>
            <w:vAlign w:val="center"/>
          </w:tcPr>
          <w:p>
            <w:pPr>
              <w:pStyle w:val="10"/>
            </w:pPr>
            <w:r>
              <w:t>项目名称</w:t>
            </w:r>
          </w:p>
        </w:tc>
        <w:tc>
          <w:tcPr>
            <w:tcW w:w="6094" w:type="dxa"/>
            <w:gridSpan w:val="3"/>
            <w:vAlign w:val="center"/>
          </w:tcPr>
          <w:p>
            <w:pPr>
              <w:pStyle w:val="12"/>
            </w:pPr>
            <w:r>
              <w:t>石财教【2023】60号关于下达2023年中央补助地方公共文化服务体系建设专项资金（农村书屋电影放映补助）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43.68</w:t>
            </w:r>
          </w:p>
        </w:tc>
        <w:tc>
          <w:tcPr>
            <w:tcW w:w="2835" w:type="dxa"/>
            <w:vAlign w:val="center"/>
          </w:tcPr>
          <w:p>
            <w:pPr>
              <w:pStyle w:val="10"/>
            </w:pPr>
            <w:r>
              <w:t>其中：财政    资金</w:t>
            </w:r>
          </w:p>
        </w:tc>
        <w:tc>
          <w:tcPr>
            <w:tcW w:w="2551" w:type="dxa"/>
            <w:vAlign w:val="center"/>
          </w:tcPr>
          <w:p>
            <w:pPr>
              <w:pStyle w:val="12"/>
            </w:pPr>
            <w:r>
              <w:t>43.68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引导和支持地方提供基本公共文化服务项目，改善基础公共文化设施条件。为农家书屋配套图书，为村民体统良好的阅读环境。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1.引导和支持地方提供基本公共文化服务项目，改善基础公共文化设施条件。为农家书屋配套图书，为村民体统良好的阅读环境。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平均每个农家书屋更新图书种数</w:t>
            </w:r>
          </w:p>
        </w:tc>
        <w:tc>
          <w:tcPr>
            <w:tcW w:w="5386" w:type="dxa"/>
            <w:vAlign w:val="center"/>
          </w:tcPr>
          <w:p>
            <w:pPr>
              <w:pStyle w:val="12"/>
            </w:pPr>
            <w:r>
              <w:t>更新率</w:t>
            </w:r>
          </w:p>
        </w:tc>
        <w:tc>
          <w:tcPr>
            <w:tcW w:w="2268" w:type="dxa"/>
            <w:vAlign w:val="center"/>
          </w:tcPr>
          <w:p>
            <w:pPr>
              <w:pStyle w:val="12"/>
            </w:pPr>
            <w:r>
              <w:t>≥60种</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平均每个农家书屋开展阅读活动数量</w:t>
            </w:r>
          </w:p>
        </w:tc>
        <w:tc>
          <w:tcPr>
            <w:tcW w:w="5386" w:type="dxa"/>
            <w:vAlign w:val="center"/>
          </w:tcPr>
          <w:p>
            <w:pPr>
              <w:pStyle w:val="12"/>
            </w:pPr>
            <w:r>
              <w:t>活动数量</w:t>
            </w:r>
          </w:p>
        </w:tc>
        <w:tc>
          <w:tcPr>
            <w:tcW w:w="2268" w:type="dxa"/>
            <w:vAlign w:val="center"/>
          </w:tcPr>
          <w:p>
            <w:pPr>
              <w:pStyle w:val="12"/>
            </w:pPr>
            <w:r>
              <w:t>≥4场</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完成活动时间</w:t>
            </w:r>
          </w:p>
        </w:tc>
        <w:tc>
          <w:tcPr>
            <w:tcW w:w="5386" w:type="dxa"/>
            <w:vAlign w:val="center"/>
          </w:tcPr>
          <w:p>
            <w:pPr>
              <w:pStyle w:val="12"/>
            </w:pPr>
            <w:r>
              <w:t>活动完成时效</w:t>
            </w:r>
          </w:p>
        </w:tc>
        <w:tc>
          <w:tcPr>
            <w:tcW w:w="2268" w:type="dxa"/>
            <w:vAlign w:val="center"/>
          </w:tcPr>
          <w:p>
            <w:pPr>
              <w:pStyle w:val="12"/>
            </w:pPr>
            <w:r>
              <w:t>本年度完成</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活动所需物资及电影放映所需物资</w:t>
            </w:r>
          </w:p>
        </w:tc>
        <w:tc>
          <w:tcPr>
            <w:tcW w:w="5386" w:type="dxa"/>
            <w:vAlign w:val="center"/>
          </w:tcPr>
          <w:p>
            <w:pPr>
              <w:pStyle w:val="12"/>
            </w:pPr>
            <w:r>
              <w:t>活动及放映成本</w:t>
            </w:r>
          </w:p>
        </w:tc>
        <w:tc>
          <w:tcPr>
            <w:tcW w:w="2268" w:type="dxa"/>
            <w:vAlign w:val="center"/>
          </w:tcPr>
          <w:p>
            <w:pPr>
              <w:pStyle w:val="12"/>
            </w:pPr>
            <w:r>
              <w:t>按规定执行</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国民综合阅读率</w:t>
            </w:r>
          </w:p>
        </w:tc>
        <w:tc>
          <w:tcPr>
            <w:tcW w:w="5386" w:type="dxa"/>
            <w:vAlign w:val="center"/>
          </w:tcPr>
          <w:p>
            <w:pPr>
              <w:pStyle w:val="12"/>
            </w:pPr>
            <w:r>
              <w:t>阅读率</w:t>
            </w:r>
          </w:p>
        </w:tc>
        <w:tc>
          <w:tcPr>
            <w:tcW w:w="2268" w:type="dxa"/>
            <w:vAlign w:val="center"/>
          </w:tcPr>
          <w:p>
            <w:pPr>
              <w:pStyle w:val="12"/>
            </w:pPr>
            <w:r>
              <w:t>≥75%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群众对公共文化服务满意度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15、石财教（2023）101号关于提前下达2024年省级宣传文化（发展）专项资金绩效目标表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13010924P00000110357C</w:t>
            </w:r>
          </w:p>
        </w:tc>
        <w:tc>
          <w:tcPr>
            <w:tcW w:w="2835" w:type="dxa"/>
            <w:vAlign w:val="center"/>
          </w:tcPr>
          <w:p>
            <w:pPr>
              <w:pStyle w:val="10"/>
            </w:pPr>
            <w:r>
              <w:t>项目名称</w:t>
            </w:r>
          </w:p>
        </w:tc>
        <w:tc>
          <w:tcPr>
            <w:tcW w:w="6094" w:type="dxa"/>
            <w:gridSpan w:val="3"/>
            <w:vAlign w:val="center"/>
          </w:tcPr>
          <w:p>
            <w:pPr>
              <w:pStyle w:val="12"/>
            </w:pPr>
            <w:r>
              <w:t>石财教（2023）101号关于提前下达2024年省级宣传文化（发展）专项资金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举办１００场“双争”活动，提升全区文明程度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1.组织开展“双争”活动，构建和谐向善的文明风尚，推动全区文明程度提升。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开展“双争”活动数量</w:t>
            </w:r>
          </w:p>
        </w:tc>
        <w:tc>
          <w:tcPr>
            <w:tcW w:w="5386" w:type="dxa"/>
            <w:vAlign w:val="center"/>
          </w:tcPr>
          <w:p>
            <w:pPr>
              <w:pStyle w:val="12"/>
            </w:pPr>
            <w:r>
              <w:t>开展“双争”活动数量</w:t>
            </w:r>
          </w:p>
        </w:tc>
        <w:tc>
          <w:tcPr>
            <w:tcW w:w="2268" w:type="dxa"/>
            <w:vAlign w:val="center"/>
          </w:tcPr>
          <w:p>
            <w:pPr>
              <w:pStyle w:val="12"/>
            </w:pPr>
            <w:r>
              <w:t>≥100场</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制定活动方案</w:t>
            </w:r>
          </w:p>
        </w:tc>
        <w:tc>
          <w:tcPr>
            <w:tcW w:w="5386" w:type="dxa"/>
            <w:vAlign w:val="center"/>
          </w:tcPr>
          <w:p>
            <w:pPr>
              <w:pStyle w:val="12"/>
            </w:pPr>
            <w:r>
              <w:t>制定活动方案</w:t>
            </w:r>
          </w:p>
        </w:tc>
        <w:tc>
          <w:tcPr>
            <w:tcW w:w="2268" w:type="dxa"/>
            <w:vAlign w:val="center"/>
          </w:tcPr>
          <w:p>
            <w:pPr>
              <w:pStyle w:val="12"/>
            </w:pPr>
            <w:r>
              <w:t>≥1份</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及时组织活动</w:t>
            </w:r>
          </w:p>
        </w:tc>
        <w:tc>
          <w:tcPr>
            <w:tcW w:w="5386" w:type="dxa"/>
            <w:vAlign w:val="center"/>
          </w:tcPr>
          <w:p>
            <w:pPr>
              <w:pStyle w:val="12"/>
            </w:pPr>
            <w:r>
              <w:t>及时组织活动</w:t>
            </w:r>
          </w:p>
        </w:tc>
        <w:tc>
          <w:tcPr>
            <w:tcW w:w="2268" w:type="dxa"/>
            <w:vAlign w:val="center"/>
          </w:tcPr>
          <w:p>
            <w:pPr>
              <w:pStyle w:val="12"/>
            </w:pPr>
            <w:r>
              <w:t>按时间节点组织活动</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购置活动所需物品</w:t>
            </w:r>
          </w:p>
        </w:tc>
        <w:tc>
          <w:tcPr>
            <w:tcW w:w="5386" w:type="dxa"/>
            <w:vAlign w:val="center"/>
          </w:tcPr>
          <w:p>
            <w:pPr>
              <w:pStyle w:val="12"/>
            </w:pPr>
            <w:r>
              <w:t>购置活动所需物品</w:t>
            </w:r>
          </w:p>
        </w:tc>
        <w:tc>
          <w:tcPr>
            <w:tcW w:w="2268" w:type="dxa"/>
            <w:vAlign w:val="center"/>
          </w:tcPr>
          <w:p>
            <w:pPr>
              <w:pStyle w:val="12"/>
            </w:pPr>
            <w:r>
              <w:t>≤20万元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全区文明提升程度</w:t>
            </w:r>
          </w:p>
        </w:tc>
        <w:tc>
          <w:tcPr>
            <w:tcW w:w="5386" w:type="dxa"/>
            <w:vAlign w:val="center"/>
          </w:tcPr>
          <w:p>
            <w:pPr>
              <w:pStyle w:val="12"/>
            </w:pPr>
            <w:r>
              <w:t>全区文明提升程度</w:t>
            </w:r>
          </w:p>
        </w:tc>
        <w:tc>
          <w:tcPr>
            <w:tcW w:w="2268" w:type="dxa"/>
            <w:vAlign w:val="center"/>
          </w:tcPr>
          <w:p>
            <w:pPr>
              <w:pStyle w:val="12"/>
            </w:pPr>
            <w:r>
              <w:t>普遍提升</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上级政策文件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16、石财教（2023）59号关于下达2023年中央补助地方国家电影事业发展专项资金预算的通知绩效目标表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13010923P000038101371</w:t>
            </w:r>
          </w:p>
        </w:tc>
        <w:tc>
          <w:tcPr>
            <w:tcW w:w="2835" w:type="dxa"/>
            <w:vAlign w:val="center"/>
          </w:tcPr>
          <w:p>
            <w:pPr>
              <w:pStyle w:val="10"/>
            </w:pPr>
            <w:r>
              <w:t>项目名称</w:t>
            </w:r>
          </w:p>
        </w:tc>
        <w:tc>
          <w:tcPr>
            <w:tcW w:w="6094" w:type="dxa"/>
            <w:gridSpan w:val="3"/>
            <w:vAlign w:val="center"/>
          </w:tcPr>
          <w:p>
            <w:pPr>
              <w:pStyle w:val="12"/>
            </w:pPr>
            <w:r>
              <w:t>石财教（2023）59号关于下达2023年中央补助地方国家电影事业发展专项资金预算的通知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用于引导影院放映国产影片，引导影院放映具有文化特色、艺术创新的国产影片。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1.繁荣发展电影市场，鼓励影院放映国产影片。</w:t>
            </w:r>
          </w:p>
          <w:p>
            <w:pPr>
              <w:pStyle w:val="12"/>
            </w:pPr>
            <w:r>
              <w:t>2.营造良好的观影氛围，推动电影事业可持续发展。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奖励放映国产影片成绩突出影院</w:t>
            </w:r>
          </w:p>
        </w:tc>
        <w:tc>
          <w:tcPr>
            <w:tcW w:w="5386" w:type="dxa"/>
            <w:vAlign w:val="center"/>
          </w:tcPr>
          <w:p>
            <w:pPr>
              <w:pStyle w:val="12"/>
            </w:pPr>
            <w:r>
              <w:t>奖励放映国产影片成绩突出影院</w:t>
            </w:r>
          </w:p>
        </w:tc>
        <w:tc>
          <w:tcPr>
            <w:tcW w:w="2268" w:type="dxa"/>
            <w:vAlign w:val="center"/>
          </w:tcPr>
          <w:p>
            <w:pPr>
              <w:pStyle w:val="12"/>
            </w:pPr>
            <w:r>
              <w:t>≥1家</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影院放映国产影片收入占比</w:t>
            </w:r>
          </w:p>
        </w:tc>
        <w:tc>
          <w:tcPr>
            <w:tcW w:w="5386" w:type="dxa"/>
            <w:vAlign w:val="center"/>
          </w:tcPr>
          <w:p>
            <w:pPr>
              <w:pStyle w:val="12"/>
            </w:pPr>
            <w:r>
              <w:t>影院放映国产影片收入占比</w:t>
            </w:r>
          </w:p>
        </w:tc>
        <w:tc>
          <w:tcPr>
            <w:tcW w:w="2268" w:type="dxa"/>
            <w:vAlign w:val="center"/>
          </w:tcPr>
          <w:p>
            <w:pPr>
              <w:pStyle w:val="12"/>
            </w:pPr>
            <w:r>
              <w:t>≥55%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影院全年放映国产影片率</w:t>
            </w:r>
          </w:p>
        </w:tc>
        <w:tc>
          <w:tcPr>
            <w:tcW w:w="5386" w:type="dxa"/>
            <w:vAlign w:val="center"/>
          </w:tcPr>
          <w:p>
            <w:pPr>
              <w:pStyle w:val="12"/>
            </w:pPr>
            <w:r>
              <w:t>影院全年放映国产影片率</w:t>
            </w:r>
          </w:p>
        </w:tc>
        <w:tc>
          <w:tcPr>
            <w:tcW w:w="2268" w:type="dxa"/>
            <w:vAlign w:val="center"/>
          </w:tcPr>
          <w:p>
            <w:pPr>
              <w:pStyle w:val="12"/>
            </w:pPr>
            <w:r>
              <w:t>≥60%</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县城数字影院建设补助</w:t>
            </w:r>
          </w:p>
        </w:tc>
        <w:tc>
          <w:tcPr>
            <w:tcW w:w="5386" w:type="dxa"/>
            <w:vAlign w:val="center"/>
          </w:tcPr>
          <w:p>
            <w:pPr>
              <w:pStyle w:val="12"/>
            </w:pPr>
            <w:r>
              <w:t>县城数字影院建设补助</w:t>
            </w:r>
          </w:p>
        </w:tc>
        <w:tc>
          <w:tcPr>
            <w:tcW w:w="2268" w:type="dxa"/>
            <w:vAlign w:val="center"/>
          </w:tcPr>
          <w:p>
            <w:pPr>
              <w:pStyle w:val="12"/>
            </w:pPr>
            <w:r>
              <w:t>0.5万元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县城数字影院票房收入增长</w:t>
            </w:r>
          </w:p>
        </w:tc>
        <w:tc>
          <w:tcPr>
            <w:tcW w:w="5386" w:type="dxa"/>
            <w:vAlign w:val="center"/>
          </w:tcPr>
          <w:p>
            <w:pPr>
              <w:pStyle w:val="12"/>
            </w:pPr>
            <w:r>
              <w:t>县城数字影院票房收入增长</w:t>
            </w:r>
          </w:p>
        </w:tc>
        <w:tc>
          <w:tcPr>
            <w:tcW w:w="2268" w:type="dxa"/>
            <w:vAlign w:val="center"/>
          </w:tcPr>
          <w:p>
            <w:pPr>
              <w:pStyle w:val="12"/>
            </w:pPr>
            <w:r>
              <w:t>≥5%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营造良好的观影风气，促进社会和谐进步</w:t>
            </w:r>
          </w:p>
        </w:tc>
        <w:tc>
          <w:tcPr>
            <w:tcW w:w="5386" w:type="dxa"/>
            <w:vAlign w:val="center"/>
          </w:tcPr>
          <w:p>
            <w:pPr>
              <w:pStyle w:val="12"/>
            </w:pPr>
            <w:r>
              <w:t>营造良好的观影风气，促进社会和谐进步</w:t>
            </w:r>
          </w:p>
        </w:tc>
        <w:tc>
          <w:tcPr>
            <w:tcW w:w="2268" w:type="dxa"/>
            <w:vAlign w:val="center"/>
          </w:tcPr>
          <w:p>
            <w:pPr>
              <w:pStyle w:val="12"/>
            </w:pPr>
            <w:r>
              <w:t>长期</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观众对影院满意度</w:t>
            </w:r>
          </w:p>
        </w:tc>
        <w:tc>
          <w:tcPr>
            <w:tcW w:w="5386" w:type="dxa"/>
            <w:vAlign w:val="center"/>
          </w:tcPr>
          <w:p>
            <w:pPr>
              <w:pStyle w:val="12"/>
            </w:pPr>
            <w:r>
              <w:t>观众对影院满意度</w:t>
            </w:r>
          </w:p>
        </w:tc>
        <w:tc>
          <w:tcPr>
            <w:tcW w:w="2268" w:type="dxa"/>
            <w:vAlign w:val="center"/>
          </w:tcPr>
          <w:p>
            <w:pPr>
              <w:pStyle w:val="12"/>
            </w:pPr>
            <w:r>
              <w:t>≥90%</w:t>
            </w:r>
          </w:p>
        </w:tc>
        <w:tc>
          <w:tcPr>
            <w:tcW w:w="1276" w:type="dxa"/>
            <w:vAlign w:val="center"/>
          </w:tcPr>
          <w:p>
            <w:pPr>
              <w:pStyle w:val="12"/>
            </w:pPr>
            <w:r>
              <w:t>上级政策文件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17、石财教（2023）91号关于提前下达2024年中央补助地方国家电影事业发展专项资金预算的通知绩效目标表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13010924P00000110323A</w:t>
            </w:r>
          </w:p>
        </w:tc>
        <w:tc>
          <w:tcPr>
            <w:tcW w:w="2835" w:type="dxa"/>
            <w:vAlign w:val="center"/>
          </w:tcPr>
          <w:p>
            <w:pPr>
              <w:pStyle w:val="10"/>
            </w:pPr>
            <w:r>
              <w:t>项目名称</w:t>
            </w:r>
          </w:p>
        </w:tc>
        <w:tc>
          <w:tcPr>
            <w:tcW w:w="6094" w:type="dxa"/>
            <w:gridSpan w:val="3"/>
            <w:vAlign w:val="center"/>
          </w:tcPr>
          <w:p>
            <w:pPr>
              <w:pStyle w:val="12"/>
            </w:pPr>
            <w:r>
              <w:t>石财教（2023）91号关于提前下达2024年中央补助地方国家电影事业发展专项资金预算的通知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用于支持国产影片放映和影院建设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1.支出国产影片放映和影院建设。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奖励国产影片成绩突出的影院</w:t>
            </w:r>
          </w:p>
        </w:tc>
        <w:tc>
          <w:tcPr>
            <w:tcW w:w="5386" w:type="dxa"/>
            <w:vAlign w:val="center"/>
          </w:tcPr>
          <w:p>
            <w:pPr>
              <w:pStyle w:val="12"/>
            </w:pPr>
            <w:r>
              <w:t>奖励国产影片成绩突出的影院</w:t>
            </w:r>
          </w:p>
        </w:tc>
        <w:tc>
          <w:tcPr>
            <w:tcW w:w="2268" w:type="dxa"/>
            <w:vAlign w:val="center"/>
          </w:tcPr>
          <w:p>
            <w:pPr>
              <w:pStyle w:val="12"/>
            </w:pPr>
            <w:r>
              <w:t>≥2家</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影院放映国产影片收入占比</w:t>
            </w:r>
          </w:p>
        </w:tc>
        <w:tc>
          <w:tcPr>
            <w:tcW w:w="5386" w:type="dxa"/>
            <w:vAlign w:val="center"/>
          </w:tcPr>
          <w:p>
            <w:pPr>
              <w:pStyle w:val="12"/>
            </w:pPr>
            <w:r>
              <w:t>影院放映国产影片收入占比</w:t>
            </w:r>
          </w:p>
        </w:tc>
        <w:tc>
          <w:tcPr>
            <w:tcW w:w="2268" w:type="dxa"/>
            <w:vAlign w:val="center"/>
          </w:tcPr>
          <w:p>
            <w:pPr>
              <w:pStyle w:val="12"/>
            </w:pPr>
            <w:r>
              <w:t>≥55%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影院全年放映国产片率</w:t>
            </w:r>
          </w:p>
        </w:tc>
        <w:tc>
          <w:tcPr>
            <w:tcW w:w="5386" w:type="dxa"/>
            <w:vAlign w:val="center"/>
          </w:tcPr>
          <w:p>
            <w:pPr>
              <w:pStyle w:val="12"/>
            </w:pPr>
            <w:r>
              <w:t>影院全年放映国产片率</w:t>
            </w:r>
          </w:p>
        </w:tc>
        <w:tc>
          <w:tcPr>
            <w:tcW w:w="2268" w:type="dxa"/>
            <w:vAlign w:val="center"/>
          </w:tcPr>
          <w:p>
            <w:pPr>
              <w:pStyle w:val="12"/>
            </w:pPr>
            <w:r>
              <w:t>≥60%</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影院建设补助</w:t>
            </w:r>
          </w:p>
        </w:tc>
        <w:tc>
          <w:tcPr>
            <w:tcW w:w="5386" w:type="dxa"/>
            <w:vAlign w:val="center"/>
          </w:tcPr>
          <w:p>
            <w:pPr>
              <w:pStyle w:val="12"/>
            </w:pPr>
            <w:r>
              <w:t>影院建设补助</w:t>
            </w:r>
          </w:p>
        </w:tc>
        <w:tc>
          <w:tcPr>
            <w:tcW w:w="2268" w:type="dxa"/>
            <w:vAlign w:val="center"/>
          </w:tcPr>
          <w:p>
            <w:pPr>
              <w:pStyle w:val="12"/>
            </w:pPr>
            <w:r>
              <w:t>≤32万元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营造良好的观影风气，促进社会和谐稳定</w:t>
            </w:r>
          </w:p>
        </w:tc>
        <w:tc>
          <w:tcPr>
            <w:tcW w:w="5386" w:type="dxa"/>
            <w:vAlign w:val="center"/>
          </w:tcPr>
          <w:p>
            <w:pPr>
              <w:pStyle w:val="12"/>
            </w:pPr>
            <w:r>
              <w:t>营造良好的观影风气，促进社会和谐稳定</w:t>
            </w:r>
          </w:p>
        </w:tc>
        <w:tc>
          <w:tcPr>
            <w:tcW w:w="2268" w:type="dxa"/>
            <w:vAlign w:val="center"/>
          </w:tcPr>
          <w:p>
            <w:pPr>
              <w:pStyle w:val="12"/>
            </w:pPr>
            <w:r>
              <w:t>营造良好的观影风气</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观众对影院的满意度</w:t>
            </w:r>
          </w:p>
        </w:tc>
        <w:tc>
          <w:tcPr>
            <w:tcW w:w="5386" w:type="dxa"/>
            <w:vAlign w:val="center"/>
          </w:tcPr>
          <w:p>
            <w:pPr>
              <w:pStyle w:val="12"/>
            </w:pPr>
            <w:r>
              <w:t>观众对影院的满意度</w:t>
            </w:r>
          </w:p>
        </w:tc>
        <w:tc>
          <w:tcPr>
            <w:tcW w:w="2268" w:type="dxa"/>
            <w:vAlign w:val="center"/>
          </w:tcPr>
          <w:p>
            <w:pPr>
              <w:pStyle w:val="12"/>
            </w:pPr>
            <w:r>
              <w:t>≥90%</w:t>
            </w:r>
          </w:p>
        </w:tc>
        <w:tc>
          <w:tcPr>
            <w:tcW w:w="1276" w:type="dxa"/>
            <w:vAlign w:val="center"/>
          </w:tcPr>
          <w:p>
            <w:pPr>
              <w:pStyle w:val="12"/>
            </w:pPr>
            <w:r>
              <w:t>上级政策文件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18、新时代文明实践中心工作经费绩效目标表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13010924P000002113110</w:t>
            </w:r>
          </w:p>
        </w:tc>
        <w:tc>
          <w:tcPr>
            <w:tcW w:w="2835" w:type="dxa"/>
            <w:vAlign w:val="center"/>
          </w:tcPr>
          <w:p>
            <w:pPr>
              <w:pStyle w:val="10"/>
            </w:pPr>
            <w:r>
              <w:t>项目名称</w:t>
            </w:r>
          </w:p>
        </w:tc>
        <w:tc>
          <w:tcPr>
            <w:tcW w:w="6094" w:type="dxa"/>
            <w:gridSpan w:val="3"/>
            <w:vAlign w:val="center"/>
          </w:tcPr>
          <w:p>
            <w:pPr>
              <w:pStyle w:val="12"/>
            </w:pPr>
            <w:r>
              <w:t>新时代文明实践中心工作经费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建设既符合中央原则要求、又具有藁城特色，深受群众欢迎的实践中心。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1.建设既符合中央原则要求、又具有藁城特色，深受群众欢迎的实践中心。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组织开展新时代文明实践系列活动（含双争活动次数）</w:t>
            </w:r>
          </w:p>
        </w:tc>
        <w:tc>
          <w:tcPr>
            <w:tcW w:w="5386" w:type="dxa"/>
            <w:vAlign w:val="center"/>
          </w:tcPr>
          <w:p>
            <w:pPr>
              <w:pStyle w:val="12"/>
            </w:pPr>
            <w:r>
              <w:t>开展主题活动</w:t>
            </w:r>
          </w:p>
        </w:tc>
        <w:tc>
          <w:tcPr>
            <w:tcW w:w="2268" w:type="dxa"/>
            <w:vAlign w:val="center"/>
          </w:tcPr>
          <w:p>
            <w:pPr>
              <w:pStyle w:val="12"/>
            </w:pPr>
            <w:r>
              <w:t>≥50场次</w:t>
            </w:r>
          </w:p>
        </w:tc>
        <w:tc>
          <w:tcPr>
            <w:tcW w:w="1276" w:type="dxa"/>
            <w:vAlign w:val="center"/>
          </w:tcPr>
          <w:p>
            <w:pPr>
              <w:pStyle w:val="12"/>
            </w:pPr>
            <w:r>
              <w:t xml:space="preserve">中共中央办公厅厅字〔2021]43号中共中央办公厅印发《关于拓展新时代文明实践中心建设的意见》的通知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每年制定下发全新时代文明实践活动方案、双争活动方案等红头文件。</w:t>
            </w:r>
          </w:p>
        </w:tc>
        <w:tc>
          <w:tcPr>
            <w:tcW w:w="5386" w:type="dxa"/>
            <w:vAlign w:val="center"/>
          </w:tcPr>
          <w:p>
            <w:pPr>
              <w:pStyle w:val="12"/>
            </w:pPr>
            <w:r>
              <w:t>每年制定下发全新时代文明实践活动方案、双争活动方案等红头文件。</w:t>
            </w:r>
          </w:p>
        </w:tc>
        <w:tc>
          <w:tcPr>
            <w:tcW w:w="2268" w:type="dxa"/>
            <w:vAlign w:val="center"/>
          </w:tcPr>
          <w:p>
            <w:pPr>
              <w:pStyle w:val="12"/>
            </w:pPr>
            <w:r>
              <w:t>≥5份</w:t>
            </w:r>
          </w:p>
        </w:tc>
        <w:tc>
          <w:tcPr>
            <w:tcW w:w="1276" w:type="dxa"/>
            <w:vAlign w:val="center"/>
          </w:tcPr>
          <w:p>
            <w:pPr>
              <w:pStyle w:val="12"/>
            </w:pPr>
            <w:r>
              <w:t xml:space="preserve">中共中央办公厅厅字〔2021]43号中共中央办公厅印发《关于拓展新时代文明实践中心建设的意见》的通知 </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活动开展时效性</w:t>
            </w:r>
          </w:p>
        </w:tc>
        <w:tc>
          <w:tcPr>
            <w:tcW w:w="5386" w:type="dxa"/>
            <w:vAlign w:val="center"/>
          </w:tcPr>
          <w:p>
            <w:pPr>
              <w:pStyle w:val="12"/>
            </w:pPr>
            <w:r>
              <w:t>活动开展时效性</w:t>
            </w:r>
          </w:p>
        </w:tc>
        <w:tc>
          <w:tcPr>
            <w:tcW w:w="2268" w:type="dxa"/>
            <w:vAlign w:val="center"/>
          </w:tcPr>
          <w:p>
            <w:pPr>
              <w:pStyle w:val="12"/>
            </w:pPr>
            <w:r>
              <w:t>2024年全年</w:t>
            </w:r>
          </w:p>
        </w:tc>
        <w:tc>
          <w:tcPr>
            <w:tcW w:w="1276" w:type="dxa"/>
            <w:vAlign w:val="center"/>
          </w:tcPr>
          <w:p>
            <w:pPr>
              <w:pStyle w:val="12"/>
            </w:pPr>
            <w:r>
              <w:t xml:space="preserve">中共中央办公厅厅字〔2021]43号中共中央办公厅印发《关于拓展新时代文明实践中心建设的意见》的通知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组织开展活动所需费用</w:t>
            </w:r>
          </w:p>
        </w:tc>
        <w:tc>
          <w:tcPr>
            <w:tcW w:w="5386" w:type="dxa"/>
            <w:vAlign w:val="center"/>
          </w:tcPr>
          <w:p>
            <w:pPr>
              <w:pStyle w:val="12"/>
            </w:pPr>
            <w:r>
              <w:t>组织开展活动所需费用</w:t>
            </w:r>
          </w:p>
        </w:tc>
        <w:tc>
          <w:tcPr>
            <w:tcW w:w="2268" w:type="dxa"/>
            <w:vAlign w:val="center"/>
          </w:tcPr>
          <w:p>
            <w:pPr>
              <w:pStyle w:val="12"/>
            </w:pPr>
            <w:r>
              <w:t>≤5万元</w:t>
            </w:r>
          </w:p>
        </w:tc>
        <w:tc>
          <w:tcPr>
            <w:tcW w:w="1276" w:type="dxa"/>
            <w:vAlign w:val="center"/>
          </w:tcPr>
          <w:p>
            <w:pPr>
              <w:pStyle w:val="12"/>
            </w:pPr>
            <w:r>
              <w:t xml:space="preserve">中共中央办公厅厅字〔2021]43号中共中央办公厅印发《关于拓展新时代文明实践中心建设的意见》的通知 </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营造文明实践工作氛围</w:t>
            </w:r>
          </w:p>
        </w:tc>
        <w:tc>
          <w:tcPr>
            <w:tcW w:w="5386" w:type="dxa"/>
            <w:vAlign w:val="center"/>
          </w:tcPr>
          <w:p>
            <w:pPr>
              <w:pStyle w:val="12"/>
            </w:pPr>
            <w:r>
              <w:t>营造文明实践工作氛围</w:t>
            </w:r>
          </w:p>
        </w:tc>
        <w:tc>
          <w:tcPr>
            <w:tcW w:w="2268" w:type="dxa"/>
            <w:vAlign w:val="center"/>
          </w:tcPr>
          <w:p>
            <w:pPr>
              <w:pStyle w:val="12"/>
            </w:pPr>
            <w:r>
              <w:t>浓厚氛围</w:t>
            </w:r>
          </w:p>
        </w:tc>
        <w:tc>
          <w:tcPr>
            <w:tcW w:w="1276" w:type="dxa"/>
            <w:vAlign w:val="center"/>
          </w:tcPr>
          <w:p>
            <w:pPr>
              <w:pStyle w:val="12"/>
            </w:pPr>
            <w:r>
              <w:t xml:space="preserve">中共中央办公厅厅字〔2021]43号中共中央办公厅印发《关于拓展新时代文明实践中心建设的意见》的通知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 xml:space="preserve">中共中央办公厅厅字〔2021]43号中共中央办公厅印发《关于拓展新时代文明实践中心建设的意见》的通知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19、新闻宣传经费绩效目标表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13010924P00000211312K</w:t>
            </w:r>
          </w:p>
        </w:tc>
        <w:tc>
          <w:tcPr>
            <w:tcW w:w="2835" w:type="dxa"/>
            <w:vAlign w:val="center"/>
          </w:tcPr>
          <w:p>
            <w:pPr>
              <w:pStyle w:val="10"/>
            </w:pPr>
            <w:r>
              <w:t>项目名称</w:t>
            </w:r>
          </w:p>
        </w:tc>
        <w:tc>
          <w:tcPr>
            <w:tcW w:w="6094" w:type="dxa"/>
            <w:gridSpan w:val="3"/>
            <w:vAlign w:val="center"/>
          </w:tcPr>
          <w:p>
            <w:pPr>
              <w:pStyle w:val="12"/>
            </w:pPr>
            <w:r>
              <w:t>新闻宣传经费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指导协调新闻舆论工作，组织系列主题新闻宣传，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1.指导协调新闻舆论工作，组织系列主题新闻宣传，开展新闻业务调研评议；抓好新闻管理制度和措施落实；围绕社会热点、敏感问题、突发事件，正确引导社会心态。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对上宣传报道</w:t>
            </w:r>
          </w:p>
        </w:tc>
        <w:tc>
          <w:tcPr>
            <w:tcW w:w="5386" w:type="dxa"/>
            <w:vAlign w:val="center"/>
          </w:tcPr>
          <w:p>
            <w:pPr>
              <w:pStyle w:val="12"/>
            </w:pPr>
            <w:r>
              <w:t>对上宣传报道</w:t>
            </w:r>
          </w:p>
        </w:tc>
        <w:tc>
          <w:tcPr>
            <w:tcW w:w="2268" w:type="dxa"/>
            <w:vAlign w:val="center"/>
          </w:tcPr>
          <w:p>
            <w:pPr>
              <w:pStyle w:val="12"/>
            </w:pPr>
            <w:r>
              <w:t>≥5次</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抓好新闻管理制度和措施落实正确引导社会心态</w:t>
            </w:r>
          </w:p>
        </w:tc>
        <w:tc>
          <w:tcPr>
            <w:tcW w:w="5386" w:type="dxa"/>
            <w:vAlign w:val="center"/>
          </w:tcPr>
          <w:p>
            <w:pPr>
              <w:pStyle w:val="12"/>
            </w:pPr>
            <w:r>
              <w:t>抓好新闻管理制度和措施落实正确引导社会心态</w:t>
            </w:r>
          </w:p>
        </w:tc>
        <w:tc>
          <w:tcPr>
            <w:tcW w:w="2268" w:type="dxa"/>
            <w:vAlign w:val="center"/>
          </w:tcPr>
          <w:p>
            <w:pPr>
              <w:pStyle w:val="12"/>
            </w:pPr>
            <w:r>
              <w:t>做好宣传管理工作</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及时反映我区亮点工作</w:t>
            </w:r>
          </w:p>
        </w:tc>
        <w:tc>
          <w:tcPr>
            <w:tcW w:w="5386" w:type="dxa"/>
            <w:vAlign w:val="center"/>
          </w:tcPr>
          <w:p>
            <w:pPr>
              <w:pStyle w:val="12"/>
            </w:pPr>
            <w:r>
              <w:t>及时反映我区亮点工作</w:t>
            </w:r>
          </w:p>
        </w:tc>
        <w:tc>
          <w:tcPr>
            <w:tcW w:w="2268" w:type="dxa"/>
            <w:vAlign w:val="center"/>
          </w:tcPr>
          <w:p>
            <w:pPr>
              <w:pStyle w:val="12"/>
            </w:pPr>
            <w:r>
              <w:t>及时报道</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开展培训、活动所需物资等</w:t>
            </w:r>
          </w:p>
        </w:tc>
        <w:tc>
          <w:tcPr>
            <w:tcW w:w="5386" w:type="dxa"/>
            <w:vAlign w:val="center"/>
          </w:tcPr>
          <w:p>
            <w:pPr>
              <w:pStyle w:val="12"/>
            </w:pPr>
            <w:r>
              <w:t>开展培训、活动所需物资等</w:t>
            </w:r>
          </w:p>
        </w:tc>
        <w:tc>
          <w:tcPr>
            <w:tcW w:w="2268" w:type="dxa"/>
            <w:vAlign w:val="center"/>
          </w:tcPr>
          <w:p>
            <w:pPr>
              <w:pStyle w:val="12"/>
            </w:pPr>
            <w:r>
              <w:t>≤5万元</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突发事件新闻处置完成率</w:t>
            </w:r>
          </w:p>
        </w:tc>
        <w:tc>
          <w:tcPr>
            <w:tcW w:w="5386" w:type="dxa"/>
            <w:vAlign w:val="center"/>
          </w:tcPr>
          <w:p>
            <w:pPr>
              <w:pStyle w:val="12"/>
            </w:pPr>
            <w:r>
              <w:t>突发事件新闻处置完成率</w:t>
            </w:r>
          </w:p>
        </w:tc>
        <w:tc>
          <w:tcPr>
            <w:tcW w:w="2268" w:type="dxa"/>
            <w:vAlign w:val="center"/>
          </w:tcPr>
          <w:p>
            <w:pPr>
              <w:pStyle w:val="12"/>
            </w:pPr>
            <w:r>
              <w:t>≥90%</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群众对新闻宣传的满意率</w:t>
            </w:r>
          </w:p>
        </w:tc>
        <w:tc>
          <w:tcPr>
            <w:tcW w:w="5386" w:type="dxa"/>
            <w:vAlign w:val="center"/>
          </w:tcPr>
          <w:p>
            <w:pPr>
              <w:pStyle w:val="12"/>
            </w:pPr>
            <w:r>
              <w:t>群众对新闻宣传的满意率</w:t>
            </w:r>
          </w:p>
        </w:tc>
        <w:tc>
          <w:tcPr>
            <w:tcW w:w="2268" w:type="dxa"/>
            <w:vAlign w:val="center"/>
          </w:tcPr>
          <w:p>
            <w:pPr>
              <w:pStyle w:val="12"/>
            </w:pPr>
            <w:r>
              <w:t>≥90%</w:t>
            </w:r>
          </w:p>
        </w:tc>
        <w:tc>
          <w:tcPr>
            <w:tcW w:w="1276" w:type="dxa"/>
            <w:vAlign w:val="center"/>
          </w:tcPr>
          <w:p>
            <w:pPr>
              <w:pStyle w:val="12"/>
            </w:pPr>
            <w:r>
              <w:t>领导批示、宣传部三定方案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20、宣传文化事务经费绩效目标表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13010924P00000211314T</w:t>
            </w:r>
          </w:p>
        </w:tc>
        <w:tc>
          <w:tcPr>
            <w:tcW w:w="2835" w:type="dxa"/>
            <w:vAlign w:val="center"/>
          </w:tcPr>
          <w:p>
            <w:pPr>
              <w:pStyle w:val="10"/>
            </w:pPr>
            <w:r>
              <w:t>项目名称</w:t>
            </w:r>
          </w:p>
        </w:tc>
        <w:tc>
          <w:tcPr>
            <w:tcW w:w="6094" w:type="dxa"/>
            <w:gridSpan w:val="3"/>
            <w:vAlign w:val="center"/>
          </w:tcPr>
          <w:p>
            <w:pPr>
              <w:pStyle w:val="12"/>
            </w:pPr>
            <w:r>
              <w:t>宣传文化事务经费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研究制定全区文化产业发展政策，管理文化产业、文化事业专项资金，支持重点文化产业项目。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1.研究制定全区文化产业发展政策，管理文化产业、文化事业专项资金，支持重点文化产业项目。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扶持群众性文艺社团、演出团体和基层宣讲员、业余文化队伍</w:t>
            </w:r>
          </w:p>
        </w:tc>
        <w:tc>
          <w:tcPr>
            <w:tcW w:w="5386" w:type="dxa"/>
            <w:vAlign w:val="center"/>
          </w:tcPr>
          <w:p>
            <w:pPr>
              <w:pStyle w:val="12"/>
            </w:pPr>
            <w:r>
              <w:t>扶持群众性文艺社团、演出团体和基层宣讲员、业余文化队伍</w:t>
            </w:r>
          </w:p>
        </w:tc>
        <w:tc>
          <w:tcPr>
            <w:tcW w:w="2268" w:type="dxa"/>
            <w:vAlign w:val="center"/>
          </w:tcPr>
          <w:p>
            <w:pPr>
              <w:pStyle w:val="12"/>
            </w:pPr>
            <w:r>
              <w:t>≥4支</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反映全区性主题宣传教育活动开展情况（次）</w:t>
            </w:r>
          </w:p>
        </w:tc>
        <w:tc>
          <w:tcPr>
            <w:tcW w:w="5386" w:type="dxa"/>
            <w:vAlign w:val="center"/>
          </w:tcPr>
          <w:p>
            <w:pPr>
              <w:pStyle w:val="12"/>
            </w:pPr>
            <w:r>
              <w:t>反映全区性主题宣传教育活动开展情况（次）</w:t>
            </w:r>
          </w:p>
        </w:tc>
        <w:tc>
          <w:tcPr>
            <w:tcW w:w="2268" w:type="dxa"/>
            <w:vAlign w:val="center"/>
          </w:tcPr>
          <w:p>
            <w:pPr>
              <w:pStyle w:val="12"/>
            </w:pPr>
            <w:r>
              <w:t>≥5次</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按规定时间完成相关工作</w:t>
            </w:r>
          </w:p>
        </w:tc>
        <w:tc>
          <w:tcPr>
            <w:tcW w:w="5386" w:type="dxa"/>
            <w:vAlign w:val="center"/>
          </w:tcPr>
          <w:p>
            <w:pPr>
              <w:pStyle w:val="12"/>
            </w:pPr>
            <w:r>
              <w:t>按规定时间完成相关工作</w:t>
            </w:r>
          </w:p>
        </w:tc>
        <w:tc>
          <w:tcPr>
            <w:tcW w:w="2268" w:type="dxa"/>
            <w:vAlign w:val="center"/>
          </w:tcPr>
          <w:p>
            <w:pPr>
              <w:pStyle w:val="12"/>
            </w:pPr>
            <w:r>
              <w:t>2024年底</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开展活动所需费用</w:t>
            </w:r>
          </w:p>
        </w:tc>
        <w:tc>
          <w:tcPr>
            <w:tcW w:w="5386" w:type="dxa"/>
            <w:vAlign w:val="center"/>
          </w:tcPr>
          <w:p>
            <w:pPr>
              <w:pStyle w:val="12"/>
            </w:pPr>
            <w:r>
              <w:t>开展宣传文化活动所需费用及建设各类宣传文化阵地经费</w:t>
            </w:r>
          </w:p>
        </w:tc>
        <w:tc>
          <w:tcPr>
            <w:tcW w:w="2268" w:type="dxa"/>
            <w:vAlign w:val="center"/>
          </w:tcPr>
          <w:p>
            <w:pPr>
              <w:pStyle w:val="12"/>
            </w:pPr>
            <w:r>
              <w:t>≤3万元</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推进全区文化事业产业健康发展及各类宣传文化阵地建设。</w:t>
            </w:r>
          </w:p>
        </w:tc>
        <w:tc>
          <w:tcPr>
            <w:tcW w:w="5386" w:type="dxa"/>
            <w:vAlign w:val="center"/>
          </w:tcPr>
          <w:p>
            <w:pPr>
              <w:pStyle w:val="12"/>
            </w:pPr>
            <w:r>
              <w:t>推进全区文化事业产业健康发展及各类宣传文化阵地建设。</w:t>
            </w:r>
          </w:p>
        </w:tc>
        <w:tc>
          <w:tcPr>
            <w:tcW w:w="2268" w:type="dxa"/>
            <w:vAlign w:val="center"/>
          </w:tcPr>
          <w:p>
            <w:pPr>
              <w:pStyle w:val="12"/>
            </w:pPr>
            <w:r>
              <w:t>有序进行</w:t>
            </w:r>
          </w:p>
        </w:tc>
        <w:tc>
          <w:tcPr>
            <w:tcW w:w="1276" w:type="dxa"/>
            <w:vAlign w:val="center"/>
          </w:tcPr>
          <w:p>
            <w:pPr>
              <w:pStyle w:val="12"/>
            </w:pPr>
            <w:r>
              <w:t>领导批示、宣传部三定方案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群众对社会宣传文化事业健康发展的满意度。</w:t>
            </w:r>
          </w:p>
        </w:tc>
        <w:tc>
          <w:tcPr>
            <w:tcW w:w="5386" w:type="dxa"/>
            <w:vAlign w:val="center"/>
          </w:tcPr>
          <w:p>
            <w:pPr>
              <w:pStyle w:val="12"/>
            </w:pPr>
            <w:r>
              <w:t>群众对社会宣传文化事业健康发展的满意度。</w:t>
            </w:r>
          </w:p>
        </w:tc>
        <w:tc>
          <w:tcPr>
            <w:tcW w:w="2268" w:type="dxa"/>
            <w:vAlign w:val="center"/>
          </w:tcPr>
          <w:p>
            <w:pPr>
              <w:pStyle w:val="12"/>
            </w:pPr>
            <w:r>
              <w:t>≥90%</w:t>
            </w:r>
          </w:p>
        </w:tc>
        <w:tc>
          <w:tcPr>
            <w:tcW w:w="1276" w:type="dxa"/>
            <w:vAlign w:val="center"/>
          </w:tcPr>
          <w:p>
            <w:pPr>
              <w:pStyle w:val="12"/>
            </w:pPr>
            <w:r>
              <w:t>领导批示、宣传部三定方案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21、宣传综合事务经费绩效目标表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13010924P00000211315E</w:t>
            </w:r>
          </w:p>
        </w:tc>
        <w:tc>
          <w:tcPr>
            <w:tcW w:w="2835" w:type="dxa"/>
            <w:vAlign w:val="center"/>
          </w:tcPr>
          <w:p>
            <w:pPr>
              <w:pStyle w:val="10"/>
            </w:pPr>
            <w:r>
              <w:t>项目名称</w:t>
            </w:r>
          </w:p>
        </w:tc>
        <w:tc>
          <w:tcPr>
            <w:tcW w:w="6094" w:type="dxa"/>
            <w:gridSpan w:val="3"/>
            <w:vAlign w:val="center"/>
          </w:tcPr>
          <w:p>
            <w:pPr>
              <w:pStyle w:val="12"/>
            </w:pPr>
            <w:r>
              <w:t>宣传综合事务经费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负责机关综合事务管理。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1.负责机关综合事务管理。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开展宣传活动次数</w:t>
            </w:r>
          </w:p>
        </w:tc>
        <w:tc>
          <w:tcPr>
            <w:tcW w:w="5386" w:type="dxa"/>
            <w:vAlign w:val="center"/>
          </w:tcPr>
          <w:p>
            <w:pPr>
              <w:pStyle w:val="12"/>
            </w:pPr>
            <w:r>
              <w:t>开展宣传活动次数</w:t>
            </w:r>
          </w:p>
        </w:tc>
        <w:tc>
          <w:tcPr>
            <w:tcW w:w="2268" w:type="dxa"/>
            <w:vAlign w:val="center"/>
          </w:tcPr>
          <w:p>
            <w:pPr>
              <w:pStyle w:val="12"/>
            </w:pPr>
            <w:r>
              <w:t>≥2次</w:t>
            </w:r>
          </w:p>
        </w:tc>
        <w:tc>
          <w:tcPr>
            <w:tcW w:w="1276" w:type="dxa"/>
            <w:vAlign w:val="center"/>
          </w:tcPr>
          <w:p>
            <w:pPr>
              <w:pStyle w:val="12"/>
            </w:pPr>
            <w:r>
              <w:t>上级文件、宣传部三定方案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保障机关工作正常高效运转</w:t>
            </w:r>
          </w:p>
        </w:tc>
        <w:tc>
          <w:tcPr>
            <w:tcW w:w="5386" w:type="dxa"/>
            <w:vAlign w:val="center"/>
          </w:tcPr>
          <w:p>
            <w:pPr>
              <w:pStyle w:val="12"/>
            </w:pPr>
            <w:r>
              <w:t>保障宣传文化工作正常高效运转，保障干部人才队伍建设、机关党建工作正常开展。</w:t>
            </w:r>
          </w:p>
        </w:tc>
        <w:tc>
          <w:tcPr>
            <w:tcW w:w="2268" w:type="dxa"/>
            <w:vAlign w:val="center"/>
          </w:tcPr>
          <w:p>
            <w:pPr>
              <w:pStyle w:val="12"/>
            </w:pPr>
            <w:r>
              <w:t>高效运转</w:t>
            </w:r>
          </w:p>
        </w:tc>
        <w:tc>
          <w:tcPr>
            <w:tcW w:w="1276" w:type="dxa"/>
            <w:vAlign w:val="center"/>
          </w:tcPr>
          <w:p>
            <w:pPr>
              <w:pStyle w:val="12"/>
            </w:pPr>
            <w:r>
              <w:t>上级文件、宣传部三定方案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各项工作按规定时限完成</w:t>
            </w:r>
          </w:p>
        </w:tc>
        <w:tc>
          <w:tcPr>
            <w:tcW w:w="2268" w:type="dxa"/>
            <w:vAlign w:val="center"/>
          </w:tcPr>
          <w:p>
            <w:pPr>
              <w:pStyle w:val="12"/>
            </w:pPr>
            <w:r>
              <w:t>2024全年</w:t>
            </w:r>
          </w:p>
        </w:tc>
        <w:tc>
          <w:tcPr>
            <w:tcW w:w="1276" w:type="dxa"/>
            <w:vAlign w:val="center"/>
          </w:tcPr>
          <w:p>
            <w:pPr>
              <w:pStyle w:val="12"/>
            </w:pPr>
            <w:r>
              <w:t>上级文件、宣传部三定方案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保障工作开展所需费用</w:t>
            </w:r>
          </w:p>
        </w:tc>
        <w:tc>
          <w:tcPr>
            <w:tcW w:w="5386" w:type="dxa"/>
            <w:vAlign w:val="center"/>
          </w:tcPr>
          <w:p>
            <w:pPr>
              <w:pStyle w:val="12"/>
            </w:pPr>
            <w:r>
              <w:t>保障工作开展所需费用</w:t>
            </w:r>
          </w:p>
        </w:tc>
        <w:tc>
          <w:tcPr>
            <w:tcW w:w="2268" w:type="dxa"/>
            <w:vAlign w:val="center"/>
          </w:tcPr>
          <w:p>
            <w:pPr>
              <w:pStyle w:val="12"/>
            </w:pPr>
            <w:r>
              <w:t>≤4.85万元</w:t>
            </w:r>
          </w:p>
        </w:tc>
        <w:tc>
          <w:tcPr>
            <w:tcW w:w="1276" w:type="dxa"/>
            <w:vAlign w:val="center"/>
          </w:tcPr>
          <w:p>
            <w:pPr>
              <w:pStyle w:val="12"/>
            </w:pPr>
            <w:r>
              <w:t>上级文件、宣传部三定方案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机关运行效率</w:t>
            </w:r>
          </w:p>
        </w:tc>
        <w:tc>
          <w:tcPr>
            <w:tcW w:w="5386" w:type="dxa"/>
            <w:vAlign w:val="center"/>
          </w:tcPr>
          <w:p>
            <w:pPr>
              <w:pStyle w:val="12"/>
            </w:pPr>
            <w:r>
              <w:t>机关运行效率</w:t>
            </w:r>
          </w:p>
        </w:tc>
        <w:tc>
          <w:tcPr>
            <w:tcW w:w="2268" w:type="dxa"/>
            <w:vAlign w:val="center"/>
          </w:tcPr>
          <w:p>
            <w:pPr>
              <w:pStyle w:val="12"/>
            </w:pPr>
            <w:r>
              <w:t>≥90%</w:t>
            </w:r>
          </w:p>
        </w:tc>
        <w:tc>
          <w:tcPr>
            <w:tcW w:w="1276" w:type="dxa"/>
            <w:vAlign w:val="center"/>
          </w:tcPr>
          <w:p>
            <w:pPr>
              <w:pStyle w:val="12"/>
            </w:pPr>
            <w:r>
              <w:t>上级文件、宣传部三定方案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≥90%</w:t>
            </w:r>
          </w:p>
        </w:tc>
        <w:tc>
          <w:tcPr>
            <w:tcW w:w="1276" w:type="dxa"/>
            <w:vAlign w:val="center"/>
          </w:tcPr>
          <w:p>
            <w:pPr>
              <w:pStyle w:val="12"/>
            </w:pPr>
            <w:r>
              <w:t>上级文件、宣传部三定方案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中国共产党石家庄市藁城区委员会宣传部本级上年末固定资产金额为11.07万元（详见下表）。本年度拟购置固定资产总额为0.00万元，已按要求列入政府采购预算，详见政府采购预算表。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211001中国共产党石家庄市藁城区委员会宣传部本级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87</w:t>
            </w:r>
          </w:p>
        </w:tc>
        <w:tc>
          <w:tcPr>
            <w:tcW w:w="2835" w:type="dxa"/>
            <w:vAlign w:val="center"/>
          </w:tcPr>
          <w:p>
            <w:pPr>
              <w:pStyle w:val="11"/>
            </w:pPr>
            <w:r>
              <w:t>11.07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二、石家庄市藁城区梅花惨案纪念馆收支预算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126.92</w:t>
            </w:r>
          </w:p>
        </w:tc>
        <w:tc>
          <w:tcPr>
            <w:tcW w:w="4535" w:type="dxa"/>
            <w:vAlign w:val="center"/>
          </w:tcPr>
          <w:p>
            <w:pPr>
              <w:pStyle w:val="12"/>
            </w:pPr>
            <w:r>
              <w:t>一、一般公共服务支出</w:t>
            </w:r>
          </w:p>
        </w:tc>
        <w:tc>
          <w:tcPr>
            <w:tcW w:w="2126" w:type="dxa"/>
            <w:vAlign w:val="center"/>
          </w:tcPr>
          <w:p>
            <w:pPr>
              <w:pStyle w:val="11"/>
            </w:pPr>
            <w:r>
              <w:t>126.92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126.92</w:t>
            </w:r>
          </w:p>
        </w:tc>
        <w:tc>
          <w:tcPr>
            <w:tcW w:w="4535" w:type="dxa"/>
            <w:vAlign w:val="center"/>
          </w:tcPr>
          <w:p>
            <w:pPr>
              <w:pStyle w:val="14"/>
            </w:pPr>
            <w:r>
              <w:t>本年支出合计</w:t>
            </w:r>
          </w:p>
        </w:tc>
        <w:tc>
          <w:tcPr>
            <w:tcW w:w="2126" w:type="dxa"/>
            <w:vAlign w:val="center"/>
          </w:tcPr>
          <w:p>
            <w:pPr>
              <w:pStyle w:val="15"/>
            </w:pPr>
            <w:r>
              <w:t>126.92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126.92</w:t>
            </w:r>
          </w:p>
        </w:tc>
        <w:tc>
          <w:tcPr>
            <w:tcW w:w="4535" w:type="dxa"/>
            <w:vAlign w:val="center"/>
          </w:tcPr>
          <w:p>
            <w:pPr>
              <w:pStyle w:val="14"/>
            </w:pPr>
            <w:r>
              <w:t>支出总计</w:t>
            </w:r>
          </w:p>
        </w:tc>
        <w:tc>
          <w:tcPr>
            <w:tcW w:w="2126" w:type="dxa"/>
            <w:vAlign w:val="center"/>
          </w:tcPr>
          <w:p>
            <w:pPr>
              <w:pStyle w:val="15"/>
            </w:pPr>
            <w:r>
              <w:t>126.92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126.92</w:t>
            </w:r>
          </w:p>
        </w:tc>
        <w:tc>
          <w:tcPr>
            <w:tcW w:w="1134" w:type="dxa"/>
            <w:vAlign w:val="center"/>
          </w:tcPr>
          <w:p>
            <w:pPr>
              <w:pStyle w:val="15"/>
            </w:pPr>
            <w:r>
              <w:t>126.92</w:t>
            </w:r>
          </w:p>
        </w:tc>
        <w:tc>
          <w:tcPr>
            <w:tcW w:w="1134" w:type="dxa"/>
            <w:vAlign w:val="center"/>
          </w:tcPr>
          <w:p>
            <w:pPr>
              <w:pStyle w:val="15"/>
            </w:pPr>
            <w:r>
              <w:t>126.92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2013350</w:t>
            </w:r>
          </w:p>
        </w:tc>
        <w:tc>
          <w:tcPr>
            <w:tcW w:w="1559" w:type="dxa"/>
            <w:vAlign w:val="center"/>
          </w:tcPr>
          <w:p>
            <w:pPr>
              <w:pStyle w:val="12"/>
            </w:pPr>
            <w:r>
              <w:t>事业运行</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r>
              <w:t>126.92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126.92</w:t>
            </w:r>
          </w:p>
        </w:tc>
        <w:tc>
          <w:tcPr>
            <w:tcW w:w="1361" w:type="dxa"/>
            <w:vAlign w:val="center"/>
          </w:tcPr>
          <w:p>
            <w:pPr>
              <w:pStyle w:val="15"/>
            </w:pPr>
            <w:r>
              <w:t>114.32</w:t>
            </w:r>
          </w:p>
        </w:tc>
        <w:tc>
          <w:tcPr>
            <w:tcW w:w="1361" w:type="dxa"/>
            <w:vAlign w:val="center"/>
          </w:tcPr>
          <w:p>
            <w:pPr>
              <w:pStyle w:val="15"/>
            </w:pPr>
            <w:r>
              <w:t>12.60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126.92</w:t>
            </w:r>
          </w:p>
        </w:tc>
        <w:tc>
          <w:tcPr>
            <w:tcW w:w="1361" w:type="dxa"/>
            <w:vAlign w:val="center"/>
          </w:tcPr>
          <w:p>
            <w:pPr>
              <w:pStyle w:val="11"/>
            </w:pPr>
            <w:r>
              <w:t>114.32</w:t>
            </w:r>
          </w:p>
        </w:tc>
        <w:tc>
          <w:tcPr>
            <w:tcW w:w="1361" w:type="dxa"/>
            <w:vAlign w:val="center"/>
          </w:tcPr>
          <w:p>
            <w:pPr>
              <w:pStyle w:val="11"/>
            </w:pPr>
            <w:r>
              <w:t>12.60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126.92</w:t>
            </w:r>
          </w:p>
        </w:tc>
        <w:tc>
          <w:tcPr>
            <w:tcW w:w="1361" w:type="dxa"/>
            <w:vAlign w:val="center"/>
          </w:tcPr>
          <w:p>
            <w:pPr>
              <w:pStyle w:val="11"/>
            </w:pPr>
            <w:r>
              <w:t>114.32</w:t>
            </w:r>
          </w:p>
        </w:tc>
        <w:tc>
          <w:tcPr>
            <w:tcW w:w="1361" w:type="dxa"/>
            <w:vAlign w:val="center"/>
          </w:tcPr>
          <w:p>
            <w:pPr>
              <w:pStyle w:val="11"/>
            </w:pPr>
            <w:r>
              <w:t>12.60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2013350</w:t>
            </w:r>
          </w:p>
        </w:tc>
        <w:tc>
          <w:tcPr>
            <w:tcW w:w="4535" w:type="dxa"/>
            <w:vAlign w:val="center"/>
          </w:tcPr>
          <w:p>
            <w:pPr>
              <w:pStyle w:val="12"/>
            </w:pPr>
            <w:r>
              <w:t>事业运行</w:t>
            </w:r>
          </w:p>
        </w:tc>
        <w:tc>
          <w:tcPr>
            <w:tcW w:w="1361" w:type="dxa"/>
            <w:vAlign w:val="center"/>
          </w:tcPr>
          <w:p>
            <w:pPr>
              <w:pStyle w:val="11"/>
            </w:pPr>
            <w:r>
              <w:t>126.92</w:t>
            </w:r>
          </w:p>
        </w:tc>
        <w:tc>
          <w:tcPr>
            <w:tcW w:w="1361" w:type="dxa"/>
            <w:vAlign w:val="center"/>
          </w:tcPr>
          <w:p>
            <w:pPr>
              <w:pStyle w:val="11"/>
            </w:pPr>
            <w:r>
              <w:t>114.32</w:t>
            </w:r>
          </w:p>
        </w:tc>
        <w:tc>
          <w:tcPr>
            <w:tcW w:w="1361" w:type="dxa"/>
            <w:vAlign w:val="center"/>
          </w:tcPr>
          <w:p>
            <w:pPr>
              <w:pStyle w:val="11"/>
            </w:pPr>
            <w:r>
              <w:t>12.60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126.92</w:t>
            </w:r>
          </w:p>
        </w:tc>
        <w:tc>
          <w:tcPr>
            <w:tcW w:w="3402" w:type="dxa"/>
            <w:vAlign w:val="center"/>
          </w:tcPr>
          <w:p>
            <w:pPr>
              <w:pStyle w:val="12"/>
            </w:pPr>
            <w:r>
              <w:t>一、一般公共服务支出</w:t>
            </w:r>
          </w:p>
        </w:tc>
        <w:tc>
          <w:tcPr>
            <w:tcW w:w="1474" w:type="dxa"/>
            <w:vAlign w:val="center"/>
          </w:tcPr>
          <w:p>
            <w:pPr>
              <w:pStyle w:val="11"/>
            </w:pPr>
            <w:r>
              <w:t>126.92</w:t>
            </w:r>
          </w:p>
        </w:tc>
        <w:tc>
          <w:tcPr>
            <w:tcW w:w="1474" w:type="dxa"/>
            <w:vAlign w:val="center"/>
          </w:tcPr>
          <w:p>
            <w:pPr>
              <w:pStyle w:val="11"/>
            </w:pPr>
            <w:r>
              <w:t>126.92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126.92</w:t>
            </w:r>
          </w:p>
        </w:tc>
        <w:tc>
          <w:tcPr>
            <w:tcW w:w="3402" w:type="dxa"/>
            <w:vAlign w:val="center"/>
          </w:tcPr>
          <w:p>
            <w:pPr>
              <w:pStyle w:val="14"/>
            </w:pPr>
            <w:r>
              <w:t>本年支出合计</w:t>
            </w:r>
          </w:p>
        </w:tc>
        <w:tc>
          <w:tcPr>
            <w:tcW w:w="1474" w:type="dxa"/>
            <w:vAlign w:val="center"/>
          </w:tcPr>
          <w:p>
            <w:pPr>
              <w:pStyle w:val="15"/>
            </w:pPr>
            <w:r>
              <w:t>126.92</w:t>
            </w:r>
          </w:p>
        </w:tc>
        <w:tc>
          <w:tcPr>
            <w:tcW w:w="1474" w:type="dxa"/>
            <w:vAlign w:val="center"/>
          </w:tcPr>
          <w:p>
            <w:pPr>
              <w:pStyle w:val="15"/>
            </w:pPr>
            <w:r>
              <w:t>126.92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126.92</w:t>
            </w:r>
          </w:p>
        </w:tc>
        <w:tc>
          <w:tcPr>
            <w:tcW w:w="3402" w:type="dxa"/>
            <w:vAlign w:val="center"/>
          </w:tcPr>
          <w:p>
            <w:pPr>
              <w:pStyle w:val="14"/>
            </w:pPr>
            <w:r>
              <w:t>支出总计</w:t>
            </w:r>
          </w:p>
        </w:tc>
        <w:tc>
          <w:tcPr>
            <w:tcW w:w="1474" w:type="dxa"/>
            <w:vAlign w:val="center"/>
          </w:tcPr>
          <w:p>
            <w:pPr>
              <w:pStyle w:val="15"/>
            </w:pPr>
            <w:r>
              <w:t>126.92</w:t>
            </w:r>
          </w:p>
        </w:tc>
        <w:tc>
          <w:tcPr>
            <w:tcW w:w="1474" w:type="dxa"/>
            <w:vAlign w:val="center"/>
          </w:tcPr>
          <w:p>
            <w:pPr>
              <w:pStyle w:val="15"/>
            </w:pPr>
            <w:r>
              <w:t>126.92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126.92</w:t>
            </w:r>
          </w:p>
        </w:tc>
        <w:tc>
          <w:tcPr>
            <w:tcW w:w="2551" w:type="dxa"/>
            <w:vAlign w:val="center"/>
          </w:tcPr>
          <w:p>
            <w:pPr>
              <w:pStyle w:val="15"/>
            </w:pPr>
            <w:r>
              <w:t>114.32</w:t>
            </w:r>
          </w:p>
        </w:tc>
        <w:tc>
          <w:tcPr>
            <w:tcW w:w="2551" w:type="dxa"/>
            <w:vAlign w:val="center"/>
          </w:tcPr>
          <w:p>
            <w:pPr>
              <w:pStyle w:val="15"/>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126.92</w:t>
            </w:r>
          </w:p>
        </w:tc>
        <w:tc>
          <w:tcPr>
            <w:tcW w:w="2551" w:type="dxa"/>
            <w:vAlign w:val="center"/>
          </w:tcPr>
          <w:p>
            <w:pPr>
              <w:pStyle w:val="11"/>
            </w:pPr>
            <w:r>
              <w:t>114.32</w:t>
            </w:r>
          </w:p>
        </w:tc>
        <w:tc>
          <w:tcPr>
            <w:tcW w:w="2551"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126.92</w:t>
            </w:r>
          </w:p>
        </w:tc>
        <w:tc>
          <w:tcPr>
            <w:tcW w:w="2551" w:type="dxa"/>
            <w:vAlign w:val="center"/>
          </w:tcPr>
          <w:p>
            <w:pPr>
              <w:pStyle w:val="11"/>
            </w:pPr>
            <w:r>
              <w:t>114.32</w:t>
            </w:r>
          </w:p>
        </w:tc>
        <w:tc>
          <w:tcPr>
            <w:tcW w:w="2551" w:type="dxa"/>
            <w:vAlign w:val="center"/>
          </w:tcPr>
          <w:p>
            <w:pPr>
              <w:pStyle w:val="11"/>
            </w:pPr>
            <w:r>
              <w:t>12.60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2013350</w:t>
            </w:r>
          </w:p>
        </w:tc>
        <w:tc>
          <w:tcPr>
            <w:tcW w:w="4535" w:type="dxa"/>
            <w:vAlign w:val="center"/>
          </w:tcPr>
          <w:p>
            <w:pPr>
              <w:pStyle w:val="12"/>
            </w:pPr>
            <w:r>
              <w:t>事业运行</w:t>
            </w:r>
          </w:p>
        </w:tc>
        <w:tc>
          <w:tcPr>
            <w:tcW w:w="2551" w:type="dxa"/>
            <w:vAlign w:val="center"/>
          </w:tcPr>
          <w:p>
            <w:pPr>
              <w:pStyle w:val="11"/>
            </w:pPr>
            <w:r>
              <w:t>126.92</w:t>
            </w:r>
          </w:p>
        </w:tc>
        <w:tc>
          <w:tcPr>
            <w:tcW w:w="2551" w:type="dxa"/>
            <w:vAlign w:val="center"/>
          </w:tcPr>
          <w:p>
            <w:pPr>
              <w:pStyle w:val="11"/>
            </w:pPr>
            <w:r>
              <w:t>114.32</w:t>
            </w:r>
          </w:p>
        </w:tc>
        <w:tc>
          <w:tcPr>
            <w:tcW w:w="2551" w:type="dxa"/>
            <w:vAlign w:val="center"/>
          </w:tcPr>
          <w:p>
            <w:pPr>
              <w:pStyle w:val="11"/>
            </w:pPr>
            <w:r>
              <w:t>12.60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114.32</w:t>
            </w:r>
          </w:p>
        </w:tc>
        <w:tc>
          <w:tcPr>
            <w:tcW w:w="2551" w:type="dxa"/>
            <w:vAlign w:val="center"/>
          </w:tcPr>
          <w:p>
            <w:pPr>
              <w:pStyle w:val="15"/>
            </w:pPr>
            <w:r>
              <w:t>109.27</w:t>
            </w:r>
          </w:p>
        </w:tc>
        <w:tc>
          <w:tcPr>
            <w:tcW w:w="2551" w:type="dxa"/>
            <w:vAlign w:val="center"/>
          </w:tcPr>
          <w:p>
            <w:pPr>
              <w:pStyle w:val="15"/>
            </w:pPr>
            <w:r>
              <w:t>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109.27</w:t>
            </w:r>
          </w:p>
        </w:tc>
        <w:tc>
          <w:tcPr>
            <w:tcW w:w="2551" w:type="dxa"/>
            <w:vAlign w:val="center"/>
          </w:tcPr>
          <w:p>
            <w:pPr>
              <w:pStyle w:val="11"/>
            </w:pPr>
            <w:r>
              <w:t>109.27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29.81</w:t>
            </w:r>
          </w:p>
        </w:tc>
        <w:tc>
          <w:tcPr>
            <w:tcW w:w="2551" w:type="dxa"/>
            <w:vAlign w:val="center"/>
          </w:tcPr>
          <w:p>
            <w:pPr>
              <w:pStyle w:val="11"/>
            </w:pPr>
            <w:r>
              <w:t>29.81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40.28</w:t>
            </w:r>
          </w:p>
        </w:tc>
        <w:tc>
          <w:tcPr>
            <w:tcW w:w="2551" w:type="dxa"/>
            <w:vAlign w:val="center"/>
          </w:tcPr>
          <w:p>
            <w:pPr>
              <w:pStyle w:val="11"/>
            </w:pPr>
            <w:r>
              <w:t>40.28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4.75</w:t>
            </w:r>
          </w:p>
        </w:tc>
        <w:tc>
          <w:tcPr>
            <w:tcW w:w="2551" w:type="dxa"/>
            <w:vAlign w:val="center"/>
          </w:tcPr>
          <w:p>
            <w:pPr>
              <w:pStyle w:val="11"/>
            </w:pPr>
            <w:r>
              <w:t>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3.68</w:t>
            </w:r>
          </w:p>
        </w:tc>
        <w:tc>
          <w:tcPr>
            <w:tcW w:w="2551" w:type="dxa"/>
            <w:vAlign w:val="center"/>
          </w:tcPr>
          <w:p>
            <w:pPr>
              <w:pStyle w:val="11"/>
            </w:pPr>
            <w:r>
              <w:t>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4.88</w:t>
            </w:r>
          </w:p>
        </w:tc>
        <w:tc>
          <w:tcPr>
            <w:tcW w:w="2551" w:type="dxa"/>
            <w:vAlign w:val="center"/>
          </w:tcPr>
          <w:p>
            <w:pPr>
              <w:pStyle w:val="11"/>
            </w:pPr>
            <w:r>
              <w:t>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9.25</w:t>
            </w:r>
          </w:p>
        </w:tc>
        <w:tc>
          <w:tcPr>
            <w:tcW w:w="2551" w:type="dxa"/>
            <w:vAlign w:val="center"/>
          </w:tcPr>
          <w:p>
            <w:pPr>
              <w:pStyle w:val="11"/>
            </w:pPr>
            <w:r>
              <w:t>9.25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5.05</w:t>
            </w:r>
          </w:p>
        </w:tc>
        <w:tc>
          <w:tcPr>
            <w:tcW w:w="2551" w:type="dxa"/>
            <w:vAlign w:val="center"/>
          </w:tcPr>
          <w:p>
            <w:pPr>
              <w:pStyle w:val="11"/>
            </w:pPr>
          </w:p>
        </w:tc>
        <w:tc>
          <w:tcPr>
            <w:tcW w:w="2551" w:type="dxa"/>
            <w:vAlign w:val="center"/>
          </w:tcPr>
          <w:p>
            <w:pPr>
              <w:pStyle w:val="11"/>
            </w:pPr>
            <w:r>
              <w:t>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2.80</w:t>
            </w:r>
          </w:p>
        </w:tc>
        <w:tc>
          <w:tcPr>
            <w:tcW w:w="2551" w:type="dxa"/>
            <w:vAlign w:val="center"/>
          </w:tcPr>
          <w:p>
            <w:pPr>
              <w:pStyle w:val="11"/>
            </w:pPr>
          </w:p>
        </w:tc>
        <w:tc>
          <w:tcPr>
            <w:tcW w:w="2551"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0.84</w:t>
            </w:r>
          </w:p>
        </w:tc>
        <w:tc>
          <w:tcPr>
            <w:tcW w:w="2551" w:type="dxa"/>
            <w:vAlign w:val="center"/>
          </w:tcPr>
          <w:p>
            <w:pPr>
              <w:pStyle w:val="11"/>
            </w:pPr>
          </w:p>
        </w:tc>
        <w:tc>
          <w:tcPr>
            <w:tcW w:w="2551" w:type="dxa"/>
            <w:vAlign w:val="center"/>
          </w:tcPr>
          <w:p>
            <w:pPr>
              <w:pStyle w:val="11"/>
            </w:pPr>
            <w:r>
              <w:t>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0.75</w:t>
            </w:r>
          </w:p>
        </w:tc>
        <w:tc>
          <w:tcPr>
            <w:tcW w:w="2551" w:type="dxa"/>
            <w:vAlign w:val="center"/>
          </w:tcPr>
          <w:p>
            <w:pPr>
              <w:pStyle w:val="11"/>
            </w:pPr>
          </w:p>
        </w:tc>
        <w:tc>
          <w:tcPr>
            <w:tcW w:w="2551"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0.06</w:t>
            </w:r>
          </w:p>
        </w:tc>
        <w:tc>
          <w:tcPr>
            <w:tcW w:w="2551" w:type="dxa"/>
            <w:vAlign w:val="center"/>
          </w:tcPr>
          <w:p>
            <w:pPr>
              <w:pStyle w:val="11"/>
            </w:pPr>
          </w:p>
        </w:tc>
        <w:tc>
          <w:tcPr>
            <w:tcW w:w="2551" w:type="dxa"/>
            <w:vAlign w:val="center"/>
          </w:tcPr>
          <w:p>
            <w:pPr>
              <w:pStyle w:val="11"/>
            </w:pPr>
            <w:r>
              <w:t>0.06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石家庄市藁城区梅花惨案纪念馆2024年单位预算信息公开情况说明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按照《中华人民共和国预算法》、《地方预决算公开操作规程》和《关于进一步推进预算公开工作的实施意见》规定，现将石家庄市藁城区梅花惨案纪念馆2024年单位预算公开如下：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rPr>
          <w:rFonts w:hint="eastAsia"/>
        </w:rPr>
        <w:t>推动纪念馆宣教工作，提升对外形象</w:t>
      </w:r>
      <w:r>
        <w:rPr>
          <w:rFonts w:hint="eastAsia"/>
          <w:lang w:eastAsia="zh-CN"/>
        </w:rPr>
        <w:t>。</w:t>
      </w:r>
      <w:r>
        <w:rPr>
          <w:rFonts w:hint="eastAsia"/>
        </w:rPr>
        <w:t>持续提高我馆接待能力，确保达到省级爱国主义教育基地考核目标</w:t>
      </w:r>
      <w:r>
        <w:rPr>
          <w:rFonts w:hint="eastAsia"/>
          <w:lang w:eastAsia="zh-CN"/>
        </w:rPr>
        <w:t>。</w:t>
      </w:r>
      <w:r>
        <w:rPr>
          <w:rFonts w:hint="eastAsia"/>
        </w:rPr>
        <w:t>推动纪念馆日常宣传教育工作，</w:t>
      </w:r>
      <w:r>
        <w:rPr>
          <w:rFonts w:hint="eastAsia"/>
          <w:lang w:eastAsia="zh-CN"/>
        </w:rPr>
        <w:t>确保</w:t>
      </w:r>
      <w:r>
        <w:rPr>
          <w:rFonts w:hint="eastAsia"/>
        </w:rPr>
        <w:t>接待参观人数，发放印刷宣传品，做好陈展及基地建设绿植的维护，切实维持纪念馆正常运转</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石家庄市藁城区梅花惨案纪念馆</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反映本单位当年全部收入。2024年预算收入126.92万元，其中：一般公共预算收入126.92万元，基金预算收入0万元，财政专户核拨收入0万元，其他来源收入0万元。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单位支出预算为126.92万元，其中基本支出114.32万元，包括人员经费109.27万元和日常公用经费5.05万元；项目支出12.6万元，主要为纪念馆日常运行维护费12.6万元；其他支出0万元。</w:t>
      </w:r>
    </w:p>
    <w:p>
      <w:pPr>
        <w:pStyle w:val="18"/>
      </w:pPr>
      <w:r>
        <w:t>3、比上年增减情况</w:t>
      </w:r>
    </w:p>
    <w:p>
      <w:pPr>
        <w:pStyle w:val="18"/>
      </w:pPr>
      <w:r>
        <w:t>2024年单位预算收支安排126.92万元，较2023减少16.31万元，其中：基本支出减少10.91万元，主要是人员经费减少；项目支出12.6万元；其他支较上年减少5.4万元，主要是压减项目经费。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2024年，我单位机关运行经费共计安排5.05万元，主要用于保证机关正常运转的办公及印刷费、邮电费、差旅费、福利费、专用材料及一般设备购置费、日常维修费等支出。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1、纪念馆日常运行维护费绩效目标表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13010924P00000211289N</w:t>
            </w:r>
          </w:p>
        </w:tc>
        <w:tc>
          <w:tcPr>
            <w:tcW w:w="2835" w:type="dxa"/>
            <w:vAlign w:val="center"/>
          </w:tcPr>
          <w:p>
            <w:pPr>
              <w:pStyle w:val="10"/>
            </w:pPr>
            <w:r>
              <w:t>项目名称</w:t>
            </w:r>
          </w:p>
        </w:tc>
        <w:tc>
          <w:tcPr>
            <w:tcW w:w="6094" w:type="dxa"/>
            <w:gridSpan w:val="3"/>
            <w:vAlign w:val="center"/>
          </w:tcPr>
          <w:p>
            <w:pPr>
              <w:pStyle w:val="12"/>
            </w:pPr>
            <w:r>
              <w:t>纪念馆日常运行维护费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12.60</w:t>
            </w:r>
          </w:p>
        </w:tc>
        <w:tc>
          <w:tcPr>
            <w:tcW w:w="2835" w:type="dxa"/>
            <w:vAlign w:val="center"/>
          </w:tcPr>
          <w:p>
            <w:pPr>
              <w:pStyle w:val="10"/>
            </w:pPr>
            <w:r>
              <w:t>其中：财政    资金</w:t>
            </w:r>
          </w:p>
        </w:tc>
        <w:tc>
          <w:tcPr>
            <w:tcW w:w="2551" w:type="dxa"/>
            <w:vAlign w:val="center"/>
          </w:tcPr>
          <w:p>
            <w:pPr>
              <w:pStyle w:val="12"/>
            </w:pPr>
            <w:r>
              <w:t>12.60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资金规模12.6万元，用于纪念馆场馆及周边维护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1.维护纪念馆周边损坏地方，更换纪念馆老化设施及物品，保证纪念馆日常参观正常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绿化维护面积</w:t>
            </w:r>
          </w:p>
        </w:tc>
        <w:tc>
          <w:tcPr>
            <w:tcW w:w="5386" w:type="dxa"/>
            <w:vAlign w:val="center"/>
          </w:tcPr>
          <w:p>
            <w:pPr>
              <w:pStyle w:val="12"/>
            </w:pPr>
            <w:r>
              <w:t>2024年绿化维护面积</w:t>
            </w:r>
          </w:p>
        </w:tc>
        <w:tc>
          <w:tcPr>
            <w:tcW w:w="2268" w:type="dxa"/>
            <w:vAlign w:val="center"/>
          </w:tcPr>
          <w:p>
            <w:pPr>
              <w:pStyle w:val="12"/>
            </w:pPr>
            <w:r>
              <w:t>≥500平米</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文物依法保护水平</w:t>
            </w:r>
          </w:p>
        </w:tc>
        <w:tc>
          <w:tcPr>
            <w:tcW w:w="5386" w:type="dxa"/>
            <w:vAlign w:val="center"/>
          </w:tcPr>
          <w:p>
            <w:pPr>
              <w:pStyle w:val="12"/>
            </w:pPr>
            <w:r>
              <w:t>文物依法保护水平</w:t>
            </w:r>
          </w:p>
        </w:tc>
        <w:tc>
          <w:tcPr>
            <w:tcW w:w="2268" w:type="dxa"/>
            <w:vAlign w:val="center"/>
          </w:tcPr>
          <w:p>
            <w:pPr>
              <w:pStyle w:val="12"/>
            </w:pPr>
            <w:r>
              <w:t>逐年提高</w:t>
            </w:r>
          </w:p>
        </w:tc>
        <w:tc>
          <w:tcPr>
            <w:tcW w:w="1276" w:type="dxa"/>
            <w:vAlign w:val="center"/>
          </w:tcPr>
          <w:p>
            <w:pPr>
              <w:pStyle w:val="12"/>
            </w:pPr>
            <w:r>
              <w:t>实际考察</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≥95%</w:t>
            </w:r>
          </w:p>
        </w:tc>
        <w:tc>
          <w:tcPr>
            <w:tcW w:w="1276" w:type="dxa"/>
            <w:vAlign w:val="center"/>
          </w:tcPr>
          <w:p>
            <w:pPr>
              <w:pStyle w:val="12"/>
            </w:pPr>
            <w:r>
              <w:t>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运行保障成本</w:t>
            </w:r>
          </w:p>
        </w:tc>
        <w:tc>
          <w:tcPr>
            <w:tcW w:w="2268" w:type="dxa"/>
            <w:vAlign w:val="center"/>
          </w:tcPr>
          <w:p>
            <w:pPr>
              <w:pStyle w:val="12"/>
            </w:pPr>
            <w:r>
              <w:t>12.6万元</w:t>
            </w:r>
          </w:p>
        </w:tc>
        <w:tc>
          <w:tcPr>
            <w:tcW w:w="1276" w:type="dxa"/>
            <w:vAlign w:val="center"/>
          </w:tcPr>
          <w:p>
            <w:pPr>
              <w:pStyle w:val="12"/>
            </w:pPr>
            <w:r>
              <w:t>历年经验</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提供优质服务</w:t>
            </w:r>
          </w:p>
        </w:tc>
        <w:tc>
          <w:tcPr>
            <w:tcW w:w="5386" w:type="dxa"/>
            <w:vAlign w:val="center"/>
          </w:tcPr>
          <w:p>
            <w:pPr>
              <w:pStyle w:val="12"/>
            </w:pPr>
            <w:r>
              <w:t>提供优质服务</w:t>
            </w:r>
          </w:p>
        </w:tc>
        <w:tc>
          <w:tcPr>
            <w:tcW w:w="2268" w:type="dxa"/>
            <w:vAlign w:val="center"/>
          </w:tcPr>
          <w:p>
            <w:pPr>
              <w:pStyle w:val="12"/>
            </w:pPr>
            <w:r>
              <w:t>提高纪念馆接待率，提供优质服务。</w:t>
            </w:r>
          </w:p>
        </w:tc>
        <w:tc>
          <w:tcPr>
            <w:tcW w:w="1276" w:type="dxa"/>
            <w:vAlign w:val="center"/>
          </w:tcPr>
          <w:p>
            <w:pPr>
              <w:pStyle w:val="12"/>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≥98%</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石家庄市藁城区梅花惨案纪念馆上年末固定资产金额为355.08万元（详见下表）。本年度拟购置固定资产总额为0.00万元，已按要求列入政府采购预算，详见政府采购预算表。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211003石家庄市藁城区梅花惨案纪念馆</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736</w:t>
            </w:r>
          </w:p>
        </w:tc>
        <w:tc>
          <w:tcPr>
            <w:tcW w:w="2835" w:type="dxa"/>
            <w:vAlign w:val="center"/>
          </w:tcPr>
          <w:p>
            <w:pPr>
              <w:pStyle w:val="11"/>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w:t>
            </w:r>
          </w:p>
        </w:tc>
        <w:tc>
          <w:tcPr>
            <w:tcW w:w="2835" w:type="dxa"/>
            <w:vAlign w:val="center"/>
          </w:tcPr>
          <w:p>
            <w:pPr>
              <w:pStyle w:val="11"/>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w:t>
            </w:r>
          </w:p>
        </w:tc>
        <w:tc>
          <w:tcPr>
            <w:tcW w:w="2835" w:type="dxa"/>
            <w:vAlign w:val="center"/>
          </w:tcPr>
          <w:p>
            <w:pPr>
              <w:pStyle w:val="11"/>
            </w:pPr>
            <w:r>
              <w:t>5.08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gxNzVkZmJlMDJkZDY3NjEwNTlmMDRhYWVjYTUwM2YifQ=="/>
  </w:docVars>
  <w:rsids>
    <w:rsidRoot w:val="00000000"/>
    <w:rsid w:val="0A5E5BE6"/>
    <w:rsid w:val="25216D47"/>
    <w:rsid w:val="28F2772E"/>
    <w:rsid w:val="6F3040D9"/>
    <w:rsid w:val="6F681D0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0" Type="http://schemas.openxmlformats.org/officeDocument/2006/relationships/fontTable" Target="fontTable.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2024-02-29T11:34:32Z</dcterms:created>
  <dcterms:modified xsi:type="dcterms:W3CDTF">2024-02-29T03:34:32Z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2024-02-29T11:34:32Z</dcterms:created>
  <dcterms:modified xsi:type="dcterms:W3CDTF">2024-02-29T03:34:32Z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2024-02-29T11:34:33Z</dcterms:created>
  <dcterms:modified xsi:type="dcterms:W3CDTF">2024-02-29T03:34:33Z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2024-02-29T11:34:33Z</dcterms:created>
  <dcterms:modified xsi:type="dcterms:W3CDTF">2024-02-29T03:34:33Z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2024-02-29T11:34:30Z</dcterms:created>
  <dcterms:modified xsi:type="dcterms:W3CDTF">2024-02-29T03:34:30Z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2024-02-29T11:34:34Z</dcterms:created>
  <dcterms:modified xsi:type="dcterms:W3CDTF">2024-02-29T03:34:34Z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2024-02-29T11:34:34Z</dcterms:created>
  <dcterms:modified xsi:type="dcterms:W3CDTF">2024-02-29T03:34:34Z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2024-02-29T11:34:35Z</dcterms:created>
  <dcterms:modified xsi:type="dcterms:W3CDTF">2024-02-29T03:34:35Z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2024-02-29T11:33:49Z</dcterms:created>
  <dcterms:modified xsi:type="dcterms:W3CDTF">2024-02-29T03:33:49Z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2024-02-29T11:34:36Z</dcterms:created>
  <dcterms:modified xsi:type="dcterms:W3CDTF">2024-02-29T03:34:36Z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2024-02-29T11:34:37Z</dcterms:created>
  <dcterms:modified xsi:type="dcterms:W3CDTF">2024-02-29T03:34:37Z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2024-02-29T11:34:30Z</dcterms:created>
  <dcterms:modified xsi:type="dcterms:W3CDTF">2024-02-29T03:34:30Z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2024-02-29T11:34:38Z</dcterms:created>
  <dcterms:modified xsi:type="dcterms:W3CDTF">2024-02-29T03:34:38Z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2024-02-29T11:34:39Z</dcterms:created>
  <dcterms:modified xsi:type="dcterms:W3CDTF">2024-02-29T03:34:39Z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2024-02-29T11:34:40Z</dcterms:created>
  <dcterms:modified xsi:type="dcterms:W3CDTF">2024-02-29T03:34:40Z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2024-02-29T11:34:44Z</dcterms:created>
  <dcterms:modified xsi:type="dcterms:W3CDTF">2024-02-29T03:34:44Z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2024-02-29T11:34:30Z</dcterms:created>
  <dcterms:modified xsi:type="dcterms:W3CDTF">2024-02-29T03:34:30Z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2024-02-29T11:33:44Z</dcterms:created>
  <dcterms:modified xsi:type="dcterms:W3CDTF">2024-02-29T03:33:44Z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2024-02-29T11:35:24Z</dcterms:created>
  <dcterms:modified xsi:type="dcterms:W3CDTF">2024-02-29T03:35:23Z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2024-02-29T11:35:24Z</dcterms:created>
  <dcterms:modified xsi:type="dcterms:W3CDTF">2024-02-29T03:35:24Z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2024-02-29T11:34:31Z</dcterms:created>
  <dcterms:modified xsi:type="dcterms:W3CDTF">2024-02-29T03:34:31Z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2024-02-29T11:34:31Z</dcterms:created>
  <dcterms:modified xsi:type="dcterms:W3CDTF">2024-02-29T03:34:31Z</dcterms:modified>
</cp:coreProperties>
</file>

<file path=customXml/itemProps1.xml><?xml version="1.0" encoding="utf-8"?>
<ds:datastoreItem xmlns:ds="http://schemas.openxmlformats.org/officeDocument/2006/customXml" ds:itemID="{fae96d1a-ec7a-4a64-9462-a893679f95b8}">
  <ds:schemaRefs/>
</ds:datastoreItem>
</file>

<file path=customXml/itemProps10.xml><?xml version="1.0" encoding="utf-8"?>
<ds:datastoreItem xmlns:ds="http://schemas.openxmlformats.org/officeDocument/2006/customXml" ds:itemID="{b23e39e4-f41c-43ac-9638-4f887d69fe9e}">
  <ds:schemaRefs/>
</ds:datastoreItem>
</file>

<file path=customXml/itemProps11.xml><?xml version="1.0" encoding="utf-8"?>
<ds:datastoreItem xmlns:ds="http://schemas.openxmlformats.org/officeDocument/2006/customXml" ds:itemID="{a6bdc854-4d79-4132-937f-bf0d850355ce}">
  <ds:schemaRefs/>
</ds:datastoreItem>
</file>

<file path=customXml/itemProps12.xml><?xml version="1.0" encoding="utf-8"?>
<ds:datastoreItem xmlns:ds="http://schemas.openxmlformats.org/officeDocument/2006/customXml" ds:itemID="{abbe611c-9d9d-4984-9527-dff5dcb92744}">
  <ds:schemaRefs/>
</ds:datastoreItem>
</file>

<file path=customXml/itemProps13.xml><?xml version="1.0" encoding="utf-8"?>
<ds:datastoreItem xmlns:ds="http://schemas.openxmlformats.org/officeDocument/2006/customXml" ds:itemID="{47749370-ef64-466c-ac4a-bdc47dc3b33e}">
  <ds:schemaRefs/>
</ds:datastoreItem>
</file>

<file path=customXml/itemProps14.xml><?xml version="1.0" encoding="utf-8"?>
<ds:datastoreItem xmlns:ds="http://schemas.openxmlformats.org/officeDocument/2006/customXml" ds:itemID="{e02afca5-66e8-458f-9731-102804ea4aaf}">
  <ds:schemaRefs/>
</ds:datastoreItem>
</file>

<file path=customXml/itemProps15.xml><?xml version="1.0" encoding="utf-8"?>
<ds:datastoreItem xmlns:ds="http://schemas.openxmlformats.org/officeDocument/2006/customXml" ds:itemID="{a35a3a3e-237b-4075-9cb2-87533f60ffb3}">
  <ds:schemaRefs/>
</ds:datastoreItem>
</file>

<file path=customXml/itemProps16.xml><?xml version="1.0" encoding="utf-8"?>
<ds:datastoreItem xmlns:ds="http://schemas.openxmlformats.org/officeDocument/2006/customXml" ds:itemID="{0a79e930-2f4c-4db7-b504-115a9551a215}">
  <ds:schemaRefs/>
</ds:datastoreItem>
</file>

<file path=customXml/itemProps17.xml><?xml version="1.0" encoding="utf-8"?>
<ds:datastoreItem xmlns:ds="http://schemas.openxmlformats.org/officeDocument/2006/customXml" ds:itemID="{8ce3e367-57fd-4b46-974d-a15b9d2f8be4}">
  <ds:schemaRefs/>
</ds:datastoreItem>
</file>

<file path=customXml/itemProps18.xml><?xml version="1.0" encoding="utf-8"?>
<ds:datastoreItem xmlns:ds="http://schemas.openxmlformats.org/officeDocument/2006/customXml" ds:itemID="{79c2f5a7-254d-49e8-9a61-95c13c01f118}">
  <ds:schemaRefs/>
</ds:datastoreItem>
</file>

<file path=customXml/itemProps19.xml><?xml version="1.0" encoding="utf-8"?>
<ds:datastoreItem xmlns:ds="http://schemas.openxmlformats.org/officeDocument/2006/customXml" ds:itemID="{52200685-a49a-47ca-a392-2f43de14b62f}">
  <ds:schemaRefs/>
</ds:datastoreItem>
</file>

<file path=customXml/itemProps2.xml><?xml version="1.0" encoding="utf-8"?>
<ds:datastoreItem xmlns:ds="http://schemas.openxmlformats.org/officeDocument/2006/customXml" ds:itemID="{3679ad8c-2702-4f3c-aef4-2117c13709df}">
  <ds:schemaRefs/>
</ds:datastoreItem>
</file>

<file path=customXml/itemProps20.xml><?xml version="1.0" encoding="utf-8"?>
<ds:datastoreItem xmlns:ds="http://schemas.openxmlformats.org/officeDocument/2006/customXml" ds:itemID="{c9a2e4e8-d6ec-4aa5-b1f4-34b6d5186fee}">
  <ds:schemaRefs/>
</ds:datastoreItem>
</file>

<file path=customXml/itemProps21.xml><?xml version="1.0" encoding="utf-8"?>
<ds:datastoreItem xmlns:ds="http://schemas.openxmlformats.org/officeDocument/2006/customXml" ds:itemID="{a2ccbbcb-3bb8-4b67-8f46-ed9c5c4efe91}">
  <ds:schemaRefs/>
</ds:datastoreItem>
</file>

<file path=customXml/itemProps22.xml><?xml version="1.0" encoding="utf-8"?>
<ds:datastoreItem xmlns:ds="http://schemas.openxmlformats.org/officeDocument/2006/customXml" ds:itemID="{dcfecd3d-489a-445d-97d8-86bef72741a9}">
  <ds:schemaRefs/>
</ds:datastoreItem>
</file>

<file path=customXml/itemProps23.xml><?xml version="1.0" encoding="utf-8"?>
<ds:datastoreItem xmlns:ds="http://schemas.openxmlformats.org/officeDocument/2006/customXml" ds:itemID="{ce08ca2b-b2cf-47a2-92db-6b2eee8338a7}">
  <ds:schemaRefs/>
</ds:datastoreItem>
</file>

<file path=customXml/itemProps24.xml><?xml version="1.0" encoding="utf-8"?>
<ds:datastoreItem xmlns:ds="http://schemas.openxmlformats.org/officeDocument/2006/customXml" ds:itemID="{c0cb7111-b8fb-4e1f-a8dd-4ba88e515cd9}">
  <ds:schemaRefs/>
</ds:datastoreItem>
</file>

<file path=customXml/itemProps25.xml><?xml version="1.0" encoding="utf-8"?>
<ds:datastoreItem xmlns:ds="http://schemas.openxmlformats.org/officeDocument/2006/customXml" ds:itemID="{9c209387-a314-4077-b6f7-1f3ce2d29de0}">
  <ds:schemaRefs/>
</ds:datastoreItem>
</file>

<file path=customXml/itemProps26.xml><?xml version="1.0" encoding="utf-8"?>
<ds:datastoreItem xmlns:ds="http://schemas.openxmlformats.org/officeDocument/2006/customXml" ds:itemID="{48cf997c-6c7d-4826-a8e8-2700c185121a}">
  <ds:schemaRefs/>
</ds:datastoreItem>
</file>

<file path=customXml/itemProps27.xml><?xml version="1.0" encoding="utf-8"?>
<ds:datastoreItem xmlns:ds="http://schemas.openxmlformats.org/officeDocument/2006/customXml" ds:itemID="{9a28c355-637e-46b7-b323-b547985d3c8c}">
  <ds:schemaRefs/>
</ds:datastoreItem>
</file>

<file path=customXml/itemProps28.xml><?xml version="1.0" encoding="utf-8"?>
<ds:datastoreItem xmlns:ds="http://schemas.openxmlformats.org/officeDocument/2006/customXml" ds:itemID="{e331e4d1-b833-4b31-ada3-e2c2de6921b6}">
  <ds:schemaRefs/>
</ds:datastoreItem>
</file>

<file path=customXml/itemProps29.xml><?xml version="1.0" encoding="utf-8"?>
<ds:datastoreItem xmlns:ds="http://schemas.openxmlformats.org/officeDocument/2006/customXml" ds:itemID="{1bd2364e-3a05-43ba-b2fc-54bca58762bb}">
  <ds:schemaRefs/>
</ds:datastoreItem>
</file>

<file path=customXml/itemProps3.xml><?xml version="1.0" encoding="utf-8"?>
<ds:datastoreItem xmlns:ds="http://schemas.openxmlformats.org/officeDocument/2006/customXml" ds:itemID="{b9983df2-2233-4a26-ba10-7536fa2f5488}">
  <ds:schemaRefs/>
</ds:datastoreItem>
</file>

<file path=customXml/itemProps30.xml><?xml version="1.0" encoding="utf-8"?>
<ds:datastoreItem xmlns:ds="http://schemas.openxmlformats.org/officeDocument/2006/customXml" ds:itemID="{36cdf69e-5c2e-4f3b-96c1-72df757c9908}">
  <ds:schemaRefs/>
</ds:datastoreItem>
</file>

<file path=customXml/itemProps31.xml><?xml version="1.0" encoding="utf-8"?>
<ds:datastoreItem xmlns:ds="http://schemas.openxmlformats.org/officeDocument/2006/customXml" ds:itemID="{39cc5c40-e694-4e05-84ba-cfb4764bca57}">
  <ds:schemaRefs/>
</ds:datastoreItem>
</file>

<file path=customXml/itemProps32.xml><?xml version="1.0" encoding="utf-8"?>
<ds:datastoreItem xmlns:ds="http://schemas.openxmlformats.org/officeDocument/2006/customXml" ds:itemID="{32899eba-183f-42de-856f-90d88572555b}">
  <ds:schemaRefs/>
</ds:datastoreItem>
</file>

<file path=customXml/itemProps33.xml><?xml version="1.0" encoding="utf-8"?>
<ds:datastoreItem xmlns:ds="http://schemas.openxmlformats.org/officeDocument/2006/customXml" ds:itemID="{efd00de8-6e0d-4f6f-9f71-89c8e583a833}">
  <ds:schemaRefs/>
</ds:datastoreItem>
</file>

<file path=customXml/itemProps34.xml><?xml version="1.0" encoding="utf-8"?>
<ds:datastoreItem xmlns:ds="http://schemas.openxmlformats.org/officeDocument/2006/customXml" ds:itemID="{e984674c-2ef3-4c4c-ab7a-195c04e25892}">
  <ds:schemaRefs/>
</ds:datastoreItem>
</file>

<file path=customXml/itemProps35.xml><?xml version="1.0" encoding="utf-8"?>
<ds:datastoreItem xmlns:ds="http://schemas.openxmlformats.org/officeDocument/2006/customXml" ds:itemID="{c40f76da-15ec-4a27-8680-4f2eeb48a27b}">
  <ds:schemaRefs/>
</ds:datastoreItem>
</file>

<file path=customXml/itemProps36.xml><?xml version="1.0" encoding="utf-8"?>
<ds:datastoreItem xmlns:ds="http://schemas.openxmlformats.org/officeDocument/2006/customXml" ds:itemID="{6ed78ecf-f1b2-4f80-a096-ef3ad561dc3a}">
  <ds:schemaRefs/>
</ds:datastoreItem>
</file>

<file path=customXml/itemProps37.xml><?xml version="1.0" encoding="utf-8"?>
<ds:datastoreItem xmlns:ds="http://schemas.openxmlformats.org/officeDocument/2006/customXml" ds:itemID="{d75c765d-d3da-4652-9886-0e2ede0c181e}">
  <ds:schemaRefs/>
</ds:datastoreItem>
</file>

<file path=customXml/itemProps38.xml><?xml version="1.0" encoding="utf-8"?>
<ds:datastoreItem xmlns:ds="http://schemas.openxmlformats.org/officeDocument/2006/customXml" ds:itemID="{12b67159-9824-4f2d-92ce-f07f2e86a4d6}">
  <ds:schemaRefs/>
</ds:datastoreItem>
</file>

<file path=customXml/itemProps39.xml><?xml version="1.0" encoding="utf-8"?>
<ds:datastoreItem xmlns:ds="http://schemas.openxmlformats.org/officeDocument/2006/customXml" ds:itemID="{d40cdb7e-9c30-46c9-93cb-53ea16c54201}">
  <ds:schemaRefs/>
</ds:datastoreItem>
</file>

<file path=customXml/itemProps4.xml><?xml version="1.0" encoding="utf-8"?>
<ds:datastoreItem xmlns:ds="http://schemas.openxmlformats.org/officeDocument/2006/customXml" ds:itemID="{9559e0b1-a1da-434e-82db-453bcc767c65}">
  <ds:schemaRefs/>
</ds:datastoreItem>
</file>

<file path=customXml/itemProps40.xml><?xml version="1.0" encoding="utf-8"?>
<ds:datastoreItem xmlns:ds="http://schemas.openxmlformats.org/officeDocument/2006/customXml" ds:itemID="{ce533a49-aebd-4734-820c-6e5554ba9d3b}">
  <ds:schemaRefs/>
</ds:datastoreItem>
</file>

<file path=customXml/itemProps41.xml><?xml version="1.0" encoding="utf-8"?>
<ds:datastoreItem xmlns:ds="http://schemas.openxmlformats.org/officeDocument/2006/customXml" ds:itemID="{1c654592-39b1-41d9-b9b7-d2fdb4ea88ea}">
  <ds:schemaRefs/>
</ds:datastoreItem>
</file>

<file path=customXml/itemProps42.xml><?xml version="1.0" encoding="utf-8"?>
<ds:datastoreItem xmlns:ds="http://schemas.openxmlformats.org/officeDocument/2006/customXml" ds:itemID="{1f60a81c-fea3-4365-912d-74eb76d25c0f}">
  <ds:schemaRefs/>
</ds:datastoreItem>
</file>

<file path=customXml/itemProps43.xml><?xml version="1.0" encoding="utf-8"?>
<ds:datastoreItem xmlns:ds="http://schemas.openxmlformats.org/officeDocument/2006/customXml" ds:itemID="{c10649a3-fa2d-4a65-8901-a3ef0c3419e4}">
  <ds:schemaRefs/>
</ds:datastoreItem>
</file>

<file path=customXml/itemProps44.xml><?xml version="1.0" encoding="utf-8"?>
<ds:datastoreItem xmlns:ds="http://schemas.openxmlformats.org/officeDocument/2006/customXml" ds:itemID="{aee30b78-a60f-49db-bd10-e6816aa955a5}">
  <ds:schemaRefs/>
</ds:datastoreItem>
</file>

<file path=customXml/itemProps45.xml><?xml version="1.0" encoding="utf-8"?>
<ds:datastoreItem xmlns:ds="http://schemas.openxmlformats.org/officeDocument/2006/customXml" ds:itemID="{e3568376-5821-44a6-80df-6ed198dc0a82}">
  <ds:schemaRefs/>
</ds:datastoreItem>
</file>

<file path=customXml/itemProps46.xml><?xml version="1.0" encoding="utf-8"?>
<ds:datastoreItem xmlns:ds="http://schemas.openxmlformats.org/officeDocument/2006/customXml" ds:itemID="{a9b5b880-ec40-4349-b6e2-6158ba897058}">
  <ds:schemaRefs/>
</ds:datastoreItem>
</file>

<file path=customXml/itemProps47.xml><?xml version="1.0" encoding="utf-8"?>
<ds:datastoreItem xmlns:ds="http://schemas.openxmlformats.org/officeDocument/2006/customXml" ds:itemID="{127fc67f-313e-4221-aec1-17a1fb41474a}">
  <ds:schemaRefs/>
</ds:datastoreItem>
</file>

<file path=customXml/itemProps48.xml><?xml version="1.0" encoding="utf-8"?>
<ds:datastoreItem xmlns:ds="http://schemas.openxmlformats.org/officeDocument/2006/customXml" ds:itemID="{5d84261b-8189-4444-838d-ec072780d83e}">
  <ds:schemaRefs/>
</ds:datastoreItem>
</file>

<file path=customXml/itemProps49.xml><?xml version="1.0" encoding="utf-8"?>
<ds:datastoreItem xmlns:ds="http://schemas.openxmlformats.org/officeDocument/2006/customXml" ds:itemID="{ab7b5c7d-b6ea-4735-ba3a-6cf132d3eeae}">
  <ds:schemaRefs/>
</ds:datastoreItem>
</file>

<file path=customXml/itemProps5.xml><?xml version="1.0" encoding="utf-8"?>
<ds:datastoreItem xmlns:ds="http://schemas.openxmlformats.org/officeDocument/2006/customXml" ds:itemID="{76c23b5d-a407-4891-93e0-f72a0ce9365b}">
  <ds:schemaRefs/>
</ds:datastoreItem>
</file>

<file path=customXml/itemProps50.xml><?xml version="1.0" encoding="utf-8"?>
<ds:datastoreItem xmlns:ds="http://schemas.openxmlformats.org/officeDocument/2006/customXml" ds:itemID="{370b97cc-05af-4aa1-8502-3e2f06db2446}">
  <ds:schemaRefs/>
</ds:datastoreItem>
</file>

<file path=customXml/itemProps51.xml><?xml version="1.0" encoding="utf-8"?>
<ds:datastoreItem xmlns:ds="http://schemas.openxmlformats.org/officeDocument/2006/customXml" ds:itemID="{75c488c5-135b-4db0-83f8-37c8d0ff2f26}">
  <ds:schemaRefs/>
</ds:datastoreItem>
</file>

<file path=customXml/itemProps52.xml><?xml version="1.0" encoding="utf-8"?>
<ds:datastoreItem xmlns:ds="http://schemas.openxmlformats.org/officeDocument/2006/customXml" ds:itemID="{376a54ae-0203-4b88-b719-1f53d4ad7f39}">
  <ds:schemaRefs/>
</ds:datastoreItem>
</file>

<file path=customXml/itemProps53.xml><?xml version="1.0" encoding="utf-8"?>
<ds:datastoreItem xmlns:ds="http://schemas.openxmlformats.org/officeDocument/2006/customXml" ds:itemID="{4cb6dc25-73f4-4e4d-af12-fdfa041db987}">
  <ds:schemaRefs/>
</ds:datastoreItem>
</file>

<file path=customXml/itemProps54.xml><?xml version="1.0" encoding="utf-8"?>
<ds:datastoreItem xmlns:ds="http://schemas.openxmlformats.org/officeDocument/2006/customXml" ds:itemID="{e57b2be2-b16d-47e9-a219-a2b1efccb690}">
  <ds:schemaRefs/>
</ds:datastoreItem>
</file>

<file path=customXml/itemProps6.xml><?xml version="1.0" encoding="utf-8"?>
<ds:datastoreItem xmlns:ds="http://schemas.openxmlformats.org/officeDocument/2006/customXml" ds:itemID="{bff05d8b-a12b-4bf3-a1a7-ebb9ece908a9}">
  <ds:schemaRefs/>
</ds:datastoreItem>
</file>

<file path=customXml/itemProps7.xml><?xml version="1.0" encoding="utf-8"?>
<ds:datastoreItem xmlns:ds="http://schemas.openxmlformats.org/officeDocument/2006/customXml" ds:itemID="{b1032ac7-44d1-4aa6-90da-b2d0bf763522}">
  <ds:schemaRefs/>
</ds:datastoreItem>
</file>

<file path=customXml/itemProps8.xml><?xml version="1.0" encoding="utf-8"?>
<ds:datastoreItem xmlns:ds="http://schemas.openxmlformats.org/officeDocument/2006/customXml" ds:itemID="{2c4dcef3-fdb2-4e47-98ca-f4a0cb6848bb}">
  <ds:schemaRefs/>
</ds:datastoreItem>
</file>

<file path=customXml/itemProps9.xml><?xml version="1.0" encoding="utf-8"?>
<ds:datastoreItem xmlns:ds="http://schemas.openxmlformats.org/officeDocument/2006/customXml" ds:itemID="{30a9530e-a0d1-43cd-9993-fa3bc361be33}">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2024-02-29T11:35:00Z</dcterms:created>
  <dc:creator>Administrator</dc:creator>
  <cp:lastModifiedBy>Candise·聪·</cp:lastModifiedBy>
  <dcterms:modified xsi:type="dcterms:W3CDTF">2024-03-01T07:18:05Z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59DDCDFA0DE349CD8079DB5030BDDCB4_12</vt:lpwstr>
  </property>
</Properties>
</file>