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一、石家庄市藁城区常安镇人民政府本级收支预算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一、石家庄市藁城区常安镇人民政府本级收支预算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1405.42</w:t>
            </w:r>
          </w:p>
        </w:tc>
        <w:tc>
          <w:tcPr>
            <w:tcW w:w="4535" w:type="dxa"/>
            <w:vAlign w:val="center"/>
          </w:tcPr>
          <w:p>
            <w:pPr>
              <w:pStyle w:val="12"/>
            </w:pPr>
            <w:r>
              <w:t>一、一般公共服务支出</w:t>
            </w:r>
          </w:p>
        </w:tc>
        <w:tc>
          <w:tcPr>
            <w:tcW w:w="2126" w:type="dxa"/>
            <w:vAlign w:val="center"/>
          </w:tcPr>
          <w:p>
            <w:pPr>
              <w:pStyle w:val="11"/>
            </w:pPr>
            <w:r>
              <w:t>1360.45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1405.42</w:t>
            </w:r>
          </w:p>
        </w:tc>
        <w:tc>
          <w:tcPr>
            <w:tcW w:w="4535" w:type="dxa"/>
            <w:vAlign w:val="center"/>
          </w:tcPr>
          <w:p>
            <w:pPr>
              <w:pStyle w:val="14"/>
            </w:pPr>
            <w:r>
              <w:t>本年支出合计</w:t>
            </w:r>
          </w:p>
        </w:tc>
        <w:tc>
          <w:tcPr>
            <w:tcW w:w="2126" w:type="dxa"/>
            <w:vAlign w:val="center"/>
          </w:tcPr>
          <w:p>
            <w:pPr>
              <w:pStyle w:val="15"/>
            </w:pPr>
            <w:r>
              <w:t>1405.42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1405.42</w:t>
            </w:r>
          </w:p>
        </w:tc>
        <w:tc>
          <w:tcPr>
            <w:tcW w:w="4535" w:type="dxa"/>
            <w:vAlign w:val="center"/>
          </w:tcPr>
          <w:p>
            <w:pPr>
              <w:pStyle w:val="14"/>
            </w:pPr>
            <w:r>
              <w:t>支出总计</w:t>
            </w:r>
          </w:p>
        </w:tc>
        <w:tc>
          <w:tcPr>
            <w:tcW w:w="2126" w:type="dxa"/>
            <w:vAlign w:val="center"/>
          </w:tcPr>
          <w:p>
            <w:pPr>
              <w:pStyle w:val="15"/>
            </w:pPr>
            <w:r>
              <w:t>1405.42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1405.42</w:t>
            </w:r>
          </w:p>
        </w:tc>
        <w:tc>
          <w:tcPr>
            <w:tcW w:w="1134" w:type="dxa"/>
            <w:vAlign w:val="center"/>
          </w:tcPr>
          <w:p>
            <w:pPr>
              <w:pStyle w:val="15"/>
            </w:pPr>
            <w:r>
              <w:t>1405.42</w:t>
            </w:r>
          </w:p>
        </w:tc>
        <w:tc>
          <w:tcPr>
            <w:tcW w:w="1134" w:type="dxa"/>
            <w:vAlign w:val="center"/>
          </w:tcPr>
          <w:p>
            <w:pPr>
              <w:pStyle w:val="15"/>
            </w:pPr>
            <w:r>
              <w:t>1405.42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1360.45</w:t>
            </w:r>
          </w:p>
        </w:tc>
        <w:tc>
          <w:tcPr>
            <w:tcW w:w="1134" w:type="dxa"/>
            <w:vAlign w:val="center"/>
          </w:tcPr>
          <w:p>
            <w:pPr>
              <w:pStyle w:val="11"/>
            </w:pPr>
            <w:r>
              <w:t>1360.45</w:t>
            </w:r>
          </w:p>
        </w:tc>
        <w:tc>
          <w:tcPr>
            <w:tcW w:w="1134" w:type="dxa"/>
            <w:vAlign w:val="center"/>
          </w:tcPr>
          <w:p>
            <w:pPr>
              <w:pStyle w:val="11"/>
            </w:pPr>
            <w:r>
              <w:t>1360.45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1360.45</w:t>
            </w:r>
          </w:p>
        </w:tc>
        <w:tc>
          <w:tcPr>
            <w:tcW w:w="1134" w:type="dxa"/>
            <w:vAlign w:val="center"/>
          </w:tcPr>
          <w:p>
            <w:pPr>
              <w:pStyle w:val="11"/>
            </w:pPr>
            <w:r>
              <w:t>1360.45</w:t>
            </w:r>
          </w:p>
        </w:tc>
        <w:tc>
          <w:tcPr>
            <w:tcW w:w="1134" w:type="dxa"/>
            <w:vAlign w:val="center"/>
          </w:tcPr>
          <w:p>
            <w:pPr>
              <w:pStyle w:val="11"/>
            </w:pPr>
            <w:r>
              <w:t>1360.45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1181.57</w:t>
            </w:r>
          </w:p>
        </w:tc>
        <w:tc>
          <w:tcPr>
            <w:tcW w:w="1134" w:type="dxa"/>
            <w:vAlign w:val="center"/>
          </w:tcPr>
          <w:p>
            <w:pPr>
              <w:pStyle w:val="11"/>
            </w:pPr>
            <w:r>
              <w:t>1181.57</w:t>
            </w:r>
          </w:p>
        </w:tc>
        <w:tc>
          <w:tcPr>
            <w:tcW w:w="1134" w:type="dxa"/>
            <w:vAlign w:val="center"/>
          </w:tcPr>
          <w:p>
            <w:pPr>
              <w:pStyle w:val="11"/>
            </w:pPr>
            <w:r>
              <w:t>1181.57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178.88</w:t>
            </w:r>
          </w:p>
        </w:tc>
        <w:tc>
          <w:tcPr>
            <w:tcW w:w="1134" w:type="dxa"/>
            <w:vAlign w:val="center"/>
          </w:tcPr>
          <w:p>
            <w:pPr>
              <w:pStyle w:val="11"/>
            </w:pPr>
            <w:r>
              <w:t>178.88</w:t>
            </w:r>
          </w:p>
        </w:tc>
        <w:tc>
          <w:tcPr>
            <w:tcW w:w="1134" w:type="dxa"/>
            <w:vAlign w:val="center"/>
          </w:tcPr>
          <w:p>
            <w:pPr>
              <w:pStyle w:val="11"/>
            </w:pPr>
            <w:r>
              <w:t>178.88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1.97</w:t>
            </w:r>
          </w:p>
        </w:tc>
        <w:tc>
          <w:tcPr>
            <w:tcW w:w="1134" w:type="dxa"/>
            <w:vAlign w:val="center"/>
          </w:tcPr>
          <w:p>
            <w:pPr>
              <w:pStyle w:val="11"/>
            </w:pPr>
            <w:r>
              <w:t>1.97</w:t>
            </w:r>
          </w:p>
        </w:tc>
        <w:tc>
          <w:tcPr>
            <w:tcW w:w="1134" w:type="dxa"/>
            <w:vAlign w:val="center"/>
          </w:tcPr>
          <w:p>
            <w:pPr>
              <w:pStyle w:val="11"/>
            </w:pPr>
            <w:r>
              <w:t>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1.97</w:t>
            </w:r>
          </w:p>
        </w:tc>
        <w:tc>
          <w:tcPr>
            <w:tcW w:w="1134" w:type="dxa"/>
            <w:vAlign w:val="center"/>
          </w:tcPr>
          <w:p>
            <w:pPr>
              <w:pStyle w:val="11"/>
            </w:pPr>
            <w:r>
              <w:t>1.97</w:t>
            </w:r>
          </w:p>
        </w:tc>
        <w:tc>
          <w:tcPr>
            <w:tcW w:w="1134" w:type="dxa"/>
            <w:vAlign w:val="center"/>
          </w:tcPr>
          <w:p>
            <w:pPr>
              <w:pStyle w:val="11"/>
            </w:pPr>
            <w:r>
              <w:t>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1"/>
            </w:pPr>
            <w:r>
              <w:t>1.97</w:t>
            </w:r>
          </w:p>
        </w:tc>
        <w:tc>
          <w:tcPr>
            <w:tcW w:w="1134" w:type="dxa"/>
            <w:vAlign w:val="center"/>
          </w:tcPr>
          <w:p>
            <w:pPr>
              <w:pStyle w:val="11"/>
            </w:pPr>
            <w:r>
              <w:t>1.97</w:t>
            </w:r>
          </w:p>
        </w:tc>
        <w:tc>
          <w:tcPr>
            <w:tcW w:w="1134" w:type="dxa"/>
            <w:vAlign w:val="center"/>
          </w:tcPr>
          <w:p>
            <w:pPr>
              <w:pStyle w:val="11"/>
            </w:pPr>
            <w:r>
              <w:t>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1405.42</w:t>
            </w:r>
          </w:p>
        </w:tc>
        <w:tc>
          <w:tcPr>
            <w:tcW w:w="1361" w:type="dxa"/>
            <w:vAlign w:val="center"/>
          </w:tcPr>
          <w:p>
            <w:pPr>
              <w:pStyle w:val="15"/>
            </w:pPr>
            <w:r>
              <w:t>1181.57</w:t>
            </w:r>
          </w:p>
        </w:tc>
        <w:tc>
          <w:tcPr>
            <w:tcW w:w="1361" w:type="dxa"/>
            <w:vAlign w:val="center"/>
          </w:tcPr>
          <w:p>
            <w:pPr>
              <w:pStyle w:val="15"/>
            </w:pPr>
            <w:r>
              <w:t>223.85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1360.45</w:t>
            </w:r>
          </w:p>
        </w:tc>
        <w:tc>
          <w:tcPr>
            <w:tcW w:w="1361" w:type="dxa"/>
            <w:vAlign w:val="center"/>
          </w:tcPr>
          <w:p>
            <w:pPr>
              <w:pStyle w:val="11"/>
            </w:pPr>
            <w:r>
              <w:t>1181.57</w:t>
            </w:r>
          </w:p>
        </w:tc>
        <w:tc>
          <w:tcPr>
            <w:tcW w:w="1361" w:type="dxa"/>
            <w:vAlign w:val="center"/>
          </w:tcPr>
          <w:p>
            <w:pPr>
              <w:pStyle w:val="11"/>
            </w:pPr>
            <w:r>
              <w:t>178.88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1360.45</w:t>
            </w:r>
          </w:p>
        </w:tc>
        <w:tc>
          <w:tcPr>
            <w:tcW w:w="1361" w:type="dxa"/>
            <w:vAlign w:val="center"/>
          </w:tcPr>
          <w:p>
            <w:pPr>
              <w:pStyle w:val="11"/>
            </w:pPr>
            <w:r>
              <w:t>1181.57</w:t>
            </w:r>
          </w:p>
        </w:tc>
        <w:tc>
          <w:tcPr>
            <w:tcW w:w="1361" w:type="dxa"/>
            <w:vAlign w:val="center"/>
          </w:tcPr>
          <w:p>
            <w:pPr>
              <w:pStyle w:val="11"/>
            </w:pPr>
            <w:r>
              <w:t>178.88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1181.57</w:t>
            </w:r>
          </w:p>
        </w:tc>
        <w:tc>
          <w:tcPr>
            <w:tcW w:w="1361" w:type="dxa"/>
            <w:vAlign w:val="center"/>
          </w:tcPr>
          <w:p>
            <w:pPr>
              <w:pStyle w:val="11"/>
            </w:pPr>
            <w:r>
              <w:t>1181.57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178.88</w:t>
            </w:r>
          </w:p>
        </w:tc>
        <w:tc>
          <w:tcPr>
            <w:tcW w:w="1361" w:type="dxa"/>
            <w:vAlign w:val="center"/>
          </w:tcPr>
          <w:p>
            <w:pPr>
              <w:pStyle w:val="11"/>
            </w:pPr>
          </w:p>
        </w:tc>
        <w:tc>
          <w:tcPr>
            <w:tcW w:w="1361" w:type="dxa"/>
            <w:vAlign w:val="center"/>
          </w:tcPr>
          <w:p>
            <w:pPr>
              <w:pStyle w:val="11"/>
            </w:pPr>
            <w:r>
              <w:t>178.88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2080806</w:t>
            </w:r>
          </w:p>
        </w:tc>
        <w:tc>
          <w:tcPr>
            <w:tcW w:w="4535" w:type="dxa"/>
            <w:vAlign w:val="center"/>
          </w:tcPr>
          <w:p>
            <w:pPr>
              <w:pStyle w:val="12"/>
            </w:pPr>
            <w:r>
              <w:t>农村籍退役士兵老年生活补助</w:t>
            </w: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1405.42</w:t>
            </w:r>
          </w:p>
        </w:tc>
        <w:tc>
          <w:tcPr>
            <w:tcW w:w="3402" w:type="dxa"/>
            <w:vAlign w:val="center"/>
          </w:tcPr>
          <w:p>
            <w:pPr>
              <w:pStyle w:val="12"/>
            </w:pPr>
            <w:r>
              <w:t>一、一般公共服务支出</w:t>
            </w:r>
          </w:p>
        </w:tc>
        <w:tc>
          <w:tcPr>
            <w:tcW w:w="1474" w:type="dxa"/>
            <w:vAlign w:val="center"/>
          </w:tcPr>
          <w:p>
            <w:pPr>
              <w:pStyle w:val="11"/>
            </w:pPr>
            <w:r>
              <w:t>1360.45</w:t>
            </w:r>
          </w:p>
        </w:tc>
        <w:tc>
          <w:tcPr>
            <w:tcW w:w="1474" w:type="dxa"/>
            <w:vAlign w:val="center"/>
          </w:tcPr>
          <w:p>
            <w:pPr>
              <w:pStyle w:val="11"/>
            </w:pPr>
            <w:r>
              <w:t>1360.45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17.28</w:t>
            </w:r>
          </w:p>
        </w:tc>
        <w:tc>
          <w:tcPr>
            <w:tcW w:w="1474" w:type="dxa"/>
            <w:vAlign w:val="center"/>
          </w:tcPr>
          <w:p>
            <w:pPr>
              <w:pStyle w:val="11"/>
            </w:pPr>
            <w:r>
              <w:t>17.28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1.97</w:t>
            </w:r>
          </w:p>
        </w:tc>
        <w:tc>
          <w:tcPr>
            <w:tcW w:w="1474" w:type="dxa"/>
            <w:vAlign w:val="center"/>
          </w:tcPr>
          <w:p>
            <w:pPr>
              <w:pStyle w:val="11"/>
            </w:pPr>
            <w:r>
              <w:t>1.97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w:t>
            </w:r>
          </w:p>
        </w:tc>
        <w:tc>
          <w:tcPr>
            <w:tcW w:w="1474" w:type="dxa"/>
            <w:vAlign w:val="center"/>
          </w:tcPr>
          <w:p>
            <w:pPr>
              <w:pStyle w:val="11"/>
            </w:pPr>
            <w:r>
              <w:t>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22.72</w:t>
            </w:r>
          </w:p>
        </w:tc>
        <w:tc>
          <w:tcPr>
            <w:tcW w:w="1474" w:type="dxa"/>
            <w:vAlign w:val="center"/>
          </w:tcPr>
          <w:p>
            <w:pPr>
              <w:pStyle w:val="11"/>
            </w:pPr>
            <w:r>
              <w:t>22.72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1405.42</w:t>
            </w:r>
          </w:p>
        </w:tc>
        <w:tc>
          <w:tcPr>
            <w:tcW w:w="3402" w:type="dxa"/>
            <w:vAlign w:val="center"/>
          </w:tcPr>
          <w:p>
            <w:pPr>
              <w:pStyle w:val="14"/>
            </w:pPr>
            <w:r>
              <w:t>本年支出合计</w:t>
            </w:r>
          </w:p>
        </w:tc>
        <w:tc>
          <w:tcPr>
            <w:tcW w:w="1474" w:type="dxa"/>
            <w:vAlign w:val="center"/>
          </w:tcPr>
          <w:p>
            <w:pPr>
              <w:pStyle w:val="15"/>
            </w:pPr>
            <w:r>
              <w:t>1405.42</w:t>
            </w:r>
          </w:p>
        </w:tc>
        <w:tc>
          <w:tcPr>
            <w:tcW w:w="1474" w:type="dxa"/>
            <w:vAlign w:val="center"/>
          </w:tcPr>
          <w:p>
            <w:pPr>
              <w:pStyle w:val="15"/>
            </w:pPr>
            <w:r>
              <w:t>1405.42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1405.42</w:t>
            </w:r>
          </w:p>
        </w:tc>
        <w:tc>
          <w:tcPr>
            <w:tcW w:w="3402" w:type="dxa"/>
            <w:vAlign w:val="center"/>
          </w:tcPr>
          <w:p>
            <w:pPr>
              <w:pStyle w:val="14"/>
            </w:pPr>
            <w:r>
              <w:t>支出总计</w:t>
            </w:r>
          </w:p>
        </w:tc>
        <w:tc>
          <w:tcPr>
            <w:tcW w:w="1474" w:type="dxa"/>
            <w:vAlign w:val="center"/>
          </w:tcPr>
          <w:p>
            <w:pPr>
              <w:pStyle w:val="15"/>
            </w:pPr>
            <w:r>
              <w:t>1405.42</w:t>
            </w:r>
          </w:p>
        </w:tc>
        <w:tc>
          <w:tcPr>
            <w:tcW w:w="1474" w:type="dxa"/>
            <w:vAlign w:val="center"/>
          </w:tcPr>
          <w:p>
            <w:pPr>
              <w:pStyle w:val="15"/>
            </w:pPr>
            <w:r>
              <w:t>1405.42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1405.42</w:t>
            </w:r>
          </w:p>
        </w:tc>
        <w:tc>
          <w:tcPr>
            <w:tcW w:w="2551" w:type="dxa"/>
            <w:vAlign w:val="center"/>
          </w:tcPr>
          <w:p>
            <w:pPr>
              <w:pStyle w:val="15"/>
            </w:pPr>
            <w:r>
              <w:t>1181.57</w:t>
            </w:r>
          </w:p>
        </w:tc>
        <w:tc>
          <w:tcPr>
            <w:tcW w:w="2551" w:type="dxa"/>
            <w:vAlign w:val="center"/>
          </w:tcPr>
          <w:p>
            <w:pPr>
              <w:pStyle w:val="15"/>
            </w:pPr>
            <w:r>
              <w:t>223.85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1360.45</w:t>
            </w:r>
          </w:p>
        </w:tc>
        <w:tc>
          <w:tcPr>
            <w:tcW w:w="2551" w:type="dxa"/>
            <w:vAlign w:val="center"/>
          </w:tcPr>
          <w:p>
            <w:pPr>
              <w:pStyle w:val="11"/>
            </w:pPr>
            <w:r>
              <w:t>1181.57</w:t>
            </w:r>
          </w:p>
        </w:tc>
        <w:tc>
          <w:tcPr>
            <w:tcW w:w="2551" w:type="dxa"/>
            <w:vAlign w:val="center"/>
          </w:tcPr>
          <w:p>
            <w:pPr>
              <w:pStyle w:val="11"/>
            </w:pPr>
            <w:r>
              <w:t>178.88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1360.45</w:t>
            </w:r>
          </w:p>
        </w:tc>
        <w:tc>
          <w:tcPr>
            <w:tcW w:w="2551" w:type="dxa"/>
            <w:vAlign w:val="center"/>
          </w:tcPr>
          <w:p>
            <w:pPr>
              <w:pStyle w:val="11"/>
            </w:pPr>
            <w:r>
              <w:t>1181.57</w:t>
            </w:r>
          </w:p>
        </w:tc>
        <w:tc>
          <w:tcPr>
            <w:tcW w:w="2551" w:type="dxa"/>
            <w:vAlign w:val="center"/>
          </w:tcPr>
          <w:p>
            <w:pPr>
              <w:pStyle w:val="11"/>
            </w:pPr>
            <w:r>
              <w:t>178.88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1181.57</w:t>
            </w:r>
          </w:p>
        </w:tc>
        <w:tc>
          <w:tcPr>
            <w:tcW w:w="2551" w:type="dxa"/>
            <w:vAlign w:val="center"/>
          </w:tcPr>
          <w:p>
            <w:pPr>
              <w:pStyle w:val="11"/>
            </w:pPr>
            <w:r>
              <w:t>1181.57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178.88</w:t>
            </w:r>
          </w:p>
        </w:tc>
        <w:tc>
          <w:tcPr>
            <w:tcW w:w="2551" w:type="dxa"/>
            <w:vAlign w:val="center"/>
          </w:tcPr>
          <w:p>
            <w:pPr>
              <w:pStyle w:val="11"/>
            </w:pPr>
          </w:p>
        </w:tc>
        <w:tc>
          <w:tcPr>
            <w:tcW w:w="2551" w:type="dxa"/>
            <w:vAlign w:val="center"/>
          </w:tcPr>
          <w:p>
            <w:pPr>
              <w:pStyle w:val="11"/>
            </w:pPr>
            <w:r>
              <w:t>178.88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17.28</w:t>
            </w:r>
          </w:p>
        </w:tc>
        <w:tc>
          <w:tcPr>
            <w:tcW w:w="2551" w:type="dxa"/>
            <w:vAlign w:val="center"/>
          </w:tcPr>
          <w:p>
            <w:pPr>
              <w:pStyle w:val="11"/>
            </w:pPr>
          </w:p>
        </w:tc>
        <w:tc>
          <w:tcPr>
            <w:tcW w:w="2551" w:type="dxa"/>
            <w:vAlign w:val="center"/>
          </w:tcPr>
          <w:p>
            <w:pPr>
              <w:pStyle w:val="11"/>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17.28</w:t>
            </w:r>
          </w:p>
        </w:tc>
        <w:tc>
          <w:tcPr>
            <w:tcW w:w="2551" w:type="dxa"/>
            <w:vAlign w:val="center"/>
          </w:tcPr>
          <w:p>
            <w:pPr>
              <w:pStyle w:val="11"/>
            </w:pPr>
          </w:p>
        </w:tc>
        <w:tc>
          <w:tcPr>
            <w:tcW w:w="2551" w:type="dxa"/>
            <w:vAlign w:val="center"/>
          </w:tcPr>
          <w:p>
            <w:pPr>
              <w:pStyle w:val="11"/>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17.28</w:t>
            </w:r>
          </w:p>
        </w:tc>
        <w:tc>
          <w:tcPr>
            <w:tcW w:w="2551" w:type="dxa"/>
            <w:vAlign w:val="center"/>
          </w:tcPr>
          <w:p>
            <w:pPr>
              <w:pStyle w:val="11"/>
            </w:pPr>
          </w:p>
        </w:tc>
        <w:tc>
          <w:tcPr>
            <w:tcW w:w="2551" w:type="dxa"/>
            <w:vAlign w:val="center"/>
          </w:tcPr>
          <w:p>
            <w:pPr>
              <w:pStyle w:val="11"/>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1.97</w:t>
            </w:r>
          </w:p>
        </w:tc>
        <w:tc>
          <w:tcPr>
            <w:tcW w:w="2551" w:type="dxa"/>
            <w:vAlign w:val="center"/>
          </w:tcPr>
          <w:p>
            <w:pPr>
              <w:pStyle w:val="11"/>
            </w:pPr>
          </w:p>
        </w:tc>
        <w:tc>
          <w:tcPr>
            <w:tcW w:w="2551" w:type="dxa"/>
            <w:vAlign w:val="center"/>
          </w:tcPr>
          <w:p>
            <w:pPr>
              <w:pStyle w:val="11"/>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1.97</w:t>
            </w:r>
          </w:p>
        </w:tc>
        <w:tc>
          <w:tcPr>
            <w:tcW w:w="2551" w:type="dxa"/>
            <w:vAlign w:val="center"/>
          </w:tcPr>
          <w:p>
            <w:pPr>
              <w:pStyle w:val="11"/>
            </w:pPr>
          </w:p>
        </w:tc>
        <w:tc>
          <w:tcPr>
            <w:tcW w:w="2551" w:type="dxa"/>
            <w:vAlign w:val="center"/>
          </w:tcPr>
          <w:p>
            <w:pPr>
              <w:pStyle w:val="11"/>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1"/>
            </w:pPr>
            <w:r>
              <w:t>1.97</w:t>
            </w:r>
          </w:p>
        </w:tc>
        <w:tc>
          <w:tcPr>
            <w:tcW w:w="2551" w:type="dxa"/>
            <w:vAlign w:val="center"/>
          </w:tcPr>
          <w:p>
            <w:pPr>
              <w:pStyle w:val="11"/>
            </w:pPr>
          </w:p>
        </w:tc>
        <w:tc>
          <w:tcPr>
            <w:tcW w:w="2551" w:type="dxa"/>
            <w:vAlign w:val="center"/>
          </w:tcPr>
          <w:p>
            <w:pPr>
              <w:pStyle w:val="11"/>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22.72</w:t>
            </w:r>
          </w:p>
        </w:tc>
        <w:tc>
          <w:tcPr>
            <w:tcW w:w="2551" w:type="dxa"/>
            <w:vAlign w:val="center"/>
          </w:tcPr>
          <w:p>
            <w:pPr>
              <w:pStyle w:val="11"/>
            </w:pPr>
          </w:p>
        </w:tc>
        <w:tc>
          <w:tcPr>
            <w:tcW w:w="2551" w:type="dxa"/>
            <w:vAlign w:val="center"/>
          </w:tcPr>
          <w:p>
            <w:pPr>
              <w:pStyle w:val="11"/>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22.72</w:t>
            </w:r>
          </w:p>
        </w:tc>
        <w:tc>
          <w:tcPr>
            <w:tcW w:w="2551" w:type="dxa"/>
            <w:vAlign w:val="center"/>
          </w:tcPr>
          <w:p>
            <w:pPr>
              <w:pStyle w:val="11"/>
            </w:pPr>
          </w:p>
        </w:tc>
        <w:tc>
          <w:tcPr>
            <w:tcW w:w="2551" w:type="dxa"/>
            <w:vAlign w:val="center"/>
          </w:tcPr>
          <w:p>
            <w:pPr>
              <w:pStyle w:val="11"/>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22.72</w:t>
            </w:r>
          </w:p>
        </w:tc>
        <w:tc>
          <w:tcPr>
            <w:tcW w:w="2551" w:type="dxa"/>
            <w:vAlign w:val="center"/>
          </w:tcPr>
          <w:p>
            <w:pPr>
              <w:pStyle w:val="11"/>
            </w:pPr>
          </w:p>
        </w:tc>
        <w:tc>
          <w:tcPr>
            <w:tcW w:w="2551" w:type="dxa"/>
            <w:vAlign w:val="center"/>
          </w:tcPr>
          <w:p>
            <w:pPr>
              <w:pStyle w:val="11"/>
            </w:pPr>
            <w:r>
              <w:t>22.72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1181.57</w:t>
            </w:r>
          </w:p>
        </w:tc>
        <w:tc>
          <w:tcPr>
            <w:tcW w:w="2551" w:type="dxa"/>
            <w:vAlign w:val="center"/>
          </w:tcPr>
          <w:p>
            <w:pPr>
              <w:pStyle w:val="15"/>
            </w:pPr>
            <w:r>
              <w:t>1018.66</w:t>
            </w:r>
          </w:p>
        </w:tc>
        <w:tc>
          <w:tcPr>
            <w:tcW w:w="2551" w:type="dxa"/>
            <w:vAlign w:val="center"/>
          </w:tcPr>
          <w:p>
            <w:pPr>
              <w:pStyle w:val="15"/>
            </w:pPr>
            <w:r>
              <w:t>162.91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922.73</w:t>
            </w:r>
          </w:p>
        </w:tc>
        <w:tc>
          <w:tcPr>
            <w:tcW w:w="2551" w:type="dxa"/>
            <w:vAlign w:val="center"/>
          </w:tcPr>
          <w:p>
            <w:pPr>
              <w:pStyle w:val="11"/>
            </w:pPr>
            <w:r>
              <w:t>922.73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189.50</w:t>
            </w:r>
          </w:p>
        </w:tc>
        <w:tc>
          <w:tcPr>
            <w:tcW w:w="2551" w:type="dxa"/>
            <w:vAlign w:val="center"/>
          </w:tcPr>
          <w:p>
            <w:pPr>
              <w:pStyle w:val="11"/>
            </w:pPr>
            <w:r>
              <w:t>189.50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254.33</w:t>
            </w:r>
          </w:p>
        </w:tc>
        <w:tc>
          <w:tcPr>
            <w:tcW w:w="2551" w:type="dxa"/>
            <w:vAlign w:val="center"/>
          </w:tcPr>
          <w:p>
            <w:pPr>
              <w:pStyle w:val="11"/>
            </w:pPr>
            <w:r>
              <w:t>254.33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88.98</w:t>
            </w:r>
          </w:p>
        </w:tc>
        <w:tc>
          <w:tcPr>
            <w:tcW w:w="2551" w:type="dxa"/>
            <w:vAlign w:val="center"/>
          </w:tcPr>
          <w:p>
            <w:pPr>
              <w:pStyle w:val="11"/>
            </w:pPr>
            <w:r>
              <w:t>88.98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116.06</w:t>
            </w:r>
          </w:p>
        </w:tc>
        <w:tc>
          <w:tcPr>
            <w:tcW w:w="2551" w:type="dxa"/>
            <w:vAlign w:val="center"/>
          </w:tcPr>
          <w:p>
            <w:pPr>
              <w:pStyle w:val="11"/>
            </w:pPr>
            <w:r>
              <w:t>116.06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100.37</w:t>
            </w:r>
          </w:p>
        </w:tc>
        <w:tc>
          <w:tcPr>
            <w:tcW w:w="2551" w:type="dxa"/>
            <w:vAlign w:val="center"/>
          </w:tcPr>
          <w:p>
            <w:pPr>
              <w:pStyle w:val="11"/>
            </w:pPr>
            <w:r>
              <w:t>100.37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32.64</w:t>
            </w:r>
          </w:p>
        </w:tc>
        <w:tc>
          <w:tcPr>
            <w:tcW w:w="2551" w:type="dxa"/>
            <w:vAlign w:val="center"/>
          </w:tcPr>
          <w:p>
            <w:pPr>
              <w:pStyle w:val="11"/>
            </w:pPr>
            <w:r>
              <w:t>32.64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25.25</w:t>
            </w:r>
          </w:p>
        </w:tc>
        <w:tc>
          <w:tcPr>
            <w:tcW w:w="2551" w:type="dxa"/>
            <w:vAlign w:val="center"/>
          </w:tcPr>
          <w:p>
            <w:pPr>
              <w:pStyle w:val="11"/>
            </w:pPr>
            <w:r>
              <w:t>25.25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38.93</w:t>
            </w:r>
          </w:p>
        </w:tc>
        <w:tc>
          <w:tcPr>
            <w:tcW w:w="2551" w:type="dxa"/>
            <w:vAlign w:val="center"/>
          </w:tcPr>
          <w:p>
            <w:pPr>
              <w:pStyle w:val="11"/>
            </w:pPr>
            <w:r>
              <w:t>38.93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76.68</w:t>
            </w:r>
          </w:p>
        </w:tc>
        <w:tc>
          <w:tcPr>
            <w:tcW w:w="2551" w:type="dxa"/>
            <w:vAlign w:val="center"/>
          </w:tcPr>
          <w:p>
            <w:pPr>
              <w:pStyle w:val="11"/>
            </w:pPr>
            <w:r>
              <w:t>76.68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162.91</w:t>
            </w:r>
          </w:p>
        </w:tc>
        <w:tc>
          <w:tcPr>
            <w:tcW w:w="2551" w:type="dxa"/>
            <w:vAlign w:val="center"/>
          </w:tcPr>
          <w:p>
            <w:pPr>
              <w:pStyle w:val="11"/>
            </w:pPr>
          </w:p>
        </w:tc>
        <w:tc>
          <w:tcPr>
            <w:tcW w:w="2551" w:type="dxa"/>
            <w:vAlign w:val="center"/>
          </w:tcPr>
          <w:p>
            <w:pPr>
              <w:pStyle w:val="11"/>
            </w:pPr>
            <w:r>
              <w:t>162.91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23.35</w:t>
            </w:r>
          </w:p>
        </w:tc>
        <w:tc>
          <w:tcPr>
            <w:tcW w:w="2551" w:type="dxa"/>
            <w:vAlign w:val="center"/>
          </w:tcPr>
          <w:p>
            <w:pPr>
              <w:pStyle w:val="11"/>
            </w:pPr>
          </w:p>
        </w:tc>
        <w:tc>
          <w:tcPr>
            <w:tcW w:w="2551" w:type="dxa"/>
            <w:vAlign w:val="center"/>
          </w:tcPr>
          <w:p>
            <w:pPr>
              <w:pStyle w:val="11"/>
            </w:pPr>
            <w:r>
              <w:t>23.35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21.60</w:t>
            </w:r>
          </w:p>
        </w:tc>
        <w:tc>
          <w:tcPr>
            <w:tcW w:w="2551" w:type="dxa"/>
            <w:vAlign w:val="center"/>
          </w:tcPr>
          <w:p>
            <w:pPr>
              <w:pStyle w:val="11"/>
            </w:pPr>
          </w:p>
        </w:tc>
        <w:tc>
          <w:tcPr>
            <w:tcW w:w="2551" w:type="dxa"/>
            <w:vAlign w:val="center"/>
          </w:tcPr>
          <w:p>
            <w:pPr>
              <w:pStyle w:val="11"/>
            </w:pPr>
            <w: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5.82</w:t>
            </w:r>
          </w:p>
        </w:tc>
        <w:tc>
          <w:tcPr>
            <w:tcW w:w="2551" w:type="dxa"/>
            <w:vAlign w:val="center"/>
          </w:tcPr>
          <w:p>
            <w:pPr>
              <w:pStyle w:val="11"/>
            </w:pPr>
          </w:p>
        </w:tc>
        <w:tc>
          <w:tcPr>
            <w:tcW w:w="2551" w:type="dxa"/>
            <w:vAlign w:val="center"/>
          </w:tcPr>
          <w:p>
            <w:pPr>
              <w:pStyle w:val="11"/>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4.74</w:t>
            </w:r>
          </w:p>
        </w:tc>
        <w:tc>
          <w:tcPr>
            <w:tcW w:w="2551" w:type="dxa"/>
            <w:vAlign w:val="center"/>
          </w:tcPr>
          <w:p>
            <w:pPr>
              <w:pStyle w:val="11"/>
            </w:pPr>
          </w:p>
        </w:tc>
        <w:tc>
          <w:tcPr>
            <w:tcW w:w="2551" w:type="dxa"/>
            <w:vAlign w:val="center"/>
          </w:tcPr>
          <w:p>
            <w:pPr>
              <w:pStyle w:val="11"/>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28.98</w:t>
            </w:r>
          </w:p>
        </w:tc>
        <w:tc>
          <w:tcPr>
            <w:tcW w:w="2551" w:type="dxa"/>
            <w:vAlign w:val="center"/>
          </w:tcPr>
          <w:p>
            <w:pPr>
              <w:pStyle w:val="11"/>
            </w:pPr>
          </w:p>
        </w:tc>
        <w:tc>
          <w:tcPr>
            <w:tcW w:w="2551" w:type="dxa"/>
            <w:vAlign w:val="center"/>
          </w:tcPr>
          <w:p>
            <w:pPr>
              <w:pStyle w:val="11"/>
            </w:pPr>
            <w:r>
              <w:t>28.98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5.07</w:t>
            </w:r>
          </w:p>
        </w:tc>
        <w:tc>
          <w:tcPr>
            <w:tcW w:w="2551" w:type="dxa"/>
            <w:vAlign w:val="center"/>
          </w:tcPr>
          <w:p>
            <w:pPr>
              <w:pStyle w:val="11"/>
            </w:pPr>
          </w:p>
        </w:tc>
        <w:tc>
          <w:tcPr>
            <w:tcW w:w="2551" w:type="dxa"/>
            <w:vAlign w:val="center"/>
          </w:tcPr>
          <w:p>
            <w:pPr>
              <w:pStyle w:val="11"/>
            </w:pPr>
            <w:r>
              <w:t>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95.93</w:t>
            </w:r>
          </w:p>
        </w:tc>
        <w:tc>
          <w:tcPr>
            <w:tcW w:w="2551" w:type="dxa"/>
            <w:vAlign w:val="center"/>
          </w:tcPr>
          <w:p>
            <w:pPr>
              <w:pStyle w:val="11"/>
            </w:pPr>
            <w:r>
              <w:t>95.93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90.91</w:t>
            </w:r>
          </w:p>
        </w:tc>
        <w:tc>
          <w:tcPr>
            <w:tcW w:w="2551" w:type="dxa"/>
            <w:vAlign w:val="center"/>
          </w:tcPr>
          <w:p>
            <w:pPr>
              <w:pStyle w:val="11"/>
            </w:pPr>
            <w:r>
              <w:t>90.91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4.99</w:t>
            </w:r>
          </w:p>
        </w:tc>
        <w:tc>
          <w:tcPr>
            <w:tcW w:w="2551" w:type="dxa"/>
            <w:vAlign w:val="center"/>
          </w:tcPr>
          <w:p>
            <w:pPr>
              <w:pStyle w:val="11"/>
            </w:pPr>
            <w:r>
              <w:t>4.99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804石家庄市藁城区常安镇人民政府</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hint="eastAsia" w:eastAsia="方正书宋_GBK"/>
                <w:lang w:val="en-US" w:eastAsia="zh-CN"/>
              </w:rPr>
            </w:pPr>
            <w:r>
              <w:rPr>
                <w:rFonts w:hint="eastAsia"/>
                <w:lang w:val="en-US" w:eastAsia="zh-CN"/>
              </w:rPr>
              <w:t>1</w:t>
            </w:r>
          </w:p>
        </w:tc>
        <w:tc>
          <w:tcPr>
            <w:tcW w:w="1643" w:type="dxa"/>
            <w:vAlign w:val="center"/>
          </w:tcPr>
          <w:p>
            <w:pPr>
              <w:pStyle w:val="12"/>
              <w:ind w:firstLine="0" w:firstLineChars="0"/>
              <w:rPr>
                <w:rFonts w:hint="eastAsia" w:eastAsia="方正书宋_GBK"/>
                <w:lang w:val="en-US" w:eastAsia="zh-CN"/>
              </w:rPr>
            </w:pPr>
            <w:r>
              <w:rPr>
                <w:rFonts w:hint="eastAsia"/>
                <w:lang w:val="en-US" w:eastAsia="zh-CN"/>
              </w:rPr>
              <w:t>合计</w:t>
            </w:r>
          </w:p>
        </w:tc>
        <w:tc>
          <w:tcPr>
            <w:tcW w:w="1643" w:type="dxa"/>
            <w:vAlign w:val="center"/>
          </w:tcPr>
          <w:p>
            <w:pPr>
              <w:pStyle w:val="11"/>
              <w:ind w:firstLine="0" w:firstLineChars="0"/>
              <w:rPr>
                <w:rFonts w:hint="default" w:eastAsia="方正书宋_GBK"/>
                <w:lang w:val="en-US" w:eastAsia="zh-CN"/>
              </w:rPr>
            </w:pPr>
            <w:r>
              <w:rPr>
                <w:rFonts w:hint="eastAsia"/>
                <w:lang w:val="en-US" w:eastAsia="zh-CN"/>
              </w:rPr>
              <w:t>2.25</w:t>
            </w:r>
          </w:p>
        </w:tc>
        <w:tc>
          <w:tcPr>
            <w:tcW w:w="1643" w:type="dxa"/>
            <w:vAlign w:val="center"/>
          </w:tcPr>
          <w:p>
            <w:pPr>
              <w:pStyle w:val="11"/>
              <w:ind w:firstLine="0" w:firstLineChars="0"/>
              <w:rPr>
                <w:rFonts w:hint="default" w:eastAsia="方正书宋_GBK"/>
                <w:lang w:val="en-US" w:eastAsia="zh-CN"/>
              </w:rPr>
            </w:pPr>
            <w:r>
              <w:rPr>
                <w:rFonts w:hint="eastAsia"/>
                <w:lang w:val="en-US" w:eastAsia="zh-CN"/>
              </w:rPr>
              <w:t>2.25</w:t>
            </w: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hint="default" w:eastAsia="方正书宋_GBK"/>
                <w:lang w:val="en-US" w:eastAsia="zh-CN"/>
              </w:rPr>
            </w:pPr>
            <w:r>
              <w:rPr>
                <w:rFonts w:hint="eastAsia"/>
                <w:lang w:val="en-US" w:eastAsia="zh-CN"/>
              </w:rPr>
              <w:t>2</w:t>
            </w:r>
          </w:p>
        </w:tc>
        <w:tc>
          <w:tcPr>
            <w:tcW w:w="1643" w:type="dxa"/>
            <w:vAlign w:val="center"/>
          </w:tcPr>
          <w:p>
            <w:pPr>
              <w:pStyle w:val="14"/>
              <w:ind w:firstLine="0" w:firstLineChars="0"/>
              <w:rPr>
                <w:rFonts w:hint="default" w:eastAsia="方正书宋_GBK"/>
                <w:lang w:val="en-US" w:eastAsia="zh-CN"/>
              </w:rPr>
            </w:pPr>
            <w:r>
              <w:t>“三公”经费小计</w:t>
            </w:r>
          </w:p>
        </w:tc>
        <w:tc>
          <w:tcPr>
            <w:tcW w:w="1643" w:type="dxa"/>
            <w:vAlign w:val="center"/>
          </w:tcPr>
          <w:p>
            <w:pPr>
              <w:pStyle w:val="11"/>
              <w:ind w:firstLine="0" w:firstLineChars="0"/>
              <w:rPr>
                <w:rFonts w:hint="default"/>
                <w:lang w:val="en-US" w:eastAsia="zh-CN"/>
              </w:rPr>
            </w:pPr>
            <w:r>
              <w:rPr>
                <w:rFonts w:hint="eastAsia"/>
                <w:lang w:val="en-US" w:eastAsia="zh-CN"/>
              </w:rPr>
              <w:t>2.25</w:t>
            </w:r>
          </w:p>
        </w:tc>
        <w:tc>
          <w:tcPr>
            <w:tcW w:w="1643" w:type="dxa"/>
            <w:vAlign w:val="center"/>
          </w:tcPr>
          <w:p>
            <w:pPr>
              <w:pStyle w:val="11"/>
              <w:ind w:firstLine="0" w:firstLineChars="0"/>
              <w:rPr>
                <w:rFonts w:hint="default"/>
                <w:lang w:val="en-US" w:eastAsia="zh-CN"/>
              </w:rPr>
            </w:pPr>
            <w:r>
              <w:rPr>
                <w:rFonts w:hint="eastAsia"/>
                <w:lang w:val="en-US" w:eastAsia="zh-CN"/>
              </w:rPr>
              <w:t>2.25</w:t>
            </w:r>
            <w:bookmarkStart w:id="1" w:name="_GoBack"/>
            <w:bookmarkEnd w:id="1"/>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hint="eastAsia" w:eastAsia="方正书宋_GBK"/>
                <w:lang w:val="en-US" w:eastAsia="zh-CN"/>
              </w:rPr>
            </w:pPr>
            <w:r>
              <w:rPr>
                <w:rFonts w:hint="eastAsia"/>
                <w:lang w:val="en-US" w:eastAsia="zh-CN"/>
              </w:rPr>
              <w:t>3</w:t>
            </w:r>
          </w:p>
        </w:tc>
        <w:tc>
          <w:tcPr>
            <w:tcW w:w="1643" w:type="dxa"/>
            <w:vAlign w:val="center"/>
          </w:tcPr>
          <w:p>
            <w:pPr>
              <w:pStyle w:val="12"/>
              <w:ind w:firstLine="0" w:firstLineChars="0"/>
              <w:rPr>
                <w:rFonts w:hint="default" w:eastAsia="方正书宋_GBK"/>
                <w:lang w:val="en-US" w:eastAsia="zh-CN"/>
              </w:rPr>
            </w:pPr>
            <w:r>
              <w:t>一、因公出国（境）费</w:t>
            </w: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1"/>
              <w:ind w:firstLine="0" w:firstLineChars="0"/>
              <w:rPr>
                <w:rFonts w:hint="default"/>
                <w:lang w:val="en-US" w:eastAsia="zh-CN"/>
              </w:rPr>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hint="eastAsia" w:eastAsia="方正书宋_GBK"/>
                <w:lang w:val="en-US" w:eastAsia="zh-CN"/>
              </w:rPr>
            </w:pPr>
            <w:r>
              <w:rPr>
                <w:rFonts w:hint="eastAsia"/>
                <w:lang w:val="en-US" w:eastAsia="zh-CN"/>
              </w:rPr>
              <w:t>4</w:t>
            </w:r>
          </w:p>
        </w:tc>
        <w:tc>
          <w:tcPr>
            <w:tcW w:w="1643" w:type="dxa"/>
            <w:vAlign w:val="center"/>
          </w:tcPr>
          <w:p>
            <w:pPr>
              <w:pStyle w:val="12"/>
              <w:ind w:firstLine="0" w:firstLineChars="0"/>
              <w:rPr>
                <w:rFonts w:hint="eastAsia" w:eastAsia="方正书宋_GBK"/>
                <w:lang w:val="en-US" w:eastAsia="zh-CN"/>
              </w:rPr>
            </w:pPr>
            <w:r>
              <w:rPr>
                <w:rFonts w:hint="eastAsia" w:cs="方正书宋_GBK"/>
                <w:sz w:val="21"/>
                <w:szCs w:val="24"/>
                <w:lang w:val="en-US" w:eastAsia="zh-CN" w:bidi="ar-SA"/>
              </w:rPr>
              <w:t>其中：教学科研人员因公出国（境）费</w:t>
            </w: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1"/>
              <w:ind w:firstLine="0" w:firstLineChars="0"/>
              <w:rPr>
                <w:rFonts w:hint="default"/>
                <w:lang w:val="en-US" w:eastAsia="zh-CN"/>
              </w:rPr>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hint="eastAsia" w:eastAsia="方正书宋_GBK"/>
                <w:lang w:val="en-US" w:eastAsia="zh-CN"/>
              </w:rPr>
            </w:pPr>
            <w:r>
              <w:rPr>
                <w:rFonts w:hint="eastAsia"/>
                <w:lang w:val="en-US" w:eastAsia="zh-CN"/>
              </w:rPr>
              <w:t>5</w:t>
            </w:r>
          </w:p>
        </w:tc>
        <w:tc>
          <w:tcPr>
            <w:tcW w:w="1643" w:type="dxa"/>
            <w:vAlign w:val="center"/>
          </w:tcPr>
          <w:p>
            <w:pPr>
              <w:pStyle w:val="12"/>
              <w:ind w:firstLine="420" w:firstLineChars="200"/>
              <w:rPr>
                <w:rFonts w:hint="default"/>
                <w:lang w:val="en-US" w:eastAsia="zh-CN"/>
              </w:rPr>
            </w:pPr>
            <w:r>
              <w:rPr>
                <w:rFonts w:hint="eastAsia" w:cs="方正书宋_GBK"/>
                <w:sz w:val="21"/>
                <w:szCs w:val="24"/>
                <w:lang w:val="en-US" w:eastAsia="zh-CN" w:bidi="ar-SA"/>
              </w:rPr>
              <w:t>其他因公出国（境）费</w:t>
            </w: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1"/>
              <w:ind w:firstLine="0" w:firstLineChars="0"/>
              <w:rPr>
                <w:rFonts w:hint="default"/>
                <w:lang w:val="en-US" w:eastAsia="zh-CN"/>
              </w:rPr>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hint="eastAsia"/>
                <w:lang w:val="en-US" w:eastAsia="zh-CN"/>
              </w:rPr>
            </w:pPr>
            <w:r>
              <w:rPr>
                <w:rFonts w:hint="eastAsia"/>
                <w:lang w:val="en-US" w:eastAsia="zh-CN"/>
              </w:rPr>
              <w:t>6</w:t>
            </w:r>
          </w:p>
        </w:tc>
        <w:tc>
          <w:tcPr>
            <w:tcW w:w="1643" w:type="dxa"/>
            <w:vAlign w:val="center"/>
          </w:tcPr>
          <w:p>
            <w:pPr>
              <w:pStyle w:val="12"/>
              <w:ind w:firstLine="0" w:firstLineChars="0"/>
              <w:rPr>
                <w:rFonts w:hint="eastAsia"/>
                <w:lang w:val="en-US" w:eastAsia="zh-CN"/>
              </w:rPr>
            </w:pPr>
            <w:r>
              <w:t>二、公务用车购置及运维费</w:t>
            </w:r>
          </w:p>
        </w:tc>
        <w:tc>
          <w:tcPr>
            <w:tcW w:w="1643" w:type="dxa"/>
            <w:vAlign w:val="center"/>
          </w:tcPr>
          <w:p>
            <w:pPr>
              <w:pStyle w:val="11"/>
              <w:ind w:firstLine="0" w:firstLineChars="0"/>
              <w:rPr>
                <w:rFonts w:hint="eastAsia"/>
                <w:lang w:val="en-US" w:eastAsia="zh-CN"/>
              </w:rPr>
            </w:pPr>
            <w:r>
              <w:rPr>
                <w:rFonts w:hint="eastAsia"/>
                <w:lang w:val="en-US" w:eastAsia="zh-CN"/>
              </w:rPr>
              <w:t>2.2</w:t>
            </w:r>
          </w:p>
        </w:tc>
        <w:tc>
          <w:tcPr>
            <w:tcW w:w="1643" w:type="dxa"/>
            <w:vAlign w:val="center"/>
          </w:tcPr>
          <w:p>
            <w:pPr>
              <w:pStyle w:val="11"/>
              <w:ind w:firstLine="0" w:firstLineChars="0"/>
              <w:rPr>
                <w:rFonts w:hint="eastAsia"/>
                <w:lang w:val="en-US" w:eastAsia="zh-CN"/>
              </w:rPr>
            </w:pPr>
            <w:r>
              <w:rPr>
                <w:rFonts w:hint="eastAsia"/>
                <w:lang w:val="en-US" w:eastAsia="zh-CN"/>
              </w:rPr>
              <w:t>2.2</w:t>
            </w: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hint="eastAsia"/>
                <w:lang w:val="en-US" w:eastAsia="zh-CN"/>
              </w:rPr>
            </w:pPr>
            <w:r>
              <w:rPr>
                <w:rFonts w:hint="eastAsia"/>
                <w:lang w:val="en-US" w:eastAsia="zh-CN"/>
              </w:rPr>
              <w:t>7</w:t>
            </w:r>
          </w:p>
        </w:tc>
        <w:tc>
          <w:tcPr>
            <w:tcW w:w="1643" w:type="dxa"/>
            <w:vAlign w:val="center"/>
          </w:tcPr>
          <w:p>
            <w:pPr>
              <w:pStyle w:val="12"/>
              <w:ind w:firstLine="0" w:firstLineChars="0"/>
              <w:rPr>
                <w:rFonts w:hint="eastAsia"/>
                <w:lang w:val="en-US" w:eastAsia="zh-CN"/>
              </w:rPr>
            </w:pPr>
            <w:r>
              <w:t xml:space="preserve">    其中：公务用车购置费</w:t>
            </w:r>
          </w:p>
        </w:tc>
        <w:tc>
          <w:tcPr>
            <w:tcW w:w="1643" w:type="dxa"/>
            <w:vAlign w:val="center"/>
          </w:tcPr>
          <w:p>
            <w:pPr>
              <w:pStyle w:val="11"/>
              <w:ind w:firstLine="0" w:firstLineChars="0"/>
              <w:rPr>
                <w:rFonts w:hint="eastAsia"/>
                <w:lang w:val="en-US" w:eastAsia="zh-CN"/>
              </w:rPr>
            </w:pPr>
          </w:p>
        </w:tc>
        <w:tc>
          <w:tcPr>
            <w:tcW w:w="1643" w:type="dxa"/>
            <w:vAlign w:val="center"/>
          </w:tcPr>
          <w:p>
            <w:pPr>
              <w:pStyle w:val="11"/>
              <w:ind w:firstLine="0" w:firstLineChars="0"/>
              <w:rPr>
                <w:rFonts w:hint="eastAsia"/>
                <w:lang w:val="en-US" w:eastAsia="zh-CN"/>
              </w:rPr>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hint="eastAsia"/>
                <w:lang w:val="en-US" w:eastAsia="zh-CN"/>
              </w:rPr>
            </w:pPr>
            <w:r>
              <w:rPr>
                <w:rFonts w:hint="eastAsia"/>
                <w:lang w:val="en-US" w:eastAsia="zh-CN"/>
              </w:rPr>
              <w:t>8</w:t>
            </w:r>
          </w:p>
        </w:tc>
        <w:tc>
          <w:tcPr>
            <w:tcW w:w="1643" w:type="dxa"/>
            <w:vAlign w:val="center"/>
          </w:tcPr>
          <w:p>
            <w:pPr>
              <w:pStyle w:val="12"/>
              <w:ind w:firstLine="0" w:firstLineChars="0"/>
              <w:rPr>
                <w:rFonts w:hint="eastAsia"/>
                <w:lang w:val="en-US" w:eastAsia="zh-CN"/>
              </w:rPr>
            </w:pPr>
            <w:r>
              <w:rPr>
                <w:rFonts w:hint="eastAsia"/>
                <w:lang w:val="en-US" w:eastAsia="zh-CN"/>
              </w:rPr>
              <w:t>公务用车运行维护费</w:t>
            </w:r>
          </w:p>
        </w:tc>
        <w:tc>
          <w:tcPr>
            <w:tcW w:w="1643" w:type="dxa"/>
            <w:vAlign w:val="center"/>
          </w:tcPr>
          <w:p>
            <w:pPr>
              <w:pStyle w:val="11"/>
              <w:ind w:firstLine="0" w:firstLineChars="0"/>
              <w:rPr>
                <w:rFonts w:hint="eastAsia"/>
                <w:lang w:val="en-US" w:eastAsia="zh-CN"/>
              </w:rPr>
            </w:pPr>
            <w:r>
              <w:rPr>
                <w:rFonts w:hint="eastAsia"/>
                <w:lang w:val="en-US" w:eastAsia="zh-CN"/>
              </w:rPr>
              <w:t>2.2</w:t>
            </w:r>
          </w:p>
        </w:tc>
        <w:tc>
          <w:tcPr>
            <w:tcW w:w="1643" w:type="dxa"/>
            <w:vAlign w:val="center"/>
          </w:tcPr>
          <w:p>
            <w:pPr>
              <w:pStyle w:val="11"/>
              <w:ind w:firstLine="0" w:firstLineChars="0"/>
              <w:rPr>
                <w:rFonts w:hint="eastAsia"/>
                <w:lang w:val="en-US" w:eastAsia="zh-CN"/>
              </w:rPr>
            </w:pPr>
            <w:r>
              <w:rPr>
                <w:rFonts w:hint="eastAsia"/>
                <w:lang w:val="en-US" w:eastAsia="zh-CN"/>
              </w:rPr>
              <w:t>2.2</w:t>
            </w: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hint="eastAsia"/>
                <w:lang w:val="en-US" w:eastAsia="zh-CN"/>
              </w:rPr>
            </w:pPr>
            <w:r>
              <w:rPr>
                <w:rFonts w:hint="eastAsia"/>
                <w:lang w:val="en-US" w:eastAsia="zh-CN"/>
              </w:rPr>
              <w:t>9</w:t>
            </w:r>
          </w:p>
        </w:tc>
        <w:tc>
          <w:tcPr>
            <w:tcW w:w="1643" w:type="dxa"/>
            <w:vAlign w:val="center"/>
          </w:tcPr>
          <w:p>
            <w:pPr>
              <w:pStyle w:val="12"/>
              <w:ind w:firstLine="0" w:firstLineChars="0"/>
              <w:rPr>
                <w:rFonts w:hint="eastAsia"/>
                <w:lang w:val="en-US" w:eastAsia="zh-CN"/>
              </w:rPr>
            </w:pPr>
            <w:r>
              <w:rPr>
                <w:rFonts w:hint="eastAsia"/>
                <w:lang w:val="en-US" w:eastAsia="zh-CN"/>
              </w:rPr>
              <w:t>三、公务接待费</w:t>
            </w:r>
          </w:p>
        </w:tc>
        <w:tc>
          <w:tcPr>
            <w:tcW w:w="1643" w:type="dxa"/>
            <w:vAlign w:val="center"/>
          </w:tcPr>
          <w:p>
            <w:pPr>
              <w:pStyle w:val="11"/>
              <w:ind w:firstLine="0" w:firstLineChars="0"/>
              <w:rPr>
                <w:rFonts w:hint="eastAsia"/>
                <w:lang w:val="en-US" w:eastAsia="zh-CN"/>
              </w:rPr>
            </w:pPr>
            <w:r>
              <w:rPr>
                <w:rFonts w:hint="eastAsia"/>
                <w:lang w:val="en-US" w:eastAsia="zh-CN"/>
              </w:rPr>
              <w:t>0.05</w:t>
            </w:r>
          </w:p>
        </w:tc>
        <w:tc>
          <w:tcPr>
            <w:tcW w:w="1643" w:type="dxa"/>
            <w:vAlign w:val="center"/>
          </w:tcPr>
          <w:p>
            <w:pPr>
              <w:pStyle w:val="11"/>
              <w:ind w:firstLine="0" w:firstLineChars="0"/>
              <w:rPr>
                <w:rFonts w:hint="eastAsia"/>
                <w:lang w:val="en-US" w:eastAsia="zh-CN"/>
              </w:rPr>
            </w:pPr>
            <w:r>
              <w:rPr>
                <w:rFonts w:hint="eastAsia"/>
                <w:lang w:val="en-US" w:eastAsia="zh-CN"/>
              </w:rPr>
              <w:t>0.05</w:t>
            </w:r>
          </w:p>
        </w:tc>
        <w:tc>
          <w:tcPr>
            <w:tcW w:w="1643" w:type="dxa"/>
            <w:vAlign w:val="center"/>
          </w:tcPr>
          <w:p>
            <w:pPr>
              <w:pStyle w:val="11"/>
              <w:ind w:firstLine="0" w:firstLineChars="0"/>
            </w:pPr>
          </w:p>
        </w:tc>
        <w:tc>
          <w:tcPr>
            <w:tcW w:w="1643" w:type="dxa"/>
            <w:vAlign w:val="center"/>
          </w:tcPr>
          <w:p>
            <w:pPr>
              <w:pStyle w:val="11"/>
              <w:ind w:firstLine="0" w:firstLineChars="0"/>
            </w:pPr>
          </w:p>
        </w:tc>
      </w:tr>
    </w:tbl>
    <w:p>
      <w:pPr>
        <w:spacing w:before="0" w:after="0" w:line="240" w:lineRule="auto"/>
        <w:jc w:val="left"/>
        <w:outlineLvl w:val="9"/>
        <w:sectPr>
          <w:pgSz w:w="16840" w:h="11900" w:orient="landscape"/>
          <w:pgMar w:top="1361" w:right="1020" w:bottom="1361" w:left="1020" w:header="720" w:footer="720" w:gutter="0"/>
          <w:cols w:space="720" w:num="1"/>
        </w:sectPr>
      </w:pPr>
    </w:p>
    <w:p>
      <w:pPr>
        <w:spacing w:before="0" w:after="0" w:line="240" w:lineRule="auto"/>
        <w:ind w:firstLine="0"/>
        <w:jc w:val="both"/>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按照《中华人民共和国预算法》、《地方预决算公开操作规程》和《关于进一步推进预算公开工作的实施意见》规定，现将石家庄市藁城区常安镇人民政府本级2024年单位预算公开如下：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根据《石家庄市藁城区常安镇人民政府职能配置、内设机构和人员编制规定》， 石家庄市藁城区常安镇人民政府的主要职责是：</w:t>
      </w:r>
    </w:p>
    <w:p>
      <w:pPr>
        <w:pStyle w:val="22"/>
      </w:pPr>
      <w:r>
        <w:t>1.政务管理</w:t>
      </w:r>
    </w:p>
    <w:p>
      <w:pPr>
        <w:pStyle w:val="22"/>
      </w:pPr>
      <w:r>
        <w:t>处理机关日常事务，保证镇政府值班工作，及时报告重要情况，传达和督促落实镇党委、政府领导指示。</w:t>
      </w:r>
    </w:p>
    <w:p>
      <w:pPr>
        <w:pStyle w:val="22"/>
      </w:pPr>
      <w:r>
        <w:t>2.综合业务、事务管理</w:t>
      </w:r>
    </w:p>
    <w:p>
      <w:pPr>
        <w:pStyle w:val="22"/>
      </w:pPr>
      <w:r>
        <w:t>加强推进党的基层组织建设、纪检监察、党风廉政建设、统一战线、人民武装、精神文明建设、组织人事工作。加强机关事务性管理，开展机关自身能力建设。</w:t>
      </w:r>
    </w:p>
    <w:p>
      <w:pPr>
        <w:pStyle w:val="22"/>
      </w:pPr>
      <w:r>
        <w:t>3.应急管理</w:t>
      </w:r>
    </w:p>
    <w:p>
      <w:pPr>
        <w:pStyle w:val="22"/>
      </w:pPr>
      <w:r>
        <w:t>保证镇政府值班工作，及时报告重要情况，传达和督促落实镇政府领导指示。</w:t>
      </w:r>
    </w:p>
    <w:p>
      <w:pPr>
        <w:pStyle w:val="22"/>
      </w:pPr>
      <w:r>
        <w:t>4.社会治安综合治理</w:t>
      </w:r>
    </w:p>
    <w:p>
      <w:pPr>
        <w:pStyle w:val="22"/>
      </w:pPr>
      <w:r>
        <w:t>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pPr>
        <w:pStyle w:val="22"/>
      </w:pPr>
      <w:r>
        <w:t>5.协调维护社会治安稳定</w:t>
      </w:r>
    </w:p>
    <w:p>
      <w:pPr>
        <w:pStyle w:val="22"/>
      </w:pPr>
      <w:r>
        <w:t>做好社会治安综合治理工作，做好司法、宗教工作，打击邪教；做好群众 来信来访、搞好农村矛盾纠纷排查调处；妥善处理突发性、群体性事件，维护社会稳定；打击各类犯罪活动。</w:t>
      </w:r>
    </w:p>
    <w:p>
      <w:pPr>
        <w:pStyle w:val="22"/>
      </w:pPr>
      <w:r>
        <w:t>6.经济发展</w:t>
      </w:r>
    </w:p>
    <w:p>
      <w:pPr>
        <w:pStyle w:val="22"/>
      </w:pPr>
      <w:r>
        <w:t>制定经济发展规划，促进民营企业发展，招商引资，大力发展第二、三产业。</w:t>
      </w:r>
    </w:p>
    <w:p>
      <w:pPr>
        <w:pStyle w:val="22"/>
      </w:pPr>
      <w:r>
        <w:t>7.民生改善</w:t>
      </w:r>
    </w:p>
    <w:p>
      <w:pPr>
        <w:pStyle w:val="22"/>
      </w:pPr>
      <w:r>
        <w:t>加强基础设施建设，落实强农惠农措施，搞好技术推广应用。大力发展苗木种植产业化</w:t>
      </w:r>
    </w:p>
    <w:p>
      <w:pPr>
        <w:pStyle w:val="22"/>
      </w:pPr>
      <w:r>
        <w:t>8.农业生产</w:t>
      </w:r>
    </w:p>
    <w:p>
      <w:pPr>
        <w:pStyle w:val="22"/>
      </w:pPr>
      <w:r>
        <w:t>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pStyle w:val="22"/>
      </w:pPr>
      <w:r>
        <w:t>9.农业技术推广农业教育与技能培训，开展粮食等作物高产创建。</w:t>
      </w:r>
    </w:p>
    <w:p>
      <w:pPr>
        <w:pStyle w:val="22"/>
      </w:pPr>
      <w:r>
        <w:t>开展农业新技术推广、示范。"通过推广优良品种，辐射带动大面积的平衡增产，提高单产水平。</w:t>
      </w:r>
    </w:p>
    <w:p>
      <w:pPr>
        <w:pStyle w:val="22"/>
      </w:pPr>
      <w:r>
        <w:t>10.加强土地使用管理</w:t>
      </w:r>
    </w:p>
    <w:p>
      <w:pPr>
        <w:pStyle w:val="22"/>
      </w:pPr>
      <w:r>
        <w:t>管理土地使用情况管理汇报</w:t>
      </w:r>
    </w:p>
    <w:p>
      <w:pPr>
        <w:pStyle w:val="22"/>
      </w:pPr>
      <w:r>
        <w:t>11.土地管理</w:t>
      </w:r>
    </w:p>
    <w:p>
      <w:pPr>
        <w:pStyle w:val="22"/>
      </w:pPr>
      <w:r>
        <w:t>加强规范土地使用</w:t>
      </w:r>
    </w:p>
    <w:p>
      <w:pPr>
        <w:pStyle w:val="22"/>
      </w:pPr>
      <w:r>
        <w:t>12.社会救助政策及管理</w:t>
      </w:r>
    </w:p>
    <w:p>
      <w:pPr>
        <w:pStyle w:val="22"/>
      </w:pPr>
      <w:r>
        <w:t>承担社会救助体系建设，负责农村居民最低生活保障、五保供养、医疗救助。</w:t>
      </w:r>
    </w:p>
    <w:p>
      <w:pPr>
        <w:pStyle w:val="22"/>
      </w:pPr>
      <w:r>
        <w:t>13.农村居民最低生活保障</w:t>
      </w:r>
    </w:p>
    <w:p>
      <w:pPr>
        <w:pStyle w:val="22"/>
      </w:pPr>
      <w:r>
        <w:t>负责符合条件的农村居民最低生活保障工作</w:t>
      </w:r>
    </w:p>
    <w:p>
      <w:pPr>
        <w:pStyle w:val="22"/>
      </w:pPr>
      <w:r>
        <w:t>14.农村五保供养</w:t>
      </w:r>
    </w:p>
    <w:p>
      <w:pPr>
        <w:pStyle w:val="22"/>
      </w:pPr>
      <w:r>
        <w:t>负责农村五保户的分散供养工作</w:t>
      </w:r>
    </w:p>
    <w:p>
      <w:pPr>
        <w:pStyle w:val="22"/>
      </w:pPr>
      <w:r>
        <w:t>15.临时生活救助</w:t>
      </w:r>
    </w:p>
    <w:p>
      <w:pPr>
        <w:pStyle w:val="22"/>
      </w:pPr>
      <w:r>
        <w:t>负责符合条件的农村居民的临时生活救助</w:t>
      </w:r>
    </w:p>
    <w:p>
      <w:pPr>
        <w:pStyle w:val="22"/>
      </w:pPr>
      <w:r>
        <w:t>16.环境保护与治理</w:t>
      </w:r>
    </w:p>
    <w:p>
      <w:pPr>
        <w:pStyle w:val="22"/>
      </w:pPr>
      <w:r>
        <w:t>承担环境保护和治理环境污染</w:t>
      </w:r>
    </w:p>
    <w:p>
      <w:pPr>
        <w:pStyle w:val="22"/>
      </w:pPr>
      <w:r>
        <w:t>17.环境管理</w:t>
      </w:r>
    </w:p>
    <w:p>
      <w:pPr>
        <w:pStyle w:val="22"/>
      </w:pPr>
      <w:r>
        <w:t>强化区域环境管理</w:t>
      </w:r>
    </w:p>
    <w:p>
      <w:pPr>
        <w:pStyle w:val="22"/>
      </w:pPr>
      <w:r>
        <w:t>18.食品安全管理</w:t>
      </w:r>
    </w:p>
    <w:p>
      <w:pPr>
        <w:pStyle w:val="22"/>
      </w:pPr>
      <w:r>
        <w:t>依法进行食品安全管理</w:t>
      </w:r>
    </w:p>
    <w:p>
      <w:pPr>
        <w:pStyle w:val="22"/>
      </w:pPr>
      <w:r>
        <w:t>19.安全生产管理</w:t>
      </w:r>
    </w:p>
    <w:p>
      <w:pPr>
        <w:pStyle w:val="22"/>
      </w:pPr>
      <w:r>
        <w:t>依法强化安全生产监管，建立安全生产监管台账，打击非法生产企业</w:t>
      </w:r>
    </w:p>
    <w:p>
      <w:pPr>
        <w:pStyle w:val="22"/>
      </w:pPr>
      <w:r>
        <w:t>20.预算管理、财务管理</w:t>
      </w:r>
    </w:p>
    <w:p>
      <w:pPr>
        <w:pStyle w:val="22"/>
      </w:pPr>
      <w:r>
        <w:t>负责镇财政预算管理与执行，负责镇机关收支活动，组织实施镇财务核算及监督工作。</w:t>
      </w:r>
    </w:p>
    <w:p>
      <w:pPr>
        <w:pStyle w:val="22"/>
      </w:pPr>
      <w:r>
        <w:t>21.合理安排预算</w:t>
      </w:r>
    </w:p>
    <w:p>
      <w:pPr>
        <w:pStyle w:val="22"/>
      </w:pPr>
      <w:r>
        <w:t>按照保工资、保运转的顺序做好预算安排</w:t>
      </w:r>
    </w:p>
    <w:p>
      <w:pPr>
        <w:pStyle w:val="22"/>
      </w:pPr>
      <w:r>
        <w:t>22.严格票据管理</w:t>
      </w:r>
    </w:p>
    <w:p>
      <w:pPr>
        <w:pStyle w:val="22"/>
      </w:pPr>
      <w:r>
        <w:t>对不规范的票据一律不报销、不入账</w:t>
      </w:r>
    </w:p>
    <w:p>
      <w:pPr>
        <w:pStyle w:val="22"/>
      </w:pPr>
      <w:r>
        <w:t>23.村财镇管、涉农资金</w:t>
      </w:r>
    </w:p>
    <w:p>
      <w:pPr>
        <w:pStyle w:val="22"/>
      </w:pPr>
      <w:r>
        <w:t>负责村级财务核算及监督工作，负责涉农资金的落实，负责管理镇国有资产，实施债权债务监督管理。</w:t>
      </w:r>
    </w:p>
    <w:p>
      <w:pPr>
        <w:pStyle w:val="22"/>
      </w:pPr>
      <w:r>
        <w:t>24.坚持抽查制度、定期核查、以收定支。</w:t>
      </w:r>
    </w:p>
    <w:p>
      <w:pPr>
        <w:pStyle w:val="22"/>
      </w:pPr>
      <w:r>
        <w:t>不定期进村入户抽查涉农资金落实情况。采用按月进行资产核查。坚持以收定支，杜绝举债行为发生。</w:t>
      </w:r>
    </w:p>
    <w:p>
      <w:pPr>
        <w:pStyle w:val="22"/>
      </w:pPr>
      <w:r>
        <w:t>25.计划生育</w:t>
      </w:r>
    </w:p>
    <w:p>
      <w:pPr>
        <w:pStyle w:val="22"/>
      </w:pPr>
      <w:r>
        <w:t>提供各类生育技术服务，建立利益导向机制，开展出生人口性别比治理以及流动人口计划生育管理等各项工作。落实计生相关法律法规，业务宣传工作。</w:t>
      </w:r>
    </w:p>
    <w:p>
      <w:pPr>
        <w:pStyle w:val="22"/>
      </w:pPr>
      <w:r>
        <w:t>26.计划生育奖励扶持政策</w:t>
      </w:r>
    </w:p>
    <w:p>
      <w:pPr>
        <w:pStyle w:val="22"/>
      </w:pPr>
      <w:r>
        <w:t>采取奖励、扶助、社会保障等机制，引导家庭和个人打取计划生育措施，提高计划生育家庭发展能力。</w:t>
      </w:r>
    </w:p>
    <w:p>
      <w:pPr>
        <w:pStyle w:val="22"/>
      </w:pPr>
      <w:r>
        <w:t>27.计划生育咨询服务、计划生育保健及优生服务</w:t>
      </w:r>
    </w:p>
    <w:p>
      <w:pPr>
        <w:pStyle w:val="22"/>
      </w:pPr>
      <w:r>
        <w:t>开展计生宣传教育，政策落实等综合业务工作。</w:t>
      </w:r>
    </w:p>
    <w:p>
      <w:pPr>
        <w:pStyle w:val="22"/>
      </w:pPr>
      <w:r>
        <w:t>28.文教卫生</w:t>
      </w:r>
    </w:p>
    <w:p>
      <w:pPr>
        <w:pStyle w:val="22"/>
      </w:pPr>
      <w:r>
        <w:t>配合教育、科技、文体、卫生等部门搞好义务教育，普及推广科学技术，丰富农村文化生活，开展全民健身运动，推行和完善新型合作医疗制度，提高参保率，加强农村食品安全监管。</w:t>
      </w:r>
    </w:p>
    <w:p>
      <w:pPr>
        <w:pStyle w:val="22"/>
      </w:pPr>
      <w:r>
        <w:t>29.提供公共服务</w:t>
      </w:r>
    </w:p>
    <w:p>
      <w:pPr>
        <w:pStyle w:val="22"/>
        <w:sectPr>
          <w:pgSz w:w="11900" w:h="16840"/>
          <w:pgMar w:top="1361" w:right="1020" w:bottom="1361" w:left="1020" w:header="720" w:footer="720" w:gutter="0"/>
          <w:pgNumType w:start="1"/>
          <w:cols w:space="720" w:num="1"/>
        </w:sectPr>
      </w:pPr>
      <w:r>
        <w:t>搞好义务教育，新型农村合作医疗、食品药品安全监管。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石家庄市藁城区常安镇人民政府本级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反映本单位当年全部收入。2024年预算收入1405.42万元，其中：一般公共预算收入1405.42万元，基金预算收入0万元，财政专户核拨收入0万元，其他来源收入77万元。</w:t>
      </w:r>
    </w:p>
    <w:p>
      <w:pPr>
        <w:pStyle w:val="18"/>
      </w:pPr>
      <w:r>
        <w:t>2、支出说明</w:t>
      </w:r>
    </w:p>
    <w:p>
      <w:pPr>
        <w:pStyle w:val="18"/>
      </w:pPr>
      <w:r>
        <w:t>收支预算总表支出栏、基本支出表、项目支出表按经济分类和支出功能分类科目编制，反映本单位预算中支出预算的总体情况。2024年本单位支出预算为11405.42万元，其中基本支出1181.57万元，包括人员经费1018.66万元和日常公用经费162.91万元；项目支出223.85万元，主要为常安镇2023年度学区工会费17.28万元，常安镇2023年政府工会费2.88万元，常安镇公用经费6.21万元，公用经费（联防队员工资）34.2万元，公用经费（临时人员工资）49万元，公用经费（绿化补贴配套）9.59万元，马山线、定魏线、定魏支线占地补贴22.72万元，农村独生子女费3万元，农村文化建设18万元，原经贸系统关闭企业下放回乡的合同工、副业工涉军人员生活补贴1.97万元，综合工作经费77万元。</w:t>
      </w:r>
    </w:p>
    <w:p>
      <w:pPr>
        <w:pStyle w:val="18"/>
      </w:pPr>
      <w:r>
        <w:t>3、比上年增减情况</w:t>
      </w:r>
    </w:p>
    <w:p>
      <w:pPr>
        <w:pStyle w:val="18"/>
      </w:pPr>
      <w:r>
        <w:t xml:space="preserve">2024年本单位预算收支安排1405.42万元，较2023年增加60.98万元，其中：基本支出增加9.22万元，主要是人员变化，相应增加人员经费和日常公用经费；项目支出增加51.76万元，主要 </w:t>
      </w:r>
    </w:p>
    <w:p>
      <w:pPr>
        <w:pStyle w:val="18"/>
      </w:pPr>
      <w:r>
        <w:t>是常安镇综合工作经费、人居环境环保经费；其他支出无增减变化。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w:t>
      </w:r>
      <w:r>
        <w:rPr>
          <w:rFonts w:hint="eastAsia"/>
          <w:lang w:val="en-US" w:eastAsia="zh-CN"/>
        </w:rPr>
        <w:t>单位</w:t>
      </w:r>
      <w:r>
        <w:t>机关运行经费共计安排162.91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w:t>
      </w:r>
      <w:r>
        <w:rPr>
          <w:rFonts w:hint="eastAsia"/>
          <w:lang w:val="en-US" w:eastAsia="zh-CN"/>
        </w:rPr>
        <w:t>单位</w:t>
      </w:r>
      <w:r>
        <w:t>财政拨款“三公”经费预算安排2.</w:t>
      </w:r>
      <w:r>
        <w:rPr>
          <w:rFonts w:hint="eastAsia"/>
          <w:lang w:val="en-US" w:eastAsia="zh-CN"/>
        </w:rPr>
        <w:t>2</w:t>
      </w:r>
      <w:r>
        <w:t>5万元，其中：因公出国（境）费0万元，与上年持平，无增减变化；公务用车购置及运维费2.2万元（其中：公务用车购置费0万元，与上年持平，无增减变化；公务用车运行维护费2.2万元，与上年持平，无增减变化）；公务接待费0.05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1、常安镇2024年度学区工会费绩效目标表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13010924P00003910076P</w:t>
            </w:r>
          </w:p>
        </w:tc>
        <w:tc>
          <w:tcPr>
            <w:tcW w:w="2835" w:type="dxa"/>
            <w:vAlign w:val="center"/>
          </w:tcPr>
          <w:p>
            <w:pPr>
              <w:pStyle w:val="10"/>
            </w:pPr>
            <w:r>
              <w:t>项目名称</w:t>
            </w:r>
          </w:p>
        </w:tc>
        <w:tc>
          <w:tcPr>
            <w:tcW w:w="6094" w:type="dxa"/>
            <w:gridSpan w:val="3"/>
            <w:vAlign w:val="center"/>
          </w:tcPr>
          <w:p>
            <w:pPr>
              <w:pStyle w:val="12"/>
            </w:pPr>
            <w:r>
              <w:t>常安镇2024年度学区工会费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17.28</w:t>
            </w:r>
          </w:p>
        </w:tc>
        <w:tc>
          <w:tcPr>
            <w:tcW w:w="2835" w:type="dxa"/>
            <w:vAlign w:val="center"/>
          </w:tcPr>
          <w:p>
            <w:pPr>
              <w:pStyle w:val="10"/>
            </w:pPr>
            <w:r>
              <w:t>其中：财政    资金</w:t>
            </w:r>
          </w:p>
        </w:tc>
        <w:tc>
          <w:tcPr>
            <w:tcW w:w="2551" w:type="dxa"/>
            <w:vAlign w:val="center"/>
          </w:tcPr>
          <w:p>
            <w:pPr>
              <w:pStyle w:val="12"/>
            </w:pPr>
            <w:r>
              <w:t>17.28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按照学区工会工作要求及时上缴工会经费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1.按照学区工会工作要求及时上缴工会经费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缴费数量</w:t>
            </w:r>
          </w:p>
        </w:tc>
        <w:tc>
          <w:tcPr>
            <w:tcW w:w="5386" w:type="dxa"/>
            <w:vAlign w:val="center"/>
          </w:tcPr>
          <w:p>
            <w:pPr>
              <w:pStyle w:val="12"/>
            </w:pPr>
            <w:r>
              <w:t>学区工会缴费人数</w:t>
            </w:r>
          </w:p>
        </w:tc>
        <w:tc>
          <w:tcPr>
            <w:tcW w:w="2268" w:type="dxa"/>
            <w:vAlign w:val="center"/>
          </w:tcPr>
          <w:p>
            <w:pPr>
              <w:pStyle w:val="12"/>
            </w:pPr>
            <w:r>
              <w:t>56人</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上缴资金完成时间</w:t>
            </w:r>
          </w:p>
        </w:tc>
        <w:tc>
          <w:tcPr>
            <w:tcW w:w="5386" w:type="dxa"/>
            <w:vAlign w:val="center"/>
          </w:tcPr>
          <w:p>
            <w:pPr>
              <w:pStyle w:val="12"/>
            </w:pPr>
            <w:r>
              <w:t>按照区工会安排时间上缴工会费</w:t>
            </w:r>
          </w:p>
        </w:tc>
        <w:tc>
          <w:tcPr>
            <w:tcW w:w="2268" w:type="dxa"/>
            <w:vAlign w:val="center"/>
          </w:tcPr>
          <w:p>
            <w:pPr>
              <w:pStyle w:val="12"/>
            </w:pPr>
            <w:r>
              <w:t>12月底完成17.28万元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工会费标准</w:t>
            </w:r>
          </w:p>
        </w:tc>
        <w:tc>
          <w:tcPr>
            <w:tcW w:w="5386" w:type="dxa"/>
            <w:vAlign w:val="center"/>
          </w:tcPr>
          <w:p>
            <w:pPr>
              <w:pStyle w:val="12"/>
            </w:pPr>
            <w:r>
              <w:t>工会费缴纳标准是每人每月应发工会费</w:t>
            </w:r>
          </w:p>
        </w:tc>
        <w:tc>
          <w:tcPr>
            <w:tcW w:w="2268" w:type="dxa"/>
            <w:vAlign w:val="center"/>
          </w:tcPr>
          <w:p>
            <w:pPr>
              <w:pStyle w:val="12"/>
            </w:pPr>
            <w:r>
              <w:t>0.03万元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工会工作形成的重要影响得到认可</w:t>
            </w:r>
          </w:p>
        </w:tc>
        <w:tc>
          <w:tcPr>
            <w:tcW w:w="2268" w:type="dxa"/>
            <w:vAlign w:val="center"/>
          </w:tcPr>
          <w:p>
            <w:pPr>
              <w:pStyle w:val="12"/>
            </w:pPr>
            <w:r>
              <w:t>≥95%</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工会工作形成的重要影响得到认可</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对服务工作的满意度</w:t>
            </w:r>
          </w:p>
        </w:tc>
        <w:tc>
          <w:tcPr>
            <w:tcW w:w="2268" w:type="dxa"/>
            <w:vAlign w:val="center"/>
          </w:tcPr>
          <w:p>
            <w:pPr>
              <w:pStyle w:val="12"/>
            </w:pPr>
            <w:r>
              <w:t>≥90%</w:t>
            </w:r>
          </w:p>
        </w:tc>
        <w:tc>
          <w:tcPr>
            <w:tcW w:w="1276" w:type="dxa"/>
            <w:vAlign w:val="center"/>
          </w:tcPr>
          <w:p>
            <w:pPr>
              <w:pStyle w:val="12"/>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2、常安镇2024年度政府工会费绩效目标表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13010924P000039100754</w:t>
            </w:r>
          </w:p>
        </w:tc>
        <w:tc>
          <w:tcPr>
            <w:tcW w:w="2835" w:type="dxa"/>
            <w:vAlign w:val="center"/>
          </w:tcPr>
          <w:p>
            <w:pPr>
              <w:pStyle w:val="10"/>
            </w:pPr>
            <w:r>
              <w:t>项目名称</w:t>
            </w:r>
          </w:p>
        </w:tc>
        <w:tc>
          <w:tcPr>
            <w:tcW w:w="6094" w:type="dxa"/>
            <w:gridSpan w:val="3"/>
            <w:vAlign w:val="center"/>
          </w:tcPr>
          <w:p>
            <w:pPr>
              <w:pStyle w:val="12"/>
            </w:pPr>
            <w:r>
              <w:t>常安镇2024年度政府工会费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w:t>
            </w:r>
          </w:p>
        </w:tc>
        <w:tc>
          <w:tcPr>
            <w:tcW w:w="2835" w:type="dxa"/>
            <w:vAlign w:val="center"/>
          </w:tcPr>
          <w:p>
            <w:pPr>
              <w:pStyle w:val="10"/>
            </w:pPr>
            <w:r>
              <w:t>其中：财政    资金</w:t>
            </w:r>
          </w:p>
        </w:tc>
        <w:tc>
          <w:tcPr>
            <w:tcW w:w="2551" w:type="dxa"/>
            <w:vAlign w:val="center"/>
          </w:tcPr>
          <w:p>
            <w:pPr>
              <w:pStyle w:val="12"/>
            </w:pPr>
            <w:r>
              <w:t>2.88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按照工会工作要求及时上缴工会经费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1.按照工会工作要求及时上缴工会经费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缴费数量</w:t>
            </w:r>
          </w:p>
        </w:tc>
        <w:tc>
          <w:tcPr>
            <w:tcW w:w="5386" w:type="dxa"/>
            <w:vAlign w:val="center"/>
          </w:tcPr>
          <w:p>
            <w:pPr>
              <w:pStyle w:val="12"/>
            </w:pPr>
            <w:r>
              <w:t>政府工会缴费人数</w:t>
            </w:r>
          </w:p>
        </w:tc>
        <w:tc>
          <w:tcPr>
            <w:tcW w:w="2268" w:type="dxa"/>
            <w:vAlign w:val="center"/>
          </w:tcPr>
          <w:p>
            <w:pPr>
              <w:pStyle w:val="12"/>
            </w:pPr>
            <w:r>
              <w:t>56人</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上缴资金完成时间</w:t>
            </w:r>
          </w:p>
        </w:tc>
        <w:tc>
          <w:tcPr>
            <w:tcW w:w="5386" w:type="dxa"/>
            <w:vAlign w:val="center"/>
          </w:tcPr>
          <w:p>
            <w:pPr>
              <w:pStyle w:val="12"/>
            </w:pPr>
            <w:r>
              <w:t>按照区工会安排时间缴工会费</w:t>
            </w:r>
          </w:p>
        </w:tc>
        <w:tc>
          <w:tcPr>
            <w:tcW w:w="2268" w:type="dxa"/>
            <w:vAlign w:val="center"/>
          </w:tcPr>
          <w:p>
            <w:pPr>
              <w:pStyle w:val="12"/>
            </w:pPr>
            <w:r>
              <w:t>12月底完成2.88万元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工会费等标准</w:t>
            </w:r>
          </w:p>
        </w:tc>
        <w:tc>
          <w:tcPr>
            <w:tcW w:w="5386" w:type="dxa"/>
            <w:vAlign w:val="center"/>
          </w:tcPr>
          <w:p>
            <w:pPr>
              <w:pStyle w:val="12"/>
            </w:pPr>
            <w:r>
              <w:t>工会费缴纳标准是每人每月应缴工会费</w:t>
            </w:r>
          </w:p>
        </w:tc>
        <w:tc>
          <w:tcPr>
            <w:tcW w:w="2268" w:type="dxa"/>
            <w:vAlign w:val="center"/>
          </w:tcPr>
          <w:p>
            <w:pPr>
              <w:pStyle w:val="12"/>
            </w:pPr>
            <w:r>
              <w:t>0.03万元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工会工作形成的重要影响得到认可</w:t>
            </w:r>
          </w:p>
        </w:tc>
        <w:tc>
          <w:tcPr>
            <w:tcW w:w="2268" w:type="dxa"/>
            <w:vAlign w:val="center"/>
          </w:tcPr>
          <w:p>
            <w:pPr>
              <w:pStyle w:val="12"/>
            </w:pPr>
            <w:r>
              <w:t>≥95%</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工会工作形成的重要影响得到认可</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对服务工作的满意度</w:t>
            </w:r>
          </w:p>
        </w:tc>
        <w:tc>
          <w:tcPr>
            <w:tcW w:w="2268" w:type="dxa"/>
            <w:vAlign w:val="center"/>
          </w:tcPr>
          <w:p>
            <w:pPr>
              <w:pStyle w:val="12"/>
            </w:pPr>
            <w:r>
              <w:t>≥90%</w:t>
            </w:r>
          </w:p>
        </w:tc>
        <w:tc>
          <w:tcPr>
            <w:tcW w:w="1276" w:type="dxa"/>
            <w:vAlign w:val="center"/>
          </w:tcPr>
          <w:p>
            <w:pPr>
              <w:pStyle w:val="12"/>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3、常安镇公用经费绩效目标表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13010924P00003910077B</w:t>
            </w:r>
          </w:p>
        </w:tc>
        <w:tc>
          <w:tcPr>
            <w:tcW w:w="2835" w:type="dxa"/>
            <w:vAlign w:val="center"/>
          </w:tcPr>
          <w:p>
            <w:pPr>
              <w:pStyle w:val="10"/>
            </w:pPr>
            <w:r>
              <w:t>项目名称</w:t>
            </w:r>
          </w:p>
        </w:tc>
        <w:tc>
          <w:tcPr>
            <w:tcW w:w="6094" w:type="dxa"/>
            <w:gridSpan w:val="3"/>
            <w:vAlign w:val="center"/>
          </w:tcPr>
          <w:p>
            <w:pPr>
              <w:pStyle w:val="12"/>
            </w:pPr>
            <w:r>
              <w:t>常安镇公用经费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6.21</w:t>
            </w:r>
          </w:p>
        </w:tc>
        <w:tc>
          <w:tcPr>
            <w:tcW w:w="2835" w:type="dxa"/>
            <w:vAlign w:val="center"/>
          </w:tcPr>
          <w:p>
            <w:pPr>
              <w:pStyle w:val="10"/>
            </w:pPr>
            <w:r>
              <w:t>其中：财政    资金</w:t>
            </w:r>
          </w:p>
        </w:tc>
        <w:tc>
          <w:tcPr>
            <w:tcW w:w="2551" w:type="dxa"/>
            <w:vAlign w:val="center"/>
          </w:tcPr>
          <w:p>
            <w:pPr>
              <w:pStyle w:val="12"/>
            </w:pPr>
            <w:r>
              <w:t>6.21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根据年度计划工作，统筹安排人居环境整治、新时代文明实践、环保、土地、食品安全、安全生产、信访、劳务费、绿化植树、武装工作经费等资金支出，确保常安镇各项工作顺利开展。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1.根据年度计划工作，统筹安排人居环境整治、新时代文明实践、环保、土地、食品安全、安全生产、信访、劳务费、绿化植树、武装工作经费等资金支出，确保常安镇各项工作顺利开展。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资金拨付数量</w:t>
            </w:r>
          </w:p>
        </w:tc>
        <w:tc>
          <w:tcPr>
            <w:tcW w:w="5386" w:type="dxa"/>
            <w:vAlign w:val="center"/>
          </w:tcPr>
          <w:p>
            <w:pPr>
              <w:pStyle w:val="12"/>
            </w:pPr>
            <w:r>
              <w:t>根据预算按人员比例全年公用经费</w:t>
            </w:r>
          </w:p>
        </w:tc>
        <w:tc>
          <w:tcPr>
            <w:tcW w:w="2268" w:type="dxa"/>
            <w:vAlign w:val="center"/>
          </w:tcPr>
          <w:p>
            <w:pPr>
              <w:pStyle w:val="12"/>
            </w:pPr>
            <w:r>
              <w:t>6.21万元</w:t>
            </w:r>
          </w:p>
        </w:tc>
        <w:tc>
          <w:tcPr>
            <w:tcW w:w="1276" w:type="dxa"/>
            <w:vAlign w:val="center"/>
          </w:tcPr>
          <w:p>
            <w:pPr>
              <w:pStyle w:val="12"/>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w:t>
            </w:r>
          </w:p>
        </w:tc>
        <w:tc>
          <w:tcPr>
            <w:tcW w:w="1276" w:type="dxa"/>
            <w:vAlign w:val="center"/>
          </w:tcPr>
          <w:p>
            <w:pPr>
              <w:pStyle w:val="12"/>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w:t>
            </w:r>
          </w:p>
        </w:tc>
        <w:tc>
          <w:tcPr>
            <w:tcW w:w="5386" w:type="dxa"/>
            <w:vAlign w:val="center"/>
          </w:tcPr>
          <w:p>
            <w:pPr>
              <w:pStyle w:val="12"/>
            </w:pPr>
            <w:r>
              <w:t>根据预算安排及时支出</w:t>
            </w:r>
          </w:p>
        </w:tc>
        <w:tc>
          <w:tcPr>
            <w:tcW w:w="2268" w:type="dxa"/>
            <w:vAlign w:val="center"/>
          </w:tcPr>
          <w:p>
            <w:pPr>
              <w:pStyle w:val="12"/>
            </w:pPr>
            <w:r>
              <w:t>12月完成6.21万元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综合工作经费等标准</w:t>
            </w:r>
          </w:p>
        </w:tc>
        <w:tc>
          <w:tcPr>
            <w:tcW w:w="5386" w:type="dxa"/>
            <w:vAlign w:val="center"/>
          </w:tcPr>
          <w:p>
            <w:pPr>
              <w:pStyle w:val="12"/>
            </w:pPr>
            <w:r>
              <w:t>每季度完成经费支出金额</w:t>
            </w:r>
          </w:p>
        </w:tc>
        <w:tc>
          <w:tcPr>
            <w:tcW w:w="2268" w:type="dxa"/>
            <w:vAlign w:val="center"/>
          </w:tcPr>
          <w:p>
            <w:pPr>
              <w:pStyle w:val="12"/>
            </w:pPr>
            <w:r>
              <w:t>每季度支出总金额的30%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年度工作在全镇形成的重要影响得到广大群众的认可</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年度工作在全镇形成的重要影响得到广大群众的认可</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4、公用经费（联防队员工资）绩效目标表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13010924P00003910078Y</w:t>
            </w:r>
          </w:p>
        </w:tc>
        <w:tc>
          <w:tcPr>
            <w:tcW w:w="2835" w:type="dxa"/>
            <w:vAlign w:val="center"/>
          </w:tcPr>
          <w:p>
            <w:pPr>
              <w:pStyle w:val="10"/>
            </w:pPr>
            <w:r>
              <w:t>项目名称</w:t>
            </w:r>
          </w:p>
        </w:tc>
        <w:tc>
          <w:tcPr>
            <w:tcW w:w="6094" w:type="dxa"/>
            <w:gridSpan w:val="3"/>
            <w:vAlign w:val="center"/>
          </w:tcPr>
          <w:p>
            <w:pPr>
              <w:pStyle w:val="12"/>
            </w:pPr>
            <w:r>
              <w:t>公用经费（联防队员工资）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34.20</w:t>
            </w:r>
          </w:p>
        </w:tc>
        <w:tc>
          <w:tcPr>
            <w:tcW w:w="2835" w:type="dxa"/>
            <w:vAlign w:val="center"/>
          </w:tcPr>
          <w:p>
            <w:pPr>
              <w:pStyle w:val="10"/>
            </w:pPr>
            <w:r>
              <w:t>其中：财政    资金</w:t>
            </w:r>
          </w:p>
        </w:tc>
        <w:tc>
          <w:tcPr>
            <w:tcW w:w="2551" w:type="dxa"/>
            <w:vAlign w:val="center"/>
          </w:tcPr>
          <w:p>
            <w:pPr>
              <w:pStyle w:val="12"/>
            </w:pPr>
            <w:r>
              <w:t>34.20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确保联防队员工资发放到位，加强巡逻，保障社会治安稳定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1.确保联防队员工资发放到位，加强巡逻，保障社会治安稳定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拨付联防队员人数</w:t>
            </w:r>
          </w:p>
        </w:tc>
        <w:tc>
          <w:tcPr>
            <w:tcW w:w="5386" w:type="dxa"/>
            <w:vAlign w:val="center"/>
          </w:tcPr>
          <w:p>
            <w:pPr>
              <w:pStyle w:val="12"/>
            </w:pPr>
            <w:r>
              <w:t>联防队员工资发放情况</w:t>
            </w:r>
          </w:p>
        </w:tc>
        <w:tc>
          <w:tcPr>
            <w:tcW w:w="2268" w:type="dxa"/>
            <w:vAlign w:val="center"/>
          </w:tcPr>
          <w:p>
            <w:pPr>
              <w:pStyle w:val="12"/>
            </w:pPr>
            <w:r>
              <w:t>10名</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发放资金效率</w:t>
            </w:r>
          </w:p>
        </w:tc>
        <w:tc>
          <w:tcPr>
            <w:tcW w:w="5386" w:type="dxa"/>
            <w:vAlign w:val="center"/>
          </w:tcPr>
          <w:p>
            <w:pPr>
              <w:pStyle w:val="12"/>
            </w:pPr>
            <w:r>
              <w:t>按照安排资金数量发放经费</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发放资金及时</w:t>
            </w:r>
          </w:p>
        </w:tc>
        <w:tc>
          <w:tcPr>
            <w:tcW w:w="5386" w:type="dxa"/>
            <w:vAlign w:val="center"/>
          </w:tcPr>
          <w:p>
            <w:pPr>
              <w:pStyle w:val="12"/>
            </w:pPr>
            <w:r>
              <w:t>每月月底按时发放联防队员工资</w:t>
            </w:r>
          </w:p>
        </w:tc>
        <w:tc>
          <w:tcPr>
            <w:tcW w:w="2268" w:type="dxa"/>
            <w:vAlign w:val="center"/>
          </w:tcPr>
          <w:p>
            <w:pPr>
              <w:pStyle w:val="12"/>
            </w:pPr>
            <w:r>
              <w:t>每月完成2.85万元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工资（福利）社会保障等标准</w:t>
            </w:r>
          </w:p>
        </w:tc>
        <w:tc>
          <w:tcPr>
            <w:tcW w:w="5386" w:type="dxa"/>
            <w:vAlign w:val="center"/>
          </w:tcPr>
          <w:p>
            <w:pPr>
              <w:pStyle w:val="12"/>
            </w:pPr>
            <w:r>
              <w:t>工资社会保障等发放标准</w:t>
            </w:r>
          </w:p>
        </w:tc>
        <w:tc>
          <w:tcPr>
            <w:tcW w:w="2268" w:type="dxa"/>
            <w:vAlign w:val="center"/>
          </w:tcPr>
          <w:p>
            <w:pPr>
              <w:pStyle w:val="12"/>
            </w:pPr>
            <w:r>
              <w:t>2850元/人</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≥95%</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≥95%</w:t>
            </w:r>
          </w:p>
        </w:tc>
        <w:tc>
          <w:tcPr>
            <w:tcW w:w="1276" w:type="dxa"/>
            <w:vAlign w:val="center"/>
          </w:tcPr>
          <w:p>
            <w:pPr>
              <w:pStyle w:val="12"/>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5、公用经费（临时人员工资）绩效目标表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13010924P00003910079J</w:t>
            </w:r>
          </w:p>
        </w:tc>
        <w:tc>
          <w:tcPr>
            <w:tcW w:w="2835" w:type="dxa"/>
            <w:vAlign w:val="center"/>
          </w:tcPr>
          <w:p>
            <w:pPr>
              <w:pStyle w:val="10"/>
            </w:pPr>
            <w:r>
              <w:t>项目名称</w:t>
            </w:r>
          </w:p>
        </w:tc>
        <w:tc>
          <w:tcPr>
            <w:tcW w:w="6094" w:type="dxa"/>
            <w:gridSpan w:val="3"/>
            <w:vAlign w:val="center"/>
          </w:tcPr>
          <w:p>
            <w:pPr>
              <w:pStyle w:val="12"/>
            </w:pPr>
            <w:r>
              <w:t>公用经费（临时人员工资）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w:t>
            </w:r>
          </w:p>
        </w:tc>
        <w:tc>
          <w:tcPr>
            <w:tcW w:w="2835" w:type="dxa"/>
            <w:vAlign w:val="center"/>
          </w:tcPr>
          <w:p>
            <w:pPr>
              <w:pStyle w:val="10"/>
            </w:pPr>
            <w:r>
              <w:t>其中：财政    资金</w:t>
            </w:r>
          </w:p>
        </w:tc>
        <w:tc>
          <w:tcPr>
            <w:tcW w:w="2551" w:type="dxa"/>
            <w:vAlign w:val="center"/>
          </w:tcPr>
          <w:p>
            <w:pPr>
              <w:pStyle w:val="12"/>
            </w:pPr>
            <w:r>
              <w:t>49.00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确保临时人员工资发放到位，更好的做好相关工作。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1.确保临时人员工资发放到位，更好的做好相关工作。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拨付联防队员人数</w:t>
            </w:r>
          </w:p>
        </w:tc>
        <w:tc>
          <w:tcPr>
            <w:tcW w:w="5386" w:type="dxa"/>
            <w:vAlign w:val="center"/>
          </w:tcPr>
          <w:p>
            <w:pPr>
              <w:pStyle w:val="12"/>
            </w:pPr>
            <w:r>
              <w:t>临时人员工资发放情况</w:t>
            </w:r>
          </w:p>
        </w:tc>
        <w:tc>
          <w:tcPr>
            <w:tcW w:w="2268" w:type="dxa"/>
            <w:vAlign w:val="center"/>
          </w:tcPr>
          <w:p>
            <w:pPr>
              <w:pStyle w:val="12"/>
            </w:pPr>
            <w:r>
              <w:t>名</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发放资金效率</w:t>
            </w:r>
          </w:p>
        </w:tc>
        <w:tc>
          <w:tcPr>
            <w:tcW w:w="5386" w:type="dxa"/>
            <w:vAlign w:val="center"/>
          </w:tcPr>
          <w:p>
            <w:pPr>
              <w:pStyle w:val="12"/>
            </w:pPr>
            <w:r>
              <w:t>按照安排资金数量发放经费</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发放资金及时</w:t>
            </w:r>
          </w:p>
        </w:tc>
        <w:tc>
          <w:tcPr>
            <w:tcW w:w="5386" w:type="dxa"/>
            <w:vAlign w:val="center"/>
          </w:tcPr>
          <w:p>
            <w:pPr>
              <w:pStyle w:val="12"/>
            </w:pPr>
            <w:r>
              <w:t>每月月底按时发放联防队员工资</w:t>
            </w:r>
          </w:p>
        </w:tc>
        <w:tc>
          <w:tcPr>
            <w:tcW w:w="2268" w:type="dxa"/>
            <w:vAlign w:val="center"/>
          </w:tcPr>
          <w:p>
            <w:pPr>
              <w:pStyle w:val="12"/>
            </w:pPr>
            <w:r>
              <w:t>每月完成4.08万元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工资（福利）社会保障等标准</w:t>
            </w:r>
          </w:p>
        </w:tc>
        <w:tc>
          <w:tcPr>
            <w:tcW w:w="5386" w:type="dxa"/>
            <w:vAlign w:val="center"/>
          </w:tcPr>
          <w:p>
            <w:pPr>
              <w:pStyle w:val="12"/>
            </w:pPr>
            <w:r>
              <w:t>工资社会保障等发放标准</w:t>
            </w:r>
          </w:p>
        </w:tc>
        <w:tc>
          <w:tcPr>
            <w:tcW w:w="2268" w:type="dxa"/>
            <w:vAlign w:val="center"/>
          </w:tcPr>
          <w:p>
            <w:pPr>
              <w:pStyle w:val="12"/>
            </w:pPr>
            <w:r>
              <w:t>≥2722元/人</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≥95%</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≥95%</w:t>
            </w:r>
          </w:p>
        </w:tc>
        <w:tc>
          <w:tcPr>
            <w:tcW w:w="1276" w:type="dxa"/>
            <w:vAlign w:val="center"/>
          </w:tcPr>
          <w:p>
            <w:pPr>
              <w:pStyle w:val="12"/>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6、公用经费（绿化补贴配套）绩效目标表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13010924P00003910081H</w:t>
            </w:r>
          </w:p>
        </w:tc>
        <w:tc>
          <w:tcPr>
            <w:tcW w:w="2835" w:type="dxa"/>
            <w:vAlign w:val="center"/>
          </w:tcPr>
          <w:p>
            <w:pPr>
              <w:pStyle w:val="10"/>
            </w:pPr>
            <w:r>
              <w:t>项目名称</w:t>
            </w:r>
          </w:p>
        </w:tc>
        <w:tc>
          <w:tcPr>
            <w:tcW w:w="6094" w:type="dxa"/>
            <w:gridSpan w:val="3"/>
            <w:vAlign w:val="center"/>
          </w:tcPr>
          <w:p>
            <w:pPr>
              <w:pStyle w:val="12"/>
            </w:pPr>
            <w:r>
              <w:t>公用经费（绿化补贴配套）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9.59</w:t>
            </w:r>
          </w:p>
        </w:tc>
        <w:tc>
          <w:tcPr>
            <w:tcW w:w="2835" w:type="dxa"/>
            <w:vAlign w:val="center"/>
          </w:tcPr>
          <w:p>
            <w:pPr>
              <w:pStyle w:val="10"/>
            </w:pPr>
            <w:r>
              <w:t>其中：财政    资金</w:t>
            </w:r>
          </w:p>
        </w:tc>
        <w:tc>
          <w:tcPr>
            <w:tcW w:w="2551" w:type="dxa"/>
            <w:vAlign w:val="center"/>
          </w:tcPr>
          <w:p>
            <w:pPr>
              <w:pStyle w:val="12"/>
            </w:pPr>
            <w:r>
              <w:t>9.59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待上级负担占地补偿款拨付到位后，及时拨付省县道通道两侧绿化占地农户补贴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1.待上级负担占地补偿款拨付到位后，及时拨付省县道通道两侧绿化占地农户补贴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补偿金额</w:t>
            </w:r>
          </w:p>
        </w:tc>
        <w:tc>
          <w:tcPr>
            <w:tcW w:w="5386" w:type="dxa"/>
            <w:vAlign w:val="center"/>
          </w:tcPr>
          <w:p>
            <w:pPr>
              <w:pStyle w:val="12"/>
            </w:pPr>
            <w:r>
              <w:t>拨付省县道通道两侧绿化占地补偿金额</w:t>
            </w:r>
          </w:p>
        </w:tc>
        <w:tc>
          <w:tcPr>
            <w:tcW w:w="2268" w:type="dxa"/>
            <w:vAlign w:val="center"/>
          </w:tcPr>
          <w:p>
            <w:pPr>
              <w:pStyle w:val="12"/>
            </w:pPr>
            <w:r>
              <w:t>9.59万元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按照合同相关规定每年准时拨付农户补贴</w:t>
            </w:r>
          </w:p>
        </w:tc>
        <w:tc>
          <w:tcPr>
            <w:tcW w:w="2268" w:type="dxa"/>
            <w:vAlign w:val="center"/>
          </w:tcPr>
          <w:p>
            <w:pPr>
              <w:pStyle w:val="12"/>
            </w:pPr>
            <w:r>
              <w:t>12月完成9.59万元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占地补贴等标准</w:t>
            </w:r>
          </w:p>
        </w:tc>
        <w:tc>
          <w:tcPr>
            <w:tcW w:w="5386" w:type="dxa"/>
            <w:vAlign w:val="center"/>
          </w:tcPr>
          <w:p>
            <w:pPr>
              <w:pStyle w:val="12"/>
            </w:pPr>
            <w:r>
              <w:t>占地补贴等发放标准</w:t>
            </w:r>
          </w:p>
        </w:tc>
        <w:tc>
          <w:tcPr>
            <w:tcW w:w="2268" w:type="dxa"/>
            <w:vAlign w:val="center"/>
          </w:tcPr>
          <w:p>
            <w:pPr>
              <w:pStyle w:val="12"/>
            </w:pPr>
            <w:r>
              <w:t>每亩200元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≥95%</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≥95%</w:t>
            </w:r>
          </w:p>
        </w:tc>
        <w:tc>
          <w:tcPr>
            <w:tcW w:w="1276" w:type="dxa"/>
            <w:vAlign w:val="center"/>
          </w:tcPr>
          <w:p>
            <w:pPr>
              <w:pStyle w:val="12"/>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7、马山线、定魏线、定魏支线占地补贴绩效目标表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13010924P00003910083Q</w:t>
            </w:r>
          </w:p>
        </w:tc>
        <w:tc>
          <w:tcPr>
            <w:tcW w:w="2835" w:type="dxa"/>
            <w:vAlign w:val="center"/>
          </w:tcPr>
          <w:p>
            <w:pPr>
              <w:pStyle w:val="10"/>
            </w:pPr>
            <w:r>
              <w:t>项目名称</w:t>
            </w:r>
          </w:p>
        </w:tc>
        <w:tc>
          <w:tcPr>
            <w:tcW w:w="6094" w:type="dxa"/>
            <w:gridSpan w:val="3"/>
            <w:vAlign w:val="center"/>
          </w:tcPr>
          <w:p>
            <w:pPr>
              <w:pStyle w:val="12"/>
            </w:pPr>
            <w:r>
              <w:t>马山线、定魏线、定魏支线占地补贴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22.72</w:t>
            </w:r>
          </w:p>
        </w:tc>
        <w:tc>
          <w:tcPr>
            <w:tcW w:w="2835" w:type="dxa"/>
            <w:vAlign w:val="center"/>
          </w:tcPr>
          <w:p>
            <w:pPr>
              <w:pStyle w:val="10"/>
            </w:pPr>
            <w:r>
              <w:t>其中：财政    资金</w:t>
            </w:r>
          </w:p>
        </w:tc>
        <w:tc>
          <w:tcPr>
            <w:tcW w:w="2551" w:type="dxa"/>
            <w:vAlign w:val="center"/>
          </w:tcPr>
          <w:p>
            <w:pPr>
              <w:pStyle w:val="12"/>
            </w:pPr>
            <w:r>
              <w:t>22.72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待交通局负担占地补偿款拨付到位后，及时拨付农户占地补偿款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1.待交通局负担占地补偿款拨付到位后，及时拨付农户占地补偿款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补偿金额</w:t>
            </w:r>
          </w:p>
        </w:tc>
        <w:tc>
          <w:tcPr>
            <w:tcW w:w="5386" w:type="dxa"/>
            <w:vAlign w:val="center"/>
          </w:tcPr>
          <w:p>
            <w:pPr>
              <w:pStyle w:val="12"/>
            </w:pPr>
            <w:r>
              <w:t>拨付农户占地补偿金额数量</w:t>
            </w:r>
          </w:p>
        </w:tc>
        <w:tc>
          <w:tcPr>
            <w:tcW w:w="2268" w:type="dxa"/>
            <w:vAlign w:val="center"/>
          </w:tcPr>
          <w:p>
            <w:pPr>
              <w:pStyle w:val="12"/>
            </w:pPr>
            <w:r>
              <w:t>22.71915万元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w:t>
            </w:r>
          </w:p>
        </w:tc>
        <w:tc>
          <w:tcPr>
            <w:tcW w:w="5386" w:type="dxa"/>
            <w:vAlign w:val="center"/>
          </w:tcPr>
          <w:p>
            <w:pPr>
              <w:pStyle w:val="12"/>
            </w:pPr>
            <w:r>
              <w:t>按照合同相关规定每年准时拨付农户补贴</w:t>
            </w:r>
          </w:p>
        </w:tc>
        <w:tc>
          <w:tcPr>
            <w:tcW w:w="2268" w:type="dxa"/>
            <w:vAlign w:val="center"/>
          </w:tcPr>
          <w:p>
            <w:pPr>
              <w:pStyle w:val="12"/>
            </w:pPr>
            <w:r>
              <w:t>12月完成22.71915万元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占地补贴等标准</w:t>
            </w:r>
          </w:p>
        </w:tc>
        <w:tc>
          <w:tcPr>
            <w:tcW w:w="5386" w:type="dxa"/>
            <w:vAlign w:val="center"/>
          </w:tcPr>
          <w:p>
            <w:pPr>
              <w:pStyle w:val="12"/>
            </w:pPr>
            <w:r>
              <w:t>占地补贴等发放标准</w:t>
            </w:r>
          </w:p>
        </w:tc>
        <w:tc>
          <w:tcPr>
            <w:tcW w:w="2268" w:type="dxa"/>
            <w:vAlign w:val="center"/>
          </w:tcPr>
          <w:p>
            <w:pPr>
              <w:pStyle w:val="12"/>
            </w:pPr>
            <w:r>
              <w:t>每亩450元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≥95%</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≥95%</w:t>
            </w:r>
          </w:p>
        </w:tc>
        <w:tc>
          <w:tcPr>
            <w:tcW w:w="1276" w:type="dxa"/>
            <w:vAlign w:val="center"/>
          </w:tcPr>
          <w:p>
            <w:pPr>
              <w:pStyle w:val="12"/>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13010924P000039100850</w:t>
            </w:r>
          </w:p>
        </w:tc>
        <w:tc>
          <w:tcPr>
            <w:tcW w:w="2835" w:type="dxa"/>
            <w:vAlign w:val="center"/>
          </w:tcPr>
          <w:p>
            <w:pPr>
              <w:pStyle w:val="10"/>
            </w:pPr>
            <w:r>
              <w:t>项目名称</w:t>
            </w:r>
          </w:p>
        </w:tc>
        <w:tc>
          <w:tcPr>
            <w:tcW w:w="6094" w:type="dxa"/>
            <w:gridSpan w:val="3"/>
            <w:vAlign w:val="center"/>
          </w:tcPr>
          <w:p>
            <w:pPr>
              <w:pStyle w:val="12"/>
            </w:pPr>
            <w:r>
              <w:t>农村独生子女费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根据年初预算，按时发放农村独生子女费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1.按照工会工作要求及时上缴工会经费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享受独生子女奖励金额</w:t>
            </w:r>
          </w:p>
        </w:tc>
        <w:tc>
          <w:tcPr>
            <w:tcW w:w="2268" w:type="dxa"/>
            <w:vAlign w:val="center"/>
          </w:tcPr>
          <w:p>
            <w:pPr>
              <w:pStyle w:val="12"/>
            </w:pPr>
            <w:r>
              <w:t>3万元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工作完成进度</w:t>
            </w:r>
          </w:p>
        </w:tc>
        <w:tc>
          <w:tcPr>
            <w:tcW w:w="2268" w:type="dxa"/>
            <w:vAlign w:val="center"/>
          </w:tcPr>
          <w:p>
            <w:pPr>
              <w:pStyle w:val="12"/>
            </w:pPr>
            <w:r>
              <w:t>≥90%</w:t>
            </w:r>
          </w:p>
        </w:tc>
        <w:tc>
          <w:tcPr>
            <w:tcW w:w="1276" w:type="dxa"/>
            <w:vAlign w:val="center"/>
          </w:tcPr>
          <w:p>
            <w:pPr>
              <w:pStyle w:val="12"/>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根据文件规定每年年底发放独生子女费</w:t>
            </w:r>
          </w:p>
        </w:tc>
        <w:tc>
          <w:tcPr>
            <w:tcW w:w="2268" w:type="dxa"/>
            <w:vAlign w:val="center"/>
          </w:tcPr>
          <w:p>
            <w:pPr>
              <w:pStyle w:val="12"/>
            </w:pPr>
            <w:r>
              <w:t>12月完成3万元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经费标准</w:t>
            </w:r>
          </w:p>
        </w:tc>
        <w:tc>
          <w:tcPr>
            <w:tcW w:w="5386" w:type="dxa"/>
            <w:vAlign w:val="center"/>
          </w:tcPr>
          <w:p>
            <w:pPr>
              <w:pStyle w:val="12"/>
            </w:pPr>
            <w:r>
              <w:t>独生子女费使用标准每人每月</w:t>
            </w:r>
          </w:p>
        </w:tc>
        <w:tc>
          <w:tcPr>
            <w:tcW w:w="2268" w:type="dxa"/>
            <w:vAlign w:val="center"/>
          </w:tcPr>
          <w:p>
            <w:pPr>
              <w:pStyle w:val="12"/>
            </w:pPr>
            <w:r>
              <w:t>10元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对服务工作的满意度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13010924P00003910086K</w:t>
            </w:r>
          </w:p>
        </w:tc>
        <w:tc>
          <w:tcPr>
            <w:tcW w:w="2835" w:type="dxa"/>
            <w:vAlign w:val="center"/>
          </w:tcPr>
          <w:p>
            <w:pPr>
              <w:pStyle w:val="10"/>
            </w:pPr>
            <w:r>
              <w:t>项目名称</w:t>
            </w:r>
          </w:p>
        </w:tc>
        <w:tc>
          <w:tcPr>
            <w:tcW w:w="6094" w:type="dxa"/>
            <w:gridSpan w:val="3"/>
            <w:vAlign w:val="center"/>
          </w:tcPr>
          <w:p>
            <w:pPr>
              <w:pStyle w:val="12"/>
            </w:pPr>
            <w:r>
              <w:t>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w:t>
            </w:r>
          </w:p>
        </w:tc>
        <w:tc>
          <w:tcPr>
            <w:tcW w:w="2835" w:type="dxa"/>
            <w:vAlign w:val="center"/>
          </w:tcPr>
          <w:p>
            <w:pPr>
              <w:pStyle w:val="10"/>
            </w:pPr>
            <w:r>
              <w:t>其中：财政    资金</w:t>
            </w:r>
          </w:p>
        </w:tc>
        <w:tc>
          <w:tcPr>
            <w:tcW w:w="2551" w:type="dxa"/>
            <w:vAlign w:val="center"/>
          </w:tcPr>
          <w:p>
            <w:pPr>
              <w:pStyle w:val="12"/>
            </w:pPr>
            <w:r>
              <w:t>1.97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根据文件要求及时发放原经贸系统关闭企业下放回乡的合同工、副业工涉军人员生活补贴，保障农村籍退役士兵老年生活。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1.根据文件要求及时发放原经贸系统关闭企业下放回乡的合同工、副业工涉军人员生活补贴，保障农村籍退役士兵老年生活。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享受农村籍退役士兵老年生活补助人数</w:t>
            </w:r>
          </w:p>
        </w:tc>
        <w:tc>
          <w:tcPr>
            <w:tcW w:w="2268" w:type="dxa"/>
            <w:vAlign w:val="center"/>
          </w:tcPr>
          <w:p>
            <w:pPr>
              <w:pStyle w:val="12"/>
            </w:pPr>
            <w:r>
              <w:t>8人</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工作完成进度</w:t>
            </w:r>
          </w:p>
        </w:tc>
        <w:tc>
          <w:tcPr>
            <w:tcW w:w="2268" w:type="dxa"/>
            <w:vAlign w:val="center"/>
          </w:tcPr>
          <w:p>
            <w:pPr>
              <w:pStyle w:val="12"/>
            </w:pPr>
            <w:r>
              <w:t>≥90%</w:t>
            </w:r>
          </w:p>
        </w:tc>
        <w:tc>
          <w:tcPr>
            <w:tcW w:w="1276" w:type="dxa"/>
            <w:vAlign w:val="center"/>
          </w:tcPr>
          <w:p>
            <w:pPr>
              <w:pStyle w:val="12"/>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根据工作安排每半年按标准发放生活补贴</w:t>
            </w:r>
          </w:p>
        </w:tc>
        <w:tc>
          <w:tcPr>
            <w:tcW w:w="2268" w:type="dxa"/>
            <w:vAlign w:val="center"/>
          </w:tcPr>
          <w:p>
            <w:pPr>
              <w:pStyle w:val="12"/>
            </w:pPr>
            <w:r>
              <w:t>6月、12月发放</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经费标准</w:t>
            </w:r>
          </w:p>
        </w:tc>
        <w:tc>
          <w:tcPr>
            <w:tcW w:w="5386" w:type="dxa"/>
            <w:vAlign w:val="center"/>
          </w:tcPr>
          <w:p>
            <w:pPr>
              <w:pStyle w:val="12"/>
            </w:pPr>
            <w:r>
              <w:t>农村籍退役士兵老年生活每月补助标准</w:t>
            </w:r>
          </w:p>
        </w:tc>
        <w:tc>
          <w:tcPr>
            <w:tcW w:w="2268" w:type="dxa"/>
            <w:vAlign w:val="center"/>
          </w:tcPr>
          <w:p>
            <w:pPr>
              <w:pStyle w:val="12"/>
            </w:pPr>
            <w:r>
              <w:t>200元/人</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13010924P00003910088T</w:t>
            </w:r>
          </w:p>
        </w:tc>
        <w:tc>
          <w:tcPr>
            <w:tcW w:w="2835" w:type="dxa"/>
            <w:vAlign w:val="center"/>
          </w:tcPr>
          <w:p>
            <w:pPr>
              <w:pStyle w:val="10"/>
            </w:pPr>
            <w:r>
              <w:t>项目名称</w:t>
            </w:r>
          </w:p>
        </w:tc>
        <w:tc>
          <w:tcPr>
            <w:tcW w:w="6094" w:type="dxa"/>
            <w:gridSpan w:val="3"/>
            <w:vAlign w:val="center"/>
          </w:tcPr>
          <w:p>
            <w:pPr>
              <w:pStyle w:val="12"/>
            </w:pPr>
            <w:r>
              <w:t>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77.00</w:t>
            </w:r>
          </w:p>
        </w:tc>
        <w:tc>
          <w:tcPr>
            <w:tcW w:w="2835" w:type="dxa"/>
            <w:vAlign w:val="center"/>
          </w:tcPr>
          <w:p>
            <w:pPr>
              <w:pStyle w:val="10"/>
            </w:pPr>
            <w:r>
              <w:t>其中：财政    资金</w:t>
            </w:r>
          </w:p>
        </w:tc>
        <w:tc>
          <w:tcPr>
            <w:tcW w:w="2551" w:type="dxa"/>
            <w:vAlign w:val="center"/>
          </w:tcPr>
          <w:p>
            <w:pPr>
              <w:pStyle w:val="12"/>
            </w:pPr>
            <w:r>
              <w:t>77.00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根据年度计划工作，统筹安排人居环境整治、新时代文明实践、环保、土地、食品安全、安全生产、信访、劳务费、绿化植树、武装工作经费等资金支出，确保常安镇各项工作顺利开展。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1.根据年度计划工作，统筹安排人居环境整治、新时代文明实践、环保、土地、食品安全、安全生产、信访、劳务费、绿化植树、武装工作经费等资金支出，确保常安镇各项工作顺利开展。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资金拨付数量</w:t>
            </w:r>
          </w:p>
        </w:tc>
        <w:tc>
          <w:tcPr>
            <w:tcW w:w="5386" w:type="dxa"/>
            <w:vAlign w:val="center"/>
          </w:tcPr>
          <w:p>
            <w:pPr>
              <w:pStyle w:val="12"/>
            </w:pPr>
            <w:r>
              <w:t>全年罚没收入返还总金额</w:t>
            </w:r>
          </w:p>
        </w:tc>
        <w:tc>
          <w:tcPr>
            <w:tcW w:w="2268" w:type="dxa"/>
            <w:vAlign w:val="center"/>
          </w:tcPr>
          <w:p>
            <w:pPr>
              <w:pStyle w:val="12"/>
            </w:pPr>
            <w:r>
              <w:t>总金额77万元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w:t>
            </w:r>
          </w:p>
        </w:tc>
        <w:tc>
          <w:tcPr>
            <w:tcW w:w="1276" w:type="dxa"/>
            <w:vAlign w:val="center"/>
          </w:tcPr>
          <w:p>
            <w:pPr>
              <w:pStyle w:val="12"/>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经费使用及时性</w:t>
            </w:r>
          </w:p>
        </w:tc>
        <w:tc>
          <w:tcPr>
            <w:tcW w:w="5386" w:type="dxa"/>
            <w:vAlign w:val="center"/>
          </w:tcPr>
          <w:p>
            <w:pPr>
              <w:pStyle w:val="12"/>
            </w:pPr>
            <w:r>
              <w:t>每季度完成经费支出比例</w:t>
            </w:r>
          </w:p>
        </w:tc>
        <w:tc>
          <w:tcPr>
            <w:tcW w:w="2268" w:type="dxa"/>
            <w:vAlign w:val="center"/>
          </w:tcPr>
          <w:p>
            <w:pPr>
              <w:pStyle w:val="12"/>
            </w:pPr>
            <w:r>
              <w:t>12月完成77万元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综合工作经费等标准</w:t>
            </w:r>
          </w:p>
        </w:tc>
        <w:tc>
          <w:tcPr>
            <w:tcW w:w="5386" w:type="dxa"/>
            <w:vAlign w:val="center"/>
          </w:tcPr>
          <w:p>
            <w:pPr>
              <w:pStyle w:val="12"/>
            </w:pPr>
            <w:r>
              <w:t>根据支出进度要求每季度支出</w:t>
            </w:r>
          </w:p>
        </w:tc>
        <w:tc>
          <w:tcPr>
            <w:tcW w:w="2268" w:type="dxa"/>
            <w:vAlign w:val="center"/>
          </w:tcPr>
          <w:p>
            <w:pPr>
              <w:pStyle w:val="12"/>
            </w:pPr>
            <w:r>
              <w:t>≥20万元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年度工作在全镇形成的重要影响得到广大群众的认可</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年度工作在全镇形成的重要影响得到广大群众的认可</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89.41</w:t>
            </w:r>
          </w:p>
        </w:tc>
        <w:tc>
          <w:tcPr>
            <w:tcW w:w="964" w:type="dxa"/>
            <w:vAlign w:val="center"/>
          </w:tcPr>
          <w:p>
            <w:pPr>
              <w:pStyle w:val="15"/>
            </w:pPr>
            <w:r>
              <w:t>89.41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石家庄市藁城区常安镇人民政府本级小计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89.41</w:t>
            </w:r>
          </w:p>
        </w:tc>
        <w:tc>
          <w:tcPr>
            <w:tcW w:w="964" w:type="dxa"/>
            <w:vAlign w:val="center"/>
          </w:tcPr>
          <w:p>
            <w:pPr>
              <w:pStyle w:val="15"/>
            </w:pPr>
            <w:r>
              <w:t>89.41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常安镇公用经费</w:t>
            </w:r>
          </w:p>
        </w:tc>
        <w:tc>
          <w:tcPr>
            <w:tcW w:w="964" w:type="dxa"/>
            <w:vAlign w:val="center"/>
          </w:tcPr>
          <w:p>
            <w:pPr>
              <w:pStyle w:val="11"/>
            </w:pPr>
            <w:r>
              <w:t>6.21</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6.21</w:t>
            </w:r>
          </w:p>
        </w:tc>
        <w:tc>
          <w:tcPr>
            <w:tcW w:w="964" w:type="dxa"/>
            <w:vAlign w:val="center"/>
          </w:tcPr>
          <w:p>
            <w:pPr>
              <w:pStyle w:val="11"/>
            </w:pPr>
            <w:r>
              <w:t>6.21</w:t>
            </w:r>
          </w:p>
        </w:tc>
        <w:tc>
          <w:tcPr>
            <w:tcW w:w="964" w:type="dxa"/>
            <w:vAlign w:val="center"/>
          </w:tcPr>
          <w:p>
            <w:pPr>
              <w:pStyle w:val="11"/>
            </w:pPr>
            <w:r>
              <w:t>6.21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公用经费（联防队员工资）</w:t>
            </w:r>
          </w:p>
        </w:tc>
        <w:tc>
          <w:tcPr>
            <w:tcW w:w="964" w:type="dxa"/>
            <w:vAlign w:val="center"/>
          </w:tcPr>
          <w:p>
            <w:pPr>
              <w:pStyle w:val="11"/>
            </w:pPr>
            <w:r>
              <w:t>34.20</w:t>
            </w:r>
          </w:p>
        </w:tc>
        <w:tc>
          <w:tcPr>
            <w:tcW w:w="1134" w:type="dxa"/>
            <w:vAlign w:val="center"/>
          </w:tcPr>
          <w:p>
            <w:pPr>
              <w:pStyle w:val="12"/>
            </w:pPr>
            <w:r>
              <w:t>社会治安协管服务</w:t>
            </w:r>
          </w:p>
        </w:tc>
        <w:tc>
          <w:tcPr>
            <w:tcW w:w="1134" w:type="dxa"/>
            <w:vAlign w:val="center"/>
          </w:tcPr>
          <w:p>
            <w:pPr>
              <w:pStyle w:val="12"/>
            </w:pPr>
            <w:r>
              <w:t>C05040600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34.20</w:t>
            </w:r>
          </w:p>
        </w:tc>
        <w:tc>
          <w:tcPr>
            <w:tcW w:w="964" w:type="dxa"/>
            <w:vAlign w:val="center"/>
          </w:tcPr>
          <w:p>
            <w:pPr>
              <w:pStyle w:val="11"/>
            </w:pPr>
            <w:r>
              <w:t>34.20</w:t>
            </w:r>
          </w:p>
        </w:tc>
        <w:tc>
          <w:tcPr>
            <w:tcW w:w="964" w:type="dxa"/>
            <w:vAlign w:val="center"/>
          </w:tcPr>
          <w:p>
            <w:pPr>
              <w:pStyle w:val="11"/>
            </w:pPr>
            <w:r>
              <w:t>34.20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公用经费（临时人员工资）</w:t>
            </w:r>
          </w:p>
        </w:tc>
        <w:tc>
          <w:tcPr>
            <w:tcW w:w="964" w:type="dxa"/>
            <w:vAlign w:val="center"/>
          </w:tcPr>
          <w:p>
            <w:pPr>
              <w:pStyle w:val="11"/>
            </w:pPr>
            <w:r>
              <w:t>49.00</w:t>
            </w:r>
          </w:p>
        </w:tc>
        <w:tc>
          <w:tcPr>
            <w:tcW w:w="1134" w:type="dxa"/>
            <w:vAlign w:val="center"/>
          </w:tcPr>
          <w:p>
            <w:pPr>
              <w:pStyle w:val="12"/>
            </w:pPr>
            <w:r>
              <w:t>其他社会服务</w:t>
            </w:r>
          </w:p>
        </w:tc>
        <w:tc>
          <w:tcPr>
            <w:tcW w:w="1134" w:type="dxa"/>
            <w:vAlign w:val="center"/>
          </w:tcPr>
          <w:p>
            <w:pPr>
              <w:pStyle w:val="12"/>
            </w:pPr>
            <w:r>
              <w:t>C05990000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49.00</w:t>
            </w:r>
          </w:p>
        </w:tc>
        <w:tc>
          <w:tcPr>
            <w:tcW w:w="964" w:type="dxa"/>
            <w:vAlign w:val="center"/>
          </w:tcPr>
          <w:p>
            <w:pPr>
              <w:pStyle w:val="11"/>
            </w:pPr>
            <w:r>
              <w:t>49.00</w:t>
            </w:r>
          </w:p>
        </w:tc>
        <w:tc>
          <w:tcPr>
            <w:tcW w:w="964" w:type="dxa"/>
            <w:vAlign w:val="center"/>
          </w:tcPr>
          <w:p>
            <w:pPr>
              <w:pStyle w:val="11"/>
            </w:pPr>
            <w:r>
              <w:t>49.00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石家庄市藁城区常安镇人民政府本级上年末固定资产金额为336.09万元（详见下表）。本年度拟购置固定资产总额为0.00万元，已按要求列入政府采购预算，详见政府采购预算表。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336.09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1500</w:t>
            </w:r>
          </w:p>
        </w:tc>
        <w:tc>
          <w:tcPr>
            <w:tcW w:w="2835" w:type="dxa"/>
            <w:vAlign w:val="center"/>
          </w:tcPr>
          <w:p>
            <w:pPr>
              <w:pStyle w:val="11"/>
            </w:pPr>
            <w:r>
              <w:t>131.83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1500</w:t>
            </w:r>
          </w:p>
        </w:tc>
        <w:tc>
          <w:tcPr>
            <w:tcW w:w="2835" w:type="dxa"/>
            <w:vAlign w:val="center"/>
          </w:tcPr>
          <w:p>
            <w:pPr>
              <w:pStyle w:val="11"/>
            </w:pPr>
            <w:r>
              <w:t>131.83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195.58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c4YWE5YzBmOWQ3YzA4ZjA1NzMwNWY3YjU5NTA3N2MifQ=="/>
  </w:docVars>
  <w:rsids>
    <w:rsidRoot w:val="00000000"/>
    <w:rsid w:val="00954C0E"/>
    <w:rsid w:val="07832BA1"/>
    <w:rsid w:val="10B05923"/>
    <w:rsid w:val="4B0421BA"/>
    <w:rsid w:val="4F9C4D45"/>
    <w:rsid w:val="5F017473"/>
    <w:rsid w:val="65EE692D"/>
    <w:rsid w:val="739E3EF4"/>
    <w:rsid w:val="78D074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2024-03-01T09:39:31Z</dcterms:created>
  <dcterms:modified xsi:type="dcterms:W3CDTF">2024-03-01T01:39:31Z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2024-03-01T09:39:35Z</dcterms:created>
  <dcterms:modified xsi:type="dcterms:W3CDTF">2024-03-01T01:39:35Z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2024-03-01T09:39:34Z</dcterms:created>
  <dcterms:modified xsi:type="dcterms:W3CDTF">2024-03-01T01:39:34Z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2024-03-01T09:39:34Z</dcterms:created>
  <dcterms:modified xsi:type="dcterms:W3CDTF">2024-03-01T01:39:34Z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2024-03-01T09:39:33Z</dcterms:created>
  <dcterms:modified xsi:type="dcterms:W3CDTF">2024-03-01T01:39:33Z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2024-03-01T09:39:33Z</dcterms:created>
  <dcterms:modified xsi:type="dcterms:W3CDTF">2024-03-01T01:39:33Z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2024-03-01T09:39:32Z</dcterms:created>
  <dcterms:modified xsi:type="dcterms:W3CDTF">2024-03-01T01:39:32Z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2024-03-01T09:39:32Z</dcterms:created>
  <dcterms:modified xsi:type="dcterms:W3CDTF">2024-03-01T01:39:32Z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2024-03-01T09:38:43Z</dcterms:created>
  <dcterms:modified xsi:type="dcterms:W3CDTF">2024-03-01T01:38:43Z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2024-03-01T09:39:31Z</dcterms:created>
  <dcterms:modified xsi:type="dcterms:W3CDTF">2024-03-01T01:39:31Z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2024-03-01T09:39:30Z</dcterms:created>
  <dcterms:modified xsi:type="dcterms:W3CDTF">2024-03-01T01:39:30Z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2024-03-01T09:38:49Z</dcterms:created>
  <dcterms:modified xsi:type="dcterms:W3CDTF">2024-03-01T01:38:49Z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2024-03-01T09:39:35Z</dcterms:created>
  <dcterms:modified xsi:type="dcterms:W3CDTF">2024-03-01T01:39:35Z</dcterms:modified>
</cp:coreProperties>
</file>

<file path=customXml/itemProps1.xml><?xml version="1.0" encoding="utf-8"?>
<ds:datastoreItem xmlns:ds="http://schemas.openxmlformats.org/officeDocument/2006/customXml" ds:itemID="{80183314-8c02-42f8-b5c8-0a5d7f4fafa7}">
  <ds:schemaRefs/>
</ds:datastoreItem>
</file>

<file path=customXml/itemProps10.xml><?xml version="1.0" encoding="utf-8"?>
<ds:datastoreItem xmlns:ds="http://schemas.openxmlformats.org/officeDocument/2006/customXml" ds:itemID="{97ffbeb9-e4c1-4d22-a190-4b2f956267b0}">
  <ds:schemaRefs/>
</ds:datastoreItem>
</file>

<file path=customXml/itemProps11.xml><?xml version="1.0" encoding="utf-8"?>
<ds:datastoreItem xmlns:ds="http://schemas.openxmlformats.org/officeDocument/2006/customXml" ds:itemID="{3107b184-6e82-476c-9592-fe6b563f38a1}">
  <ds:schemaRefs/>
</ds:datastoreItem>
</file>

<file path=customXml/itemProps12.xml><?xml version="1.0" encoding="utf-8"?>
<ds:datastoreItem xmlns:ds="http://schemas.openxmlformats.org/officeDocument/2006/customXml" ds:itemID="{9281626e-fa26-4ffe-b205-bcae011500f7}">
  <ds:schemaRefs/>
</ds:datastoreItem>
</file>

<file path=customXml/itemProps13.xml><?xml version="1.0" encoding="utf-8"?>
<ds:datastoreItem xmlns:ds="http://schemas.openxmlformats.org/officeDocument/2006/customXml" ds:itemID="{fe281dda-6bc7-466c-be7f-09331878bb9a}">
  <ds:schemaRefs/>
</ds:datastoreItem>
</file>

<file path=customXml/itemProps14.xml><?xml version="1.0" encoding="utf-8"?>
<ds:datastoreItem xmlns:ds="http://schemas.openxmlformats.org/officeDocument/2006/customXml" ds:itemID="{c6aac61f-4824-49bc-869f-d45b89416b50}">
  <ds:schemaRefs/>
</ds:datastoreItem>
</file>

<file path=customXml/itemProps15.xml><?xml version="1.0" encoding="utf-8"?>
<ds:datastoreItem xmlns:ds="http://schemas.openxmlformats.org/officeDocument/2006/customXml" ds:itemID="{c7c7f153-43eb-481f-b68c-ce3df860d6d9}">
  <ds:schemaRefs/>
</ds:datastoreItem>
</file>

<file path=customXml/itemProps16.xml><?xml version="1.0" encoding="utf-8"?>
<ds:datastoreItem xmlns:ds="http://schemas.openxmlformats.org/officeDocument/2006/customXml" ds:itemID="{04412e41-1fe0-45b9-a0e4-7a04a65156e9}">
  <ds:schemaRefs/>
</ds:datastoreItem>
</file>

<file path=customXml/itemProps17.xml><?xml version="1.0" encoding="utf-8"?>
<ds:datastoreItem xmlns:ds="http://schemas.openxmlformats.org/officeDocument/2006/customXml" ds:itemID="{27840e46-7a2b-4907-ae6e-1913db99bc4d}">
  <ds:schemaRefs/>
</ds:datastoreItem>
</file>

<file path=customXml/itemProps18.xml><?xml version="1.0" encoding="utf-8"?>
<ds:datastoreItem xmlns:ds="http://schemas.openxmlformats.org/officeDocument/2006/customXml" ds:itemID="{d002eb06-4bc1-491c-b248-3147e381dd19}">
  <ds:schemaRefs/>
</ds:datastoreItem>
</file>

<file path=customXml/itemProps19.xml><?xml version="1.0" encoding="utf-8"?>
<ds:datastoreItem xmlns:ds="http://schemas.openxmlformats.org/officeDocument/2006/customXml" ds:itemID="{bbb8aeed-98fd-43a4-afeb-f2e59eb89dbb}">
  <ds:schemaRefs/>
</ds:datastoreItem>
</file>

<file path=customXml/itemProps2.xml><?xml version="1.0" encoding="utf-8"?>
<ds:datastoreItem xmlns:ds="http://schemas.openxmlformats.org/officeDocument/2006/customXml" ds:itemID="{f3d12ee5-8f90-4c68-8c2e-b1550dd04b6e}">
  <ds:schemaRefs/>
</ds:datastoreItem>
</file>

<file path=customXml/itemProps20.xml><?xml version="1.0" encoding="utf-8"?>
<ds:datastoreItem xmlns:ds="http://schemas.openxmlformats.org/officeDocument/2006/customXml" ds:itemID="{b72a88db-256d-4afc-a7b6-6ca4d693c5ee}">
  <ds:schemaRefs/>
</ds:datastoreItem>
</file>

<file path=customXml/itemProps21.xml><?xml version="1.0" encoding="utf-8"?>
<ds:datastoreItem xmlns:ds="http://schemas.openxmlformats.org/officeDocument/2006/customXml" ds:itemID="{f9c567e7-1eee-4b77-ae87-c2fe62166e04}">
  <ds:schemaRefs/>
</ds:datastoreItem>
</file>

<file path=customXml/itemProps22.xml><?xml version="1.0" encoding="utf-8"?>
<ds:datastoreItem xmlns:ds="http://schemas.openxmlformats.org/officeDocument/2006/customXml" ds:itemID="{ef620cb7-3ec5-4c84-a95a-5e1582a8230c}">
  <ds:schemaRefs/>
</ds:datastoreItem>
</file>

<file path=customXml/itemProps23.xml><?xml version="1.0" encoding="utf-8"?>
<ds:datastoreItem xmlns:ds="http://schemas.openxmlformats.org/officeDocument/2006/customXml" ds:itemID="{ab7ddcec-2151-4c30-b6fc-40aed619fbc2}">
  <ds:schemaRefs/>
</ds:datastoreItem>
</file>

<file path=customXml/itemProps24.xml><?xml version="1.0" encoding="utf-8"?>
<ds:datastoreItem xmlns:ds="http://schemas.openxmlformats.org/officeDocument/2006/customXml" ds:itemID="{5a9c14b0-c9dd-4490-a887-dc551540a400}">
  <ds:schemaRefs/>
</ds:datastoreItem>
</file>

<file path=customXml/itemProps25.xml><?xml version="1.0" encoding="utf-8"?>
<ds:datastoreItem xmlns:ds="http://schemas.openxmlformats.org/officeDocument/2006/customXml" ds:itemID="{f9ffc70a-111b-4c58-a014-419c5737f285}">
  <ds:schemaRefs/>
</ds:datastoreItem>
</file>

<file path=customXml/itemProps26.xml><?xml version="1.0" encoding="utf-8"?>
<ds:datastoreItem xmlns:ds="http://schemas.openxmlformats.org/officeDocument/2006/customXml" ds:itemID="{44c6ce8b-7999-433a-9aa9-682ef4894481}">
  <ds:schemaRefs/>
</ds:datastoreItem>
</file>

<file path=customXml/itemProps3.xml><?xml version="1.0" encoding="utf-8"?>
<ds:datastoreItem xmlns:ds="http://schemas.openxmlformats.org/officeDocument/2006/customXml" ds:itemID="{05b8c366-ad05-420c-9cf4-e1673b056804}">
  <ds:schemaRefs/>
</ds:datastoreItem>
</file>

<file path=customXml/itemProps4.xml><?xml version="1.0" encoding="utf-8"?>
<ds:datastoreItem xmlns:ds="http://schemas.openxmlformats.org/officeDocument/2006/customXml" ds:itemID="{c7dbec90-f08a-4cfd-9590-0c0d9f23b401}">
  <ds:schemaRefs/>
</ds:datastoreItem>
</file>

<file path=customXml/itemProps5.xml><?xml version="1.0" encoding="utf-8"?>
<ds:datastoreItem xmlns:ds="http://schemas.openxmlformats.org/officeDocument/2006/customXml" ds:itemID="{0fbfd051-4dcf-4839-b391-c9eb8380a04f}">
  <ds:schemaRefs/>
</ds:datastoreItem>
</file>

<file path=customXml/itemProps6.xml><?xml version="1.0" encoding="utf-8"?>
<ds:datastoreItem xmlns:ds="http://schemas.openxmlformats.org/officeDocument/2006/customXml" ds:itemID="{8f9e0767-fa5b-4333-9ad8-0b5b37a93b63}">
  <ds:schemaRefs/>
</ds:datastoreItem>
</file>

<file path=customXml/itemProps7.xml><?xml version="1.0" encoding="utf-8"?>
<ds:datastoreItem xmlns:ds="http://schemas.openxmlformats.org/officeDocument/2006/customXml" ds:itemID="{0f6ef31f-d8b2-4a65-aea7-78b3678a024e}">
  <ds:schemaRefs/>
</ds:datastoreItem>
</file>

<file path=customXml/itemProps8.xml><?xml version="1.0" encoding="utf-8"?>
<ds:datastoreItem xmlns:ds="http://schemas.openxmlformats.org/officeDocument/2006/customXml" ds:itemID="{3dd2dfc2-d69a-486d-82d4-f2271d32faa6}">
  <ds:schemaRefs/>
</ds:datastoreItem>
</file>

<file path=customXml/itemProps9.xml><?xml version="1.0" encoding="utf-8"?>
<ds:datastoreItem xmlns:ds="http://schemas.openxmlformats.org/officeDocument/2006/customXml" ds:itemID="{74de753d-fb5f-4d52-9d6f-dbf49ca19dc9}">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2024-03-01T09:39:00Z</dcterms:created>
  <dc:creator>Administrator</dc:creator>
  <cp:lastModifiedBy>Administrator</cp:lastModifiedBy>
  <dcterms:modified xsi:type="dcterms:W3CDTF">2024-03-01T07:42:18Z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BA507FE44AF3444789664049402E2806_12</vt:lpwstr>
  </property>
</Properties>
</file>