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2024年部门预算信息公开目录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4</w:t>
      </w:r>
      <w:r>
        <w:fldChar w:fldCharType="end"/>
      </w:r>
      <w:r>
        <w:fldChar w:fldCharType="end"/>
      </w:r>
    </w:p>
    <w:p>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5</w:t>
      </w:r>
      <w:r>
        <w:fldChar w:fldCharType="end"/>
      </w:r>
      <w:r>
        <w:fldChar w:fldCharType="end"/>
      </w:r>
    </w:p>
    <w:p>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7</w:t>
      </w:r>
      <w:r>
        <w:fldChar w:fldCharType="end"/>
      </w:r>
      <w:r>
        <w:fldChar w:fldCharType="end"/>
      </w:r>
    </w:p>
    <w:p>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8</w:t>
      </w:r>
      <w:r>
        <w:fldChar w:fldCharType="end"/>
      </w:r>
      <w:r>
        <w:fldChar w:fldCharType="end"/>
      </w:r>
    </w:p>
    <w:p>
      <w:pPr>
        <w:pStyle w:val="3"/>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10</w:t>
      </w:r>
      <w:r>
        <w:fldChar w:fldCharType="end"/>
      </w:r>
      <w:r>
        <w:fldChar w:fldCharType="end"/>
      </w:r>
    </w:p>
    <w:p>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11</w:t>
      </w:r>
      <w:r>
        <w:fldChar w:fldCharType="end"/>
      </w:r>
      <w:r>
        <w:fldChar w:fldCharType="end"/>
      </w:r>
    </w:p>
    <w:p>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12</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13</w:t>
      </w:r>
      <w:r>
        <w:fldChar w:fldCharType="end"/>
      </w:r>
      <w:r>
        <w:fldChar w:fldCharType="end"/>
      </w:r>
    </w:p>
    <w:p>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13</w:t>
      </w:r>
      <w:r>
        <w:fldChar w:fldCharType="end"/>
      </w:r>
      <w:r>
        <w:fldChar w:fldCharType="end"/>
      </w:r>
    </w:p>
    <w:p>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14</w:t>
      </w:r>
      <w:r>
        <w:fldChar w:fldCharType="end"/>
      </w:r>
      <w:r>
        <w:fldChar w:fldCharType="end"/>
      </w:r>
    </w:p>
    <w:p>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14</w:t>
      </w:r>
      <w:r>
        <w:fldChar w:fldCharType="end"/>
      </w:r>
      <w:r>
        <w:fldChar w:fldCharType="end"/>
      </w:r>
    </w:p>
    <w:p>
      <w:pPr>
        <w:pStyle w:val="3"/>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14</w:t>
      </w:r>
      <w:r>
        <w:fldChar w:fldCharType="end"/>
      </w:r>
      <w:r>
        <w:fldChar w:fldCharType="end"/>
      </w:r>
    </w:p>
    <w:p>
      <w:pPr>
        <w:pStyle w:val="3"/>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17</w:t>
      </w:r>
      <w:r>
        <w:fldChar w:fldCharType="end"/>
      </w:r>
      <w:r>
        <w:fldChar w:fldCharType="end"/>
      </w:r>
    </w:p>
    <w:p>
      <w:pPr>
        <w:pStyle w:val="3"/>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18</w:t>
      </w:r>
      <w:r>
        <w:fldChar w:fldCharType="end"/>
      </w:r>
      <w:r>
        <w:fldChar w:fldCharType="end"/>
      </w:r>
    </w:p>
    <w:p>
      <w:pPr>
        <w:pStyle w:val="3"/>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19</w:t>
      </w:r>
      <w:r>
        <w:fldChar w:fldCharType="end"/>
      </w:r>
      <w:r>
        <w:fldChar w:fldCharType="end"/>
      </w:r>
    </w:p>
    <w:p>
      <w:pPr>
        <w:pStyle w:val="3"/>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19</w:t>
      </w:r>
      <w:r>
        <w:fldChar w:fldCharType="end"/>
      </w:r>
      <w:r>
        <w:fldChar w:fldCharType="end"/>
      </w:r>
    </w:p>
    <w:p>
      <w:pPr>
        <w:pStyle w:val="3"/>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19</w:t>
      </w:r>
      <w:r>
        <w:fldChar w:fldCharType="end"/>
      </w:r>
      <w:r>
        <w:fldChar w:fldCharType="end"/>
      </w:r>
    </w:p>
    <w:p>
      <w:pPr>
        <w:pStyle w:val="3"/>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21</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71"/>
        <w:gridCol w:w="1971"/>
        <w:gridCol w:w="1971"/>
        <w:gridCol w:w="1971"/>
        <w:gridCol w:w="197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0"/>
            </w:pPr>
            <w:r>
              <w:t>909藁城区政府投资项目代建中心</w:t>
            </w:r>
          </w:p>
        </w:tc>
        <w:tc>
          <w:tcPr>
            <w:tcW w:w="2126" w:type="dxa"/>
            <w:tcBorders>
              <w:top w:val="single" w:color="FFFFFF" w:sz="6" w:space="0"/>
              <w:left w:val="single" w:color="FFFFFF" w:sz="6" w:space="0"/>
              <w:right w:val="single" w:color="FFFFFF" w:sz="6" w:space="0"/>
            </w:tcBorders>
            <w:vAlign w:val="center"/>
          </w:tcPr>
          <w:p>
            <w:pPr>
              <w:pStyle w:val="9"/>
            </w:pPr>
            <w:r>
              <w:t>预算年度：2024</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231.85</w:t>
            </w:r>
          </w:p>
        </w:tc>
        <w:tc>
          <w:tcPr>
            <w:tcW w:w="4535" w:type="dxa"/>
            <w:vAlign w:val="center"/>
          </w:tcPr>
          <w:p>
            <w:pPr>
              <w:pStyle w:val="13"/>
            </w:pPr>
            <w:r>
              <w:t>一、一般公共服务支出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p>
        </w:tc>
        <w:tc>
          <w:tcPr>
            <w:tcW w:w="4535" w:type="dxa"/>
            <w:vAlign w:val="center"/>
          </w:tcPr>
          <w:p>
            <w:pPr>
              <w:pStyle w:val="13"/>
            </w:pPr>
            <w:r>
              <w:t>二、外交支出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r>
              <w:t>231.85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三十一、人行科目</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5"/>
            </w:pPr>
            <w:r>
              <w:t>本年收入合计</w:t>
            </w:r>
          </w:p>
        </w:tc>
        <w:tc>
          <w:tcPr>
            <w:tcW w:w="2126" w:type="dxa"/>
            <w:vAlign w:val="center"/>
          </w:tcPr>
          <w:p>
            <w:pPr>
              <w:pStyle w:val="16"/>
            </w:pPr>
            <w:r>
              <w:t>231.85</w:t>
            </w:r>
          </w:p>
        </w:tc>
        <w:tc>
          <w:tcPr>
            <w:tcW w:w="4535" w:type="dxa"/>
            <w:vAlign w:val="center"/>
          </w:tcPr>
          <w:p>
            <w:pPr>
              <w:pStyle w:val="15"/>
            </w:pPr>
            <w:r>
              <w:t>本年支出合计</w:t>
            </w:r>
          </w:p>
        </w:tc>
        <w:tc>
          <w:tcPr>
            <w:tcW w:w="2126" w:type="dxa"/>
            <w:vAlign w:val="center"/>
          </w:tcPr>
          <w:p>
            <w:pPr>
              <w:pStyle w:val="16"/>
            </w:pPr>
            <w:r>
              <w:t>231.85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3"/>
            </w:pPr>
            <w:r>
              <w:t>上年结转结余</w:t>
            </w:r>
          </w:p>
        </w:tc>
        <w:tc>
          <w:tcPr>
            <w:tcW w:w="2126" w:type="dxa"/>
            <w:vAlign w:val="center"/>
          </w:tcPr>
          <w:p>
            <w:pPr>
              <w:pStyle w:val="12"/>
            </w:pPr>
          </w:p>
        </w:tc>
        <w:tc>
          <w:tcPr>
            <w:tcW w:w="4535" w:type="dxa"/>
            <w:vAlign w:val="center"/>
          </w:tcPr>
          <w:p>
            <w:pPr>
              <w:pStyle w:val="13"/>
            </w:pPr>
            <w:r>
              <w:t>年终结转结余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4535" w:type="dxa"/>
            <w:vAlign w:val="center"/>
          </w:tcPr>
          <w:p>
            <w:pPr>
              <w:pStyle w:val="15"/>
            </w:pPr>
            <w:r>
              <w:t>收入总计</w:t>
            </w:r>
          </w:p>
        </w:tc>
        <w:tc>
          <w:tcPr>
            <w:tcW w:w="2126" w:type="dxa"/>
            <w:vAlign w:val="center"/>
          </w:tcPr>
          <w:p>
            <w:pPr>
              <w:pStyle w:val="16"/>
            </w:pPr>
            <w:r>
              <w:t>231.85</w:t>
            </w:r>
          </w:p>
        </w:tc>
        <w:tc>
          <w:tcPr>
            <w:tcW w:w="4535" w:type="dxa"/>
            <w:vAlign w:val="center"/>
          </w:tcPr>
          <w:p>
            <w:pPr>
              <w:pStyle w:val="15"/>
            </w:pPr>
            <w:r>
              <w:t>支出总计</w:t>
            </w:r>
          </w:p>
        </w:tc>
        <w:tc>
          <w:tcPr>
            <w:tcW w:w="2126" w:type="dxa"/>
            <w:vAlign w:val="center"/>
          </w:tcPr>
          <w:p>
            <w:pPr>
              <w:pStyle w:val="16"/>
            </w:pPr>
            <w:r>
              <w:t>231.85</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909藁城区政府投资项目代建中心</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预算年度：2024</w:t>
            </w:r>
          </w:p>
        </w:tc>
        <w:tc>
          <w:tcPr>
            <w:tcW w:w="5669"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1"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231.85</w:t>
            </w:r>
          </w:p>
        </w:tc>
        <w:tc>
          <w:tcPr>
            <w:tcW w:w="1134" w:type="dxa"/>
            <w:vAlign w:val="center"/>
          </w:tcPr>
          <w:p>
            <w:pPr>
              <w:pStyle w:val="16"/>
            </w:pPr>
            <w:r>
              <w:t>231.85</w:t>
            </w:r>
          </w:p>
        </w:tc>
        <w:tc>
          <w:tcPr>
            <w:tcW w:w="1134" w:type="dxa"/>
            <w:vAlign w:val="center"/>
          </w:tcPr>
          <w:p>
            <w:pPr>
              <w:pStyle w:val="16"/>
            </w:pPr>
            <w:r>
              <w:t>231.85</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212</w:t>
            </w:r>
          </w:p>
        </w:tc>
        <w:tc>
          <w:tcPr>
            <w:tcW w:w="1559" w:type="dxa"/>
            <w:vAlign w:val="center"/>
          </w:tcPr>
          <w:p>
            <w:pPr>
              <w:pStyle w:val="13"/>
            </w:pPr>
            <w:r>
              <w:t>城乡社区支出</w:t>
            </w:r>
          </w:p>
        </w:tc>
        <w:tc>
          <w:tcPr>
            <w:tcW w:w="1134" w:type="dxa"/>
            <w:vAlign w:val="center"/>
          </w:tcPr>
          <w:p>
            <w:pPr>
              <w:pStyle w:val="12"/>
            </w:pPr>
            <w:r>
              <w:t>231.85</w:t>
            </w:r>
          </w:p>
        </w:tc>
        <w:tc>
          <w:tcPr>
            <w:tcW w:w="1134" w:type="dxa"/>
            <w:vAlign w:val="center"/>
          </w:tcPr>
          <w:p>
            <w:pPr>
              <w:pStyle w:val="12"/>
            </w:pPr>
            <w:r>
              <w:t>231.85</w:t>
            </w:r>
          </w:p>
        </w:tc>
        <w:tc>
          <w:tcPr>
            <w:tcW w:w="1134" w:type="dxa"/>
            <w:vAlign w:val="center"/>
          </w:tcPr>
          <w:p>
            <w:pPr>
              <w:pStyle w:val="12"/>
            </w:pPr>
            <w:r>
              <w:t>231.85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21201</w:t>
            </w:r>
          </w:p>
        </w:tc>
        <w:tc>
          <w:tcPr>
            <w:tcW w:w="1559" w:type="dxa"/>
            <w:vAlign w:val="center"/>
          </w:tcPr>
          <w:p>
            <w:pPr>
              <w:pStyle w:val="13"/>
            </w:pPr>
            <w:r>
              <w:t>城乡社区管理事务</w:t>
            </w:r>
          </w:p>
        </w:tc>
        <w:tc>
          <w:tcPr>
            <w:tcW w:w="1134" w:type="dxa"/>
            <w:vAlign w:val="center"/>
          </w:tcPr>
          <w:p>
            <w:pPr>
              <w:pStyle w:val="12"/>
            </w:pPr>
            <w:r>
              <w:t>231.85</w:t>
            </w:r>
          </w:p>
        </w:tc>
        <w:tc>
          <w:tcPr>
            <w:tcW w:w="1134" w:type="dxa"/>
            <w:vAlign w:val="center"/>
          </w:tcPr>
          <w:p>
            <w:pPr>
              <w:pStyle w:val="12"/>
            </w:pPr>
            <w:r>
              <w:t>231.85</w:t>
            </w:r>
          </w:p>
        </w:tc>
        <w:tc>
          <w:tcPr>
            <w:tcW w:w="1134" w:type="dxa"/>
            <w:vAlign w:val="center"/>
          </w:tcPr>
          <w:p>
            <w:pPr>
              <w:pStyle w:val="12"/>
            </w:pPr>
            <w:r>
              <w:t>231.85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2120106</w:t>
            </w:r>
          </w:p>
        </w:tc>
        <w:tc>
          <w:tcPr>
            <w:tcW w:w="1559" w:type="dxa"/>
            <w:vAlign w:val="center"/>
          </w:tcPr>
          <w:p>
            <w:pPr>
              <w:pStyle w:val="13"/>
            </w:pPr>
            <w:r>
              <w:t>工程建设管理</w:t>
            </w:r>
          </w:p>
        </w:tc>
        <w:tc>
          <w:tcPr>
            <w:tcW w:w="1134" w:type="dxa"/>
            <w:vAlign w:val="center"/>
          </w:tcPr>
          <w:p>
            <w:pPr>
              <w:pStyle w:val="12"/>
            </w:pPr>
            <w:r>
              <w:t>231.85</w:t>
            </w:r>
          </w:p>
        </w:tc>
        <w:tc>
          <w:tcPr>
            <w:tcW w:w="1134" w:type="dxa"/>
            <w:vAlign w:val="center"/>
          </w:tcPr>
          <w:p>
            <w:pPr>
              <w:pStyle w:val="12"/>
            </w:pPr>
            <w:r>
              <w:t>231.85</w:t>
            </w:r>
          </w:p>
        </w:tc>
        <w:tc>
          <w:tcPr>
            <w:tcW w:w="1134" w:type="dxa"/>
            <w:vAlign w:val="center"/>
          </w:tcPr>
          <w:p>
            <w:pPr>
              <w:pStyle w:val="12"/>
            </w:pPr>
            <w:r>
              <w:t>231.85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0"/>
            </w:pPr>
            <w:r>
              <w:t>909藁城区政府投资项目代建中心</w:t>
            </w:r>
          </w:p>
        </w:tc>
        <w:tc>
          <w:tcPr>
            <w:tcW w:w="2721" w:type="dxa"/>
            <w:gridSpan w:val="2"/>
            <w:tcBorders>
              <w:top w:val="single" w:color="FFFFFF" w:sz="6" w:space="0"/>
              <w:left w:val="single" w:color="FFFFFF" w:sz="6" w:space="0"/>
              <w:right w:val="single" w:color="FFFFFF" w:sz="6" w:space="0"/>
            </w:tcBorders>
            <w:vAlign w:val="center"/>
          </w:tcPr>
          <w:p>
            <w:pPr>
              <w:pStyle w:val="9"/>
            </w:pPr>
            <w:r>
              <w:t>预算年度：2024</w:t>
            </w:r>
          </w:p>
        </w:tc>
        <w:tc>
          <w:tcPr>
            <w:tcW w:w="5443"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8"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231.85</w:t>
            </w:r>
          </w:p>
        </w:tc>
        <w:tc>
          <w:tcPr>
            <w:tcW w:w="1361" w:type="dxa"/>
            <w:vAlign w:val="center"/>
          </w:tcPr>
          <w:p>
            <w:pPr>
              <w:pStyle w:val="16"/>
            </w:pPr>
            <w:r>
              <w:t>198.42</w:t>
            </w:r>
          </w:p>
        </w:tc>
        <w:tc>
          <w:tcPr>
            <w:tcW w:w="1361" w:type="dxa"/>
            <w:vAlign w:val="center"/>
          </w:tcPr>
          <w:p>
            <w:pPr>
              <w:pStyle w:val="16"/>
            </w:pPr>
            <w:r>
              <w:t>33.43</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212</w:t>
            </w:r>
          </w:p>
        </w:tc>
        <w:tc>
          <w:tcPr>
            <w:tcW w:w="4535" w:type="dxa"/>
            <w:vAlign w:val="center"/>
          </w:tcPr>
          <w:p>
            <w:pPr>
              <w:pStyle w:val="13"/>
            </w:pPr>
            <w:r>
              <w:t>城乡社区支出</w:t>
            </w:r>
          </w:p>
        </w:tc>
        <w:tc>
          <w:tcPr>
            <w:tcW w:w="1361" w:type="dxa"/>
            <w:vAlign w:val="center"/>
          </w:tcPr>
          <w:p>
            <w:pPr>
              <w:pStyle w:val="12"/>
            </w:pPr>
            <w:r>
              <w:t>231.85</w:t>
            </w:r>
          </w:p>
        </w:tc>
        <w:tc>
          <w:tcPr>
            <w:tcW w:w="1361" w:type="dxa"/>
            <w:vAlign w:val="center"/>
          </w:tcPr>
          <w:p>
            <w:pPr>
              <w:pStyle w:val="12"/>
            </w:pPr>
            <w:r>
              <w:t>198.42</w:t>
            </w:r>
          </w:p>
        </w:tc>
        <w:tc>
          <w:tcPr>
            <w:tcW w:w="1361" w:type="dxa"/>
            <w:vAlign w:val="center"/>
          </w:tcPr>
          <w:p>
            <w:pPr>
              <w:pStyle w:val="12"/>
            </w:pPr>
            <w:r>
              <w:t>33.43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21201</w:t>
            </w:r>
          </w:p>
        </w:tc>
        <w:tc>
          <w:tcPr>
            <w:tcW w:w="4535" w:type="dxa"/>
            <w:vAlign w:val="center"/>
          </w:tcPr>
          <w:p>
            <w:pPr>
              <w:pStyle w:val="13"/>
            </w:pPr>
            <w:r>
              <w:t>城乡社区管理事务</w:t>
            </w:r>
          </w:p>
        </w:tc>
        <w:tc>
          <w:tcPr>
            <w:tcW w:w="1361" w:type="dxa"/>
            <w:vAlign w:val="center"/>
          </w:tcPr>
          <w:p>
            <w:pPr>
              <w:pStyle w:val="12"/>
            </w:pPr>
            <w:r>
              <w:t>231.85</w:t>
            </w:r>
          </w:p>
        </w:tc>
        <w:tc>
          <w:tcPr>
            <w:tcW w:w="1361" w:type="dxa"/>
            <w:vAlign w:val="center"/>
          </w:tcPr>
          <w:p>
            <w:pPr>
              <w:pStyle w:val="12"/>
            </w:pPr>
            <w:r>
              <w:t>198.42</w:t>
            </w:r>
          </w:p>
        </w:tc>
        <w:tc>
          <w:tcPr>
            <w:tcW w:w="1361" w:type="dxa"/>
            <w:vAlign w:val="center"/>
          </w:tcPr>
          <w:p>
            <w:pPr>
              <w:pStyle w:val="12"/>
            </w:pPr>
            <w:r>
              <w:t>33.43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2120106</w:t>
            </w:r>
          </w:p>
        </w:tc>
        <w:tc>
          <w:tcPr>
            <w:tcW w:w="4535" w:type="dxa"/>
            <w:vAlign w:val="center"/>
          </w:tcPr>
          <w:p>
            <w:pPr>
              <w:pStyle w:val="13"/>
            </w:pPr>
            <w:r>
              <w:t>工程建设管理</w:t>
            </w:r>
          </w:p>
        </w:tc>
        <w:tc>
          <w:tcPr>
            <w:tcW w:w="1361" w:type="dxa"/>
            <w:vAlign w:val="center"/>
          </w:tcPr>
          <w:p>
            <w:pPr>
              <w:pStyle w:val="12"/>
            </w:pPr>
            <w:r>
              <w:t>231.85</w:t>
            </w:r>
          </w:p>
        </w:tc>
        <w:tc>
          <w:tcPr>
            <w:tcW w:w="1361" w:type="dxa"/>
            <w:vAlign w:val="center"/>
          </w:tcPr>
          <w:p>
            <w:pPr>
              <w:pStyle w:val="12"/>
            </w:pPr>
            <w:r>
              <w:t>198.42</w:t>
            </w:r>
          </w:p>
        </w:tc>
        <w:tc>
          <w:tcPr>
            <w:tcW w:w="1361" w:type="dxa"/>
            <w:vAlign w:val="center"/>
          </w:tcPr>
          <w:p>
            <w:pPr>
              <w:pStyle w:val="12"/>
            </w:pPr>
            <w:r>
              <w:t>33.43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909藁城区政府投资项目代建中心</w:t>
            </w:r>
          </w:p>
        </w:tc>
        <w:tc>
          <w:tcPr>
            <w:tcW w:w="3402" w:type="dxa"/>
            <w:tcBorders>
              <w:top w:val="single" w:color="FFFFFF" w:sz="6" w:space="0"/>
              <w:left w:val="single" w:color="FFFFFF" w:sz="6" w:space="0"/>
              <w:right w:val="single" w:color="FFFFFF" w:sz="6" w:space="0"/>
            </w:tcBorders>
            <w:vAlign w:val="center"/>
          </w:tcPr>
          <w:p>
            <w:pPr>
              <w:pStyle w:val="9"/>
            </w:pPr>
            <w:r>
              <w:t>预算年度：2024</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231.85</w:t>
            </w:r>
          </w:p>
        </w:tc>
        <w:tc>
          <w:tcPr>
            <w:tcW w:w="3402" w:type="dxa"/>
            <w:vAlign w:val="center"/>
          </w:tcPr>
          <w:p>
            <w:pPr>
              <w:pStyle w:val="13"/>
            </w:pPr>
            <w:r>
              <w:t>一、一般公共服务支出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r>
              <w:t>231.85</w:t>
            </w:r>
          </w:p>
        </w:tc>
        <w:tc>
          <w:tcPr>
            <w:tcW w:w="1474" w:type="dxa"/>
            <w:vAlign w:val="center"/>
          </w:tcPr>
          <w:p>
            <w:pPr>
              <w:pStyle w:val="12"/>
            </w:pPr>
            <w:r>
              <w:t>231.85</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231.85</w:t>
            </w:r>
          </w:p>
        </w:tc>
        <w:tc>
          <w:tcPr>
            <w:tcW w:w="3402" w:type="dxa"/>
            <w:vAlign w:val="center"/>
          </w:tcPr>
          <w:p>
            <w:pPr>
              <w:pStyle w:val="15"/>
            </w:pPr>
            <w:r>
              <w:t>本年支出合计</w:t>
            </w:r>
          </w:p>
        </w:tc>
        <w:tc>
          <w:tcPr>
            <w:tcW w:w="1474" w:type="dxa"/>
            <w:vAlign w:val="center"/>
          </w:tcPr>
          <w:p>
            <w:pPr>
              <w:pStyle w:val="16"/>
            </w:pPr>
            <w:r>
              <w:t>231.85</w:t>
            </w:r>
          </w:p>
        </w:tc>
        <w:tc>
          <w:tcPr>
            <w:tcW w:w="1474" w:type="dxa"/>
            <w:vAlign w:val="center"/>
          </w:tcPr>
          <w:p>
            <w:pPr>
              <w:pStyle w:val="16"/>
            </w:pPr>
            <w:r>
              <w:t>231.85</w:t>
            </w: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231.85</w:t>
            </w:r>
          </w:p>
        </w:tc>
        <w:tc>
          <w:tcPr>
            <w:tcW w:w="3402" w:type="dxa"/>
            <w:vAlign w:val="center"/>
          </w:tcPr>
          <w:p>
            <w:pPr>
              <w:pStyle w:val="15"/>
            </w:pPr>
            <w:r>
              <w:t>支出总计</w:t>
            </w:r>
          </w:p>
        </w:tc>
        <w:tc>
          <w:tcPr>
            <w:tcW w:w="1474" w:type="dxa"/>
            <w:vAlign w:val="center"/>
          </w:tcPr>
          <w:p>
            <w:pPr>
              <w:pStyle w:val="16"/>
            </w:pPr>
            <w:r>
              <w:t>231.85</w:t>
            </w:r>
          </w:p>
        </w:tc>
        <w:tc>
          <w:tcPr>
            <w:tcW w:w="1474" w:type="dxa"/>
            <w:vAlign w:val="center"/>
          </w:tcPr>
          <w:p>
            <w:pPr>
              <w:pStyle w:val="16"/>
            </w:pPr>
            <w:r>
              <w:t>231.85</w:t>
            </w:r>
          </w:p>
        </w:tc>
        <w:tc>
          <w:tcPr>
            <w:tcW w:w="1474" w:type="dxa"/>
            <w:vAlign w:val="center"/>
          </w:tcPr>
          <w:p>
            <w:pPr>
              <w:pStyle w:val="16"/>
            </w:pPr>
          </w:p>
        </w:tc>
        <w:tc>
          <w:tcPr>
            <w:tcW w:w="1474" w:type="dxa"/>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909藁城区政府投资项目代建中心</w:t>
            </w:r>
          </w:p>
        </w:tc>
        <w:tc>
          <w:tcPr>
            <w:tcW w:w="2551" w:type="dxa"/>
            <w:tcBorders>
              <w:top w:val="single" w:color="FFFFFF" w:sz="6" w:space="0"/>
              <w:left w:val="single" w:color="FFFFFF" w:sz="6" w:space="0"/>
              <w:right w:val="single" w:color="FFFFFF" w:sz="6" w:space="0"/>
            </w:tcBorders>
            <w:vAlign w:val="center"/>
          </w:tcPr>
          <w:p>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231.85</w:t>
            </w:r>
          </w:p>
        </w:tc>
        <w:tc>
          <w:tcPr>
            <w:tcW w:w="2551" w:type="dxa"/>
            <w:vAlign w:val="center"/>
          </w:tcPr>
          <w:p>
            <w:pPr>
              <w:pStyle w:val="16"/>
            </w:pPr>
            <w:r>
              <w:t>198.42</w:t>
            </w:r>
          </w:p>
        </w:tc>
        <w:tc>
          <w:tcPr>
            <w:tcW w:w="2551" w:type="dxa"/>
            <w:vAlign w:val="center"/>
          </w:tcPr>
          <w:p>
            <w:pPr>
              <w:pStyle w:val="16"/>
            </w:pPr>
            <w:r>
              <w:t>33.43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212</w:t>
            </w:r>
          </w:p>
        </w:tc>
        <w:tc>
          <w:tcPr>
            <w:tcW w:w="4535" w:type="dxa"/>
            <w:vAlign w:val="center"/>
          </w:tcPr>
          <w:p>
            <w:pPr>
              <w:pStyle w:val="13"/>
            </w:pPr>
            <w:r>
              <w:t>城乡社区支出</w:t>
            </w:r>
          </w:p>
        </w:tc>
        <w:tc>
          <w:tcPr>
            <w:tcW w:w="2551" w:type="dxa"/>
            <w:vAlign w:val="center"/>
          </w:tcPr>
          <w:p>
            <w:pPr>
              <w:pStyle w:val="12"/>
            </w:pPr>
            <w:r>
              <w:t>231.85</w:t>
            </w:r>
          </w:p>
        </w:tc>
        <w:tc>
          <w:tcPr>
            <w:tcW w:w="2551" w:type="dxa"/>
            <w:vAlign w:val="center"/>
          </w:tcPr>
          <w:p>
            <w:pPr>
              <w:pStyle w:val="12"/>
            </w:pPr>
            <w:r>
              <w:t>198.42</w:t>
            </w:r>
          </w:p>
        </w:tc>
        <w:tc>
          <w:tcPr>
            <w:tcW w:w="2551" w:type="dxa"/>
            <w:vAlign w:val="center"/>
          </w:tcPr>
          <w:p>
            <w:pPr>
              <w:pStyle w:val="12"/>
            </w:pPr>
            <w:r>
              <w:t>33.43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21201</w:t>
            </w:r>
          </w:p>
        </w:tc>
        <w:tc>
          <w:tcPr>
            <w:tcW w:w="4535" w:type="dxa"/>
            <w:vAlign w:val="center"/>
          </w:tcPr>
          <w:p>
            <w:pPr>
              <w:pStyle w:val="13"/>
            </w:pPr>
            <w:r>
              <w:t>城乡社区管理事务</w:t>
            </w:r>
          </w:p>
        </w:tc>
        <w:tc>
          <w:tcPr>
            <w:tcW w:w="2551" w:type="dxa"/>
            <w:vAlign w:val="center"/>
          </w:tcPr>
          <w:p>
            <w:pPr>
              <w:pStyle w:val="12"/>
            </w:pPr>
            <w:r>
              <w:t>231.85</w:t>
            </w:r>
          </w:p>
        </w:tc>
        <w:tc>
          <w:tcPr>
            <w:tcW w:w="2551" w:type="dxa"/>
            <w:vAlign w:val="center"/>
          </w:tcPr>
          <w:p>
            <w:pPr>
              <w:pStyle w:val="12"/>
            </w:pPr>
            <w:r>
              <w:t>198.42</w:t>
            </w:r>
          </w:p>
        </w:tc>
        <w:tc>
          <w:tcPr>
            <w:tcW w:w="2551" w:type="dxa"/>
            <w:vAlign w:val="center"/>
          </w:tcPr>
          <w:p>
            <w:pPr>
              <w:pStyle w:val="12"/>
            </w:pPr>
            <w:r>
              <w:t>33.43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2120106</w:t>
            </w:r>
          </w:p>
        </w:tc>
        <w:tc>
          <w:tcPr>
            <w:tcW w:w="4535" w:type="dxa"/>
            <w:vAlign w:val="center"/>
          </w:tcPr>
          <w:p>
            <w:pPr>
              <w:pStyle w:val="13"/>
            </w:pPr>
            <w:r>
              <w:t>工程建设管理</w:t>
            </w:r>
          </w:p>
        </w:tc>
        <w:tc>
          <w:tcPr>
            <w:tcW w:w="2551" w:type="dxa"/>
            <w:vAlign w:val="center"/>
          </w:tcPr>
          <w:p>
            <w:pPr>
              <w:pStyle w:val="12"/>
            </w:pPr>
            <w:r>
              <w:t>231.85</w:t>
            </w:r>
          </w:p>
        </w:tc>
        <w:tc>
          <w:tcPr>
            <w:tcW w:w="2551" w:type="dxa"/>
            <w:vAlign w:val="center"/>
          </w:tcPr>
          <w:p>
            <w:pPr>
              <w:pStyle w:val="12"/>
            </w:pPr>
            <w:r>
              <w:t>198.42</w:t>
            </w:r>
          </w:p>
        </w:tc>
        <w:tc>
          <w:tcPr>
            <w:tcW w:w="2551" w:type="dxa"/>
            <w:vAlign w:val="center"/>
          </w:tcPr>
          <w:p>
            <w:pPr>
              <w:pStyle w:val="12"/>
            </w:pPr>
            <w:r>
              <w:t>33.43</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909藁城区政府投资项目代建中心</w:t>
            </w:r>
          </w:p>
        </w:tc>
        <w:tc>
          <w:tcPr>
            <w:tcW w:w="2551" w:type="dxa"/>
            <w:tcBorders>
              <w:top w:val="single" w:color="FFFFFF" w:sz="6" w:space="0"/>
              <w:left w:val="single" w:color="FFFFFF" w:sz="6" w:space="0"/>
              <w:right w:val="single" w:color="FFFFFF" w:sz="6" w:space="0"/>
            </w:tcBorders>
            <w:vAlign w:val="center"/>
          </w:tcPr>
          <w:p>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4"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198.42</w:t>
            </w:r>
          </w:p>
        </w:tc>
        <w:tc>
          <w:tcPr>
            <w:tcW w:w="2551" w:type="dxa"/>
            <w:vAlign w:val="center"/>
          </w:tcPr>
          <w:p>
            <w:pPr>
              <w:pStyle w:val="16"/>
            </w:pPr>
            <w:r>
              <w:t>185.57</w:t>
            </w:r>
          </w:p>
        </w:tc>
        <w:tc>
          <w:tcPr>
            <w:tcW w:w="2551" w:type="dxa"/>
            <w:vAlign w:val="center"/>
          </w:tcPr>
          <w:p>
            <w:pPr>
              <w:pStyle w:val="16"/>
            </w:pPr>
            <w:r>
              <w:t>12.85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185.57</w:t>
            </w:r>
          </w:p>
        </w:tc>
        <w:tc>
          <w:tcPr>
            <w:tcW w:w="2551" w:type="dxa"/>
            <w:vAlign w:val="center"/>
          </w:tcPr>
          <w:p>
            <w:pPr>
              <w:pStyle w:val="12"/>
            </w:pPr>
            <w:r>
              <w:t>185.57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43.70</w:t>
            </w:r>
          </w:p>
        </w:tc>
        <w:tc>
          <w:tcPr>
            <w:tcW w:w="2551" w:type="dxa"/>
            <w:vAlign w:val="center"/>
          </w:tcPr>
          <w:p>
            <w:pPr>
              <w:pStyle w:val="12"/>
            </w:pPr>
            <w:r>
              <w:t>43.70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22.10</w:t>
            </w:r>
          </w:p>
        </w:tc>
        <w:tc>
          <w:tcPr>
            <w:tcW w:w="2551" w:type="dxa"/>
            <w:vAlign w:val="center"/>
          </w:tcPr>
          <w:p>
            <w:pPr>
              <w:pStyle w:val="12"/>
            </w:pPr>
            <w:r>
              <w:t>22.10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2"/>
            </w:pPr>
            <w:r>
              <w:t>62.24</w:t>
            </w:r>
          </w:p>
        </w:tc>
        <w:tc>
          <w:tcPr>
            <w:tcW w:w="2551" w:type="dxa"/>
            <w:vAlign w:val="center"/>
          </w:tcPr>
          <w:p>
            <w:pPr>
              <w:pStyle w:val="12"/>
            </w:pPr>
            <w:r>
              <w:t>62.24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20.95</w:t>
            </w:r>
          </w:p>
        </w:tc>
        <w:tc>
          <w:tcPr>
            <w:tcW w:w="2551" w:type="dxa"/>
            <w:vAlign w:val="center"/>
          </w:tcPr>
          <w:p>
            <w:pPr>
              <w:pStyle w:val="12"/>
            </w:pPr>
            <w:r>
              <w:t>20.95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7.19</w:t>
            </w:r>
          </w:p>
        </w:tc>
        <w:tc>
          <w:tcPr>
            <w:tcW w:w="2551" w:type="dxa"/>
            <w:vAlign w:val="center"/>
          </w:tcPr>
          <w:p>
            <w:pPr>
              <w:pStyle w:val="12"/>
            </w:pPr>
            <w:r>
              <w:t>7.19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30111</w:t>
            </w:r>
          </w:p>
        </w:tc>
        <w:tc>
          <w:tcPr>
            <w:tcW w:w="4535" w:type="dxa"/>
            <w:vAlign w:val="center"/>
          </w:tcPr>
          <w:p>
            <w:pPr>
              <w:pStyle w:val="13"/>
            </w:pPr>
            <w:r>
              <w:t>公务员医疗补助缴费</w:t>
            </w:r>
          </w:p>
        </w:tc>
        <w:tc>
          <w:tcPr>
            <w:tcW w:w="2551" w:type="dxa"/>
            <w:vAlign w:val="center"/>
          </w:tcPr>
          <w:p>
            <w:pPr>
              <w:pStyle w:val="12"/>
            </w:pPr>
            <w:r>
              <w:t>5.56</w:t>
            </w:r>
          </w:p>
        </w:tc>
        <w:tc>
          <w:tcPr>
            <w:tcW w:w="2551" w:type="dxa"/>
            <w:vAlign w:val="center"/>
          </w:tcPr>
          <w:p>
            <w:pPr>
              <w:pStyle w:val="12"/>
            </w:pPr>
            <w:r>
              <w:t>5.56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7.83</w:t>
            </w:r>
          </w:p>
        </w:tc>
        <w:tc>
          <w:tcPr>
            <w:tcW w:w="2551" w:type="dxa"/>
            <w:vAlign w:val="center"/>
          </w:tcPr>
          <w:p>
            <w:pPr>
              <w:pStyle w:val="12"/>
            </w:pPr>
            <w:r>
              <w:t>7.83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30113</w:t>
            </w:r>
          </w:p>
        </w:tc>
        <w:tc>
          <w:tcPr>
            <w:tcW w:w="4535" w:type="dxa"/>
            <w:vAlign w:val="center"/>
          </w:tcPr>
          <w:p>
            <w:pPr>
              <w:pStyle w:val="13"/>
            </w:pPr>
            <w:r>
              <w:t>住房公积金</w:t>
            </w:r>
          </w:p>
        </w:tc>
        <w:tc>
          <w:tcPr>
            <w:tcW w:w="2551" w:type="dxa"/>
            <w:vAlign w:val="center"/>
          </w:tcPr>
          <w:p>
            <w:pPr>
              <w:pStyle w:val="12"/>
            </w:pPr>
            <w:r>
              <w:t>16.00</w:t>
            </w:r>
          </w:p>
        </w:tc>
        <w:tc>
          <w:tcPr>
            <w:tcW w:w="2551" w:type="dxa"/>
            <w:vAlign w:val="center"/>
          </w:tcPr>
          <w:p>
            <w:pPr>
              <w:pStyle w:val="12"/>
            </w:pPr>
            <w:r>
              <w:t>16.00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12.25</w:t>
            </w:r>
          </w:p>
        </w:tc>
        <w:tc>
          <w:tcPr>
            <w:tcW w:w="2551" w:type="dxa"/>
            <w:vAlign w:val="center"/>
          </w:tcPr>
          <w:p>
            <w:pPr>
              <w:pStyle w:val="12"/>
            </w:pPr>
          </w:p>
        </w:tc>
        <w:tc>
          <w:tcPr>
            <w:tcW w:w="2551" w:type="dxa"/>
            <w:vAlign w:val="center"/>
          </w:tcPr>
          <w:p>
            <w:pPr>
              <w:pStyle w:val="12"/>
            </w:pPr>
            <w:r>
              <w:t>12.25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3.32</w:t>
            </w:r>
          </w:p>
        </w:tc>
        <w:tc>
          <w:tcPr>
            <w:tcW w:w="2551" w:type="dxa"/>
            <w:vAlign w:val="center"/>
          </w:tcPr>
          <w:p>
            <w:pPr>
              <w:pStyle w:val="12"/>
            </w:pPr>
          </w:p>
        </w:tc>
        <w:tc>
          <w:tcPr>
            <w:tcW w:w="2551" w:type="dxa"/>
            <w:vAlign w:val="center"/>
          </w:tcPr>
          <w:p>
            <w:pPr>
              <w:pStyle w:val="12"/>
            </w:pPr>
            <w:r>
              <w:t>3.32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30205</w:t>
            </w:r>
          </w:p>
        </w:tc>
        <w:tc>
          <w:tcPr>
            <w:tcW w:w="4535" w:type="dxa"/>
            <w:vAlign w:val="center"/>
          </w:tcPr>
          <w:p>
            <w:pPr>
              <w:pStyle w:val="13"/>
            </w:pPr>
            <w:r>
              <w:t>水费</w:t>
            </w:r>
          </w:p>
        </w:tc>
        <w:tc>
          <w:tcPr>
            <w:tcW w:w="2551" w:type="dxa"/>
            <w:vAlign w:val="center"/>
          </w:tcPr>
          <w:p>
            <w:pPr>
              <w:pStyle w:val="12"/>
            </w:pPr>
            <w:r>
              <w:t>0.08</w:t>
            </w:r>
          </w:p>
        </w:tc>
        <w:tc>
          <w:tcPr>
            <w:tcW w:w="2551" w:type="dxa"/>
            <w:vAlign w:val="center"/>
          </w:tcPr>
          <w:p>
            <w:pPr>
              <w:pStyle w:val="12"/>
            </w:pPr>
          </w:p>
        </w:tc>
        <w:tc>
          <w:tcPr>
            <w:tcW w:w="2551" w:type="dxa"/>
            <w:vAlign w:val="center"/>
          </w:tcPr>
          <w:p>
            <w:pPr>
              <w:pStyle w:val="12"/>
            </w:pPr>
            <w:r>
              <w:t>0.08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30206</w:t>
            </w:r>
          </w:p>
        </w:tc>
        <w:tc>
          <w:tcPr>
            <w:tcW w:w="4535" w:type="dxa"/>
            <w:vAlign w:val="center"/>
          </w:tcPr>
          <w:p>
            <w:pPr>
              <w:pStyle w:val="13"/>
            </w:pPr>
            <w:r>
              <w:t>电费</w:t>
            </w:r>
          </w:p>
        </w:tc>
        <w:tc>
          <w:tcPr>
            <w:tcW w:w="2551" w:type="dxa"/>
            <w:vAlign w:val="center"/>
          </w:tcPr>
          <w:p>
            <w:pPr>
              <w:pStyle w:val="12"/>
            </w:pPr>
            <w:r>
              <w:t>1.00</w:t>
            </w:r>
          </w:p>
        </w:tc>
        <w:tc>
          <w:tcPr>
            <w:tcW w:w="2551" w:type="dxa"/>
            <w:vAlign w:val="center"/>
          </w:tcPr>
          <w:p>
            <w:pPr>
              <w:pStyle w:val="12"/>
            </w:pPr>
          </w:p>
        </w:tc>
        <w:tc>
          <w:tcPr>
            <w:tcW w:w="2551" w:type="dxa"/>
            <w:vAlign w:val="center"/>
          </w:tcPr>
          <w:p>
            <w:pPr>
              <w:pStyle w:val="12"/>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30228</w:t>
            </w:r>
          </w:p>
        </w:tc>
        <w:tc>
          <w:tcPr>
            <w:tcW w:w="4535" w:type="dxa"/>
            <w:vAlign w:val="center"/>
          </w:tcPr>
          <w:p>
            <w:pPr>
              <w:pStyle w:val="13"/>
            </w:pPr>
            <w:r>
              <w:t>工会经费</w:t>
            </w:r>
          </w:p>
        </w:tc>
        <w:tc>
          <w:tcPr>
            <w:tcW w:w="2551" w:type="dxa"/>
            <w:vAlign w:val="center"/>
          </w:tcPr>
          <w:p>
            <w:pPr>
              <w:pStyle w:val="12"/>
            </w:pPr>
            <w:r>
              <w:t>1.27</w:t>
            </w:r>
          </w:p>
        </w:tc>
        <w:tc>
          <w:tcPr>
            <w:tcW w:w="2551" w:type="dxa"/>
            <w:vAlign w:val="center"/>
          </w:tcPr>
          <w:p>
            <w:pPr>
              <w:pStyle w:val="12"/>
            </w:pPr>
          </w:p>
        </w:tc>
        <w:tc>
          <w:tcPr>
            <w:tcW w:w="2551" w:type="dxa"/>
            <w:vAlign w:val="center"/>
          </w:tcPr>
          <w:p>
            <w:pPr>
              <w:pStyle w:val="12"/>
            </w:pPr>
            <w:r>
              <w:t>1.27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30229</w:t>
            </w:r>
          </w:p>
        </w:tc>
        <w:tc>
          <w:tcPr>
            <w:tcW w:w="4535" w:type="dxa"/>
            <w:vAlign w:val="center"/>
          </w:tcPr>
          <w:p>
            <w:pPr>
              <w:pStyle w:val="13"/>
            </w:pPr>
            <w:r>
              <w:t>福利费</w:t>
            </w:r>
          </w:p>
        </w:tc>
        <w:tc>
          <w:tcPr>
            <w:tcW w:w="2551" w:type="dxa"/>
            <w:vAlign w:val="center"/>
          </w:tcPr>
          <w:p>
            <w:pPr>
              <w:pStyle w:val="12"/>
            </w:pPr>
            <w:r>
              <w:t>1.09</w:t>
            </w:r>
          </w:p>
        </w:tc>
        <w:tc>
          <w:tcPr>
            <w:tcW w:w="2551" w:type="dxa"/>
            <w:vAlign w:val="center"/>
          </w:tcPr>
          <w:p>
            <w:pPr>
              <w:pStyle w:val="12"/>
            </w:pPr>
          </w:p>
        </w:tc>
        <w:tc>
          <w:tcPr>
            <w:tcW w:w="2551" w:type="dxa"/>
            <w:vAlign w:val="center"/>
          </w:tcPr>
          <w:p>
            <w:pPr>
              <w:pStyle w:val="12"/>
            </w:pPr>
            <w:r>
              <w:t>1.09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5.40</w:t>
            </w:r>
          </w:p>
        </w:tc>
        <w:tc>
          <w:tcPr>
            <w:tcW w:w="2551" w:type="dxa"/>
            <w:vAlign w:val="center"/>
          </w:tcPr>
          <w:p>
            <w:pPr>
              <w:pStyle w:val="12"/>
            </w:pPr>
          </w:p>
        </w:tc>
        <w:tc>
          <w:tcPr>
            <w:tcW w:w="2551" w:type="dxa"/>
            <w:vAlign w:val="center"/>
          </w:tcPr>
          <w:p>
            <w:pPr>
              <w:pStyle w:val="12"/>
            </w:pPr>
            <w:r>
              <w:t>5.40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30299</w:t>
            </w:r>
          </w:p>
        </w:tc>
        <w:tc>
          <w:tcPr>
            <w:tcW w:w="4535" w:type="dxa"/>
            <w:vAlign w:val="center"/>
          </w:tcPr>
          <w:p>
            <w:pPr>
              <w:pStyle w:val="13"/>
            </w:pPr>
            <w:r>
              <w:t>其他商品和服务支出</w:t>
            </w:r>
          </w:p>
        </w:tc>
        <w:tc>
          <w:tcPr>
            <w:tcW w:w="2551" w:type="dxa"/>
            <w:vAlign w:val="center"/>
          </w:tcPr>
          <w:p>
            <w:pPr>
              <w:pStyle w:val="12"/>
            </w:pPr>
            <w:r>
              <w:t>0.09</w:t>
            </w:r>
          </w:p>
        </w:tc>
        <w:tc>
          <w:tcPr>
            <w:tcW w:w="2551" w:type="dxa"/>
            <w:vAlign w:val="center"/>
          </w:tcPr>
          <w:p>
            <w:pPr>
              <w:pStyle w:val="12"/>
            </w:pPr>
          </w:p>
        </w:tc>
        <w:tc>
          <w:tcPr>
            <w:tcW w:w="2551" w:type="dxa"/>
            <w:vAlign w:val="center"/>
          </w:tcPr>
          <w:p>
            <w:pPr>
              <w:pStyle w:val="12"/>
            </w:pPr>
            <w:r>
              <w:t>0.09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310</w:t>
            </w:r>
          </w:p>
        </w:tc>
        <w:tc>
          <w:tcPr>
            <w:tcW w:w="4535" w:type="dxa"/>
            <w:vAlign w:val="center"/>
          </w:tcPr>
          <w:p>
            <w:pPr>
              <w:pStyle w:val="13"/>
            </w:pPr>
            <w:r>
              <w:t>资本性支出</w:t>
            </w:r>
          </w:p>
        </w:tc>
        <w:tc>
          <w:tcPr>
            <w:tcW w:w="2551" w:type="dxa"/>
            <w:vAlign w:val="center"/>
          </w:tcPr>
          <w:p>
            <w:pPr>
              <w:pStyle w:val="12"/>
            </w:pPr>
            <w:r>
              <w:t>0.60</w:t>
            </w:r>
          </w:p>
        </w:tc>
        <w:tc>
          <w:tcPr>
            <w:tcW w:w="2551" w:type="dxa"/>
            <w:vAlign w:val="center"/>
          </w:tcPr>
          <w:p>
            <w:pPr>
              <w:pStyle w:val="12"/>
            </w:pPr>
          </w:p>
        </w:tc>
        <w:tc>
          <w:tcPr>
            <w:tcW w:w="2551" w:type="dxa"/>
            <w:vAlign w:val="center"/>
          </w:tcPr>
          <w:p>
            <w:pPr>
              <w:pStyle w:val="12"/>
            </w:pPr>
            <w:r>
              <w:t>0.60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31002</w:t>
            </w:r>
          </w:p>
        </w:tc>
        <w:tc>
          <w:tcPr>
            <w:tcW w:w="4535" w:type="dxa"/>
            <w:vAlign w:val="center"/>
          </w:tcPr>
          <w:p>
            <w:pPr>
              <w:pStyle w:val="13"/>
            </w:pPr>
            <w:r>
              <w:t>办公设备购置</w:t>
            </w:r>
          </w:p>
        </w:tc>
        <w:tc>
          <w:tcPr>
            <w:tcW w:w="2551" w:type="dxa"/>
            <w:vAlign w:val="center"/>
          </w:tcPr>
          <w:p>
            <w:pPr>
              <w:pStyle w:val="12"/>
            </w:pPr>
            <w:r>
              <w:t>0.60</w:t>
            </w:r>
          </w:p>
        </w:tc>
        <w:tc>
          <w:tcPr>
            <w:tcW w:w="2551" w:type="dxa"/>
            <w:vAlign w:val="center"/>
          </w:tcPr>
          <w:p>
            <w:pPr>
              <w:pStyle w:val="12"/>
            </w:pPr>
          </w:p>
        </w:tc>
        <w:tc>
          <w:tcPr>
            <w:tcW w:w="2551" w:type="dxa"/>
            <w:vAlign w:val="center"/>
          </w:tcPr>
          <w:p>
            <w:pPr>
              <w:pStyle w:val="12"/>
            </w:pPr>
            <w:r>
              <w:t>0.60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909藁城区政府投资项目代建中心</w:t>
            </w:r>
          </w:p>
        </w:tc>
        <w:tc>
          <w:tcPr>
            <w:tcW w:w="2551" w:type="dxa"/>
            <w:tcBorders>
              <w:top w:val="single" w:color="FFFFFF" w:sz="6" w:space="0"/>
              <w:left w:val="single" w:color="FFFFFF" w:sz="6" w:space="0"/>
              <w:right w:val="single" w:color="FFFFFF" w:sz="6" w:space="0"/>
            </w:tcBorders>
            <w:vAlign w:val="center"/>
          </w:tcPr>
          <w:p>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909藁城区政府投资项目代建中心</w:t>
            </w:r>
          </w:p>
        </w:tc>
        <w:tc>
          <w:tcPr>
            <w:tcW w:w="2551" w:type="dxa"/>
            <w:tcBorders>
              <w:top w:val="single" w:color="FFFFFF" w:sz="6" w:space="0"/>
              <w:left w:val="single" w:color="FFFFFF" w:sz="6" w:space="0"/>
              <w:right w:val="single" w:color="FFFFFF" w:sz="6" w:space="0"/>
            </w:tcBorders>
            <w:vAlign w:val="center"/>
          </w:tcPr>
          <w:p>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0"/>
            </w:pPr>
            <w:r>
              <w:t>909藁城区政府投资项目代建中心</w:t>
            </w:r>
          </w:p>
        </w:tc>
        <w:tc>
          <w:tcPr>
            <w:tcW w:w="2381" w:type="dxa"/>
            <w:tcBorders>
              <w:top w:val="single" w:color="FFFFFF" w:sz="6" w:space="0"/>
              <w:left w:val="single" w:color="FFFFFF" w:sz="6" w:space="0"/>
              <w:right w:val="single" w:color="FFFFFF" w:sz="6" w:space="0"/>
            </w:tcBorders>
            <w:vAlign w:val="center"/>
          </w:tcPr>
          <w:p>
            <w:pPr>
              <w:pStyle w:val="9"/>
            </w:pPr>
            <w:r>
              <w:t>预算年度：2024</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p>
        </w:tc>
        <w:tc>
          <w:tcPr>
            <w:tcW w:w="3798" w:type="dxa"/>
            <w:vAlign w:val="center"/>
          </w:tcPr>
          <w:p>
            <w:pPr>
              <w:pStyle w:val="13"/>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藁城区政府投资项目代建中心2024年部门预算信息公开情况说明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藁城区政府投资项目代建中心2024年部门预算信息公开情况说明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按照《中华人民共和国预算法》、《地方预决算公开操作规程》和《关于进一步推进预算公开工作的实施意见》规定，现将藁城区政府投资项目代建中心2024年部门预算公开如下：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部门职责：</w:t>
      </w:r>
    </w:p>
    <w:p>
      <w:pPr>
        <w:pStyle w:val="26"/>
        <w:rPr>
          <w:rFonts w:ascii="方正楷体_GBK" w:hAnsi="方正楷体_GBK" w:eastAsia="方正楷体_GBK" w:cs="方正楷体_GBK"/>
          <w:b/>
          <w:color w:val="000000"/>
          <w:sz w:val="32"/>
        </w:rPr>
      </w:pPr>
      <w:r>
        <w:t>（一）本着科学、实用、节约的原则，根据批复的项目可研（实施方案），就项目建设内容、规模、标准等与使用单位实际需求进行沟通，对代建项目建设全过程进行管理。（二）负责办理有关报建报批手续，以发包人身份与项目使用单位共同负责工程勘察、设计、施工、监理和重要设备、材料、货物等的招标采购及管理工作。（三）制订代建项目工作方案、工作计划和项目管理目标，与项目使用单位共同编报项目年度支出预算。（四）按工程建设进度编制用款计划，对参建单位的资金拨付申请进行审核，并按程序拨付。（五）负责评价参建单位的合同履行情况，组织指导参建单位科学合理做好项目建设过程中的投资控制、质量安全、工期进度、信息档案等工作，组织代建项目的中间验收、竣工验收、项目使用移交等。（六）承办区政府交办的其他事项。</w:t>
      </w:r>
    </w:p>
    <w:p>
      <w:pPr>
        <w:spacing w:before="0" w:after="0" w:line="240" w:lineRule="auto"/>
        <w:ind w:firstLine="640" w:firstLineChars="20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藁城区政府投资项目代建中心本级</w:t>
            </w:r>
          </w:p>
        </w:tc>
        <w:tc>
          <w:tcPr>
            <w:tcW w:w="1843" w:type="dxa"/>
            <w:vAlign w:val="center"/>
          </w:tcPr>
          <w:p>
            <w:pPr>
              <w:pStyle w:val="14"/>
            </w:pPr>
            <w:r>
              <w:t>事业</w:t>
            </w:r>
          </w:p>
        </w:tc>
        <w:tc>
          <w:tcPr>
            <w:tcW w:w="2126" w:type="dxa"/>
            <w:vAlign w:val="center"/>
          </w:tcPr>
          <w:p>
            <w:pPr>
              <w:pStyle w:val="14"/>
            </w:pPr>
            <w:r>
              <w:t>正科级</w:t>
            </w:r>
          </w:p>
        </w:tc>
        <w:tc>
          <w:tcPr>
            <w:tcW w:w="3827" w:type="dxa"/>
            <w:vAlign w:val="center"/>
          </w:tcPr>
          <w:p>
            <w:pPr>
              <w:pStyle w:val="14"/>
            </w:pPr>
            <w:r>
              <w:t>财政性资金基本保证</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19"/>
      </w:pPr>
      <w:r>
        <w:t>1、收入说明</w:t>
      </w:r>
    </w:p>
    <w:p>
      <w:pPr>
        <w:pStyle w:val="19"/>
      </w:pPr>
      <w:r>
        <w:t>反映本部门当年全部收入。2024年预算收入231.85万元，其中：一般公共预算收入231.85万元，基金预算收入0万元，财政专户核拨收入0万元，其他来源收入0万元。</w:t>
      </w:r>
    </w:p>
    <w:p>
      <w:pPr>
        <w:pStyle w:val="19"/>
      </w:pPr>
      <w:r>
        <w:t>2、支出说明</w:t>
      </w:r>
    </w:p>
    <w:p>
      <w:pPr>
        <w:pStyle w:val="19"/>
      </w:pPr>
      <w:r>
        <w:t>收支预算总表支出栏、基本支出表、项目支出表按经济分类和支出功能分类科目编制，反映本部门预算中支出预算的总体情况。2024年</w:t>
      </w:r>
      <w:r>
        <w:rPr>
          <w:rFonts w:hint="eastAsia"/>
          <w:lang w:eastAsia="zh-CN"/>
        </w:rPr>
        <w:t>本</w:t>
      </w:r>
      <w:r>
        <w:t>部门支出预算为231.85万元，其中基本支出198.42万元，包括人员经费185.57万元和日常公用经费12.85万元；项目支出33.43万元，主要为其他费质保金工程尾款33.43万元。</w:t>
      </w:r>
    </w:p>
    <w:p>
      <w:pPr>
        <w:pStyle w:val="19"/>
      </w:pPr>
      <w:r>
        <w:t>3、比上年增减情况</w:t>
      </w:r>
    </w:p>
    <w:p>
      <w:pPr>
        <w:pStyle w:val="19"/>
      </w:pPr>
      <w:r>
        <w:t>2024年</w:t>
      </w:r>
      <w:r>
        <w:rPr>
          <w:rFonts w:hint="eastAsia"/>
          <w:lang w:eastAsia="zh-CN"/>
        </w:rPr>
        <w:t>本</w:t>
      </w:r>
      <w:r>
        <w:t>部门预算收支安排231.85万元，较2023年减少78.64元，其中：基本支出增加21.76万元，主要是人员增加，相应增加人员经费和日常公用经费；项目支出减少100.4万元，其他支出无增减变化。</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0"/>
      </w:pPr>
      <w:r>
        <w:t>2024年，</w:t>
      </w:r>
      <w:r>
        <w:rPr>
          <w:rFonts w:hint="eastAsia"/>
          <w:lang w:eastAsia="zh-CN"/>
        </w:rPr>
        <w:t>本</w:t>
      </w:r>
      <w:r>
        <w:t>部门日常公用经费共计安排12.85万元，主要用于保证</w:t>
      </w:r>
      <w:r>
        <w:rPr>
          <w:rFonts w:hint="eastAsia"/>
          <w:lang w:eastAsia="zh-CN"/>
        </w:rPr>
        <w:t>本</w:t>
      </w:r>
      <w:r>
        <w:t>部门正常运转的办公及印刷费、邮电费、福利费、办公用房水电费、办公用房取暖费、日常维修费、办公楼物业管理费等支出。</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1"/>
      </w:pPr>
      <w:r>
        <w:t>2024年，</w:t>
      </w:r>
      <w:r>
        <w:rPr>
          <w:rFonts w:hint="eastAsia"/>
          <w:lang w:eastAsia="zh-CN"/>
        </w:rPr>
        <w:t>本</w:t>
      </w:r>
      <w:r>
        <w:t>部门财政拨款“三公”经费预算安排0万元，其中：因公出国（境）费0万元，与上年持平，无增减变化；公务用车购置及运维费0万元（其中：公务用车购置费0万元，与上年持平，无增减变化；公务用车运行维护费0万元，与上年持平，无增减变化。)；公务接待费0万元，与上年持平，无增减变化。“三公”经费与上年持平，无增减变化。</w:t>
      </w: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2"/>
      </w:pPr>
      <w:r>
        <w:t>2024年，代建中心</w:t>
      </w:r>
      <w:r>
        <w:rPr>
          <w:rFonts w:hint="eastAsia"/>
          <w:lang w:eastAsia="zh-CN"/>
        </w:rPr>
        <w:t>将</w:t>
      </w:r>
      <w:r>
        <w:t>围绕全省发展大格局、大目标、大战略，围绕大力支持省会建设和高质量发展，以区委、区政府确定的重点、民生项目为核心，严管理、抓落实、快推进，继续推进完成在建项目，确保时限性强的项目如期完工验收，抓紧启动实施2024年新代建项目，推动代建工作良性运行和不断发展上台阶，切实提高政府投资工程的经济效益和社会效益，初步实现政府投资项目“好、快、省”的目标，为加快建设现代化、国际化美丽省会城市，不断提升项目管理水平，展示良好的政府投资项目形象贡献力量。</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3"/>
      </w:pPr>
      <w:r>
        <w:t xml:space="preserve">1、以区委、区政府确定的重点、民生项目为核心，集中精力抓好代建项目推进 </w:t>
      </w:r>
    </w:p>
    <w:p>
      <w:pPr>
        <w:pStyle w:val="23"/>
      </w:pPr>
      <w:r>
        <w:t>绩效目标：继续推进完成在建项目，确保代建项目如期竣工验收，如尚中街小学和幼儿园、发改局智能化粮库建设项目如期完工；抓紧推进 2024 年新代建项目，保证新代建项目如期开工，如第六中学新校区及附属幼儿园二期新建项目、职教中心新建宿舍楼项目等。</w:t>
      </w:r>
    </w:p>
    <w:p>
      <w:pPr>
        <w:pStyle w:val="23"/>
      </w:pPr>
      <w:r>
        <w:t xml:space="preserve">绩效指标：工程按期完成率 100%；通过验收的工程量占验收建设总量 90%；新代建项目按期开工率 100% </w:t>
      </w:r>
    </w:p>
    <w:p>
      <w:pPr>
        <w:pStyle w:val="23"/>
      </w:pPr>
      <w:r>
        <w:t xml:space="preserve">2、按照区委、区政府统一安排部署，不断提高代建项目质量、安全及文明施工水平 </w:t>
      </w:r>
    </w:p>
    <w:p>
      <w:pPr>
        <w:pStyle w:val="23"/>
      </w:pPr>
      <w:r>
        <w:t>绩效目标：促进代建项目质量、安全及文明施工水平提高，保障施工质量安全及扬尘治理水平规范现场管理。</w:t>
      </w:r>
    </w:p>
    <w:p>
      <w:pPr>
        <w:pStyle w:val="23"/>
      </w:pPr>
      <w:r>
        <w:t>绩效指标：项目现场考核覆盖率大于或等于 90%；进行现场检查考核并对检查出具考核报告大于或等于 10 次；</w:t>
      </w:r>
    </w:p>
    <w:p>
      <w:pPr>
        <w:pStyle w:val="23"/>
      </w:pPr>
      <w:r>
        <w:t xml:space="preserve">3、以建精品、创品牌、树标杆为目标，不断提升项目管理水平，展示良好的政府投资项目形象 </w:t>
      </w:r>
    </w:p>
    <w:p>
      <w:pPr>
        <w:pStyle w:val="23"/>
      </w:pPr>
      <w:r>
        <w:t xml:space="preserve">绩效目标：外抓管理、内强素质，严把工程质量关、现场文明施工关，促进代建项目质量、安全及文明施工水平提高；保障施工质量安全及扬尘治理水平规范现场管理，努力将每一项代建工程打造成为质量标杆工程、扬 尘治理标杆工地，展示良好的政府投资项目形象。 </w:t>
      </w:r>
    </w:p>
    <w:p>
      <w:pPr>
        <w:pStyle w:val="23"/>
      </w:pPr>
      <w:r>
        <w:t>绩效指标：通过验收的单位工程均符合河北省建筑质量验收规范确定的标准；发生较大及以上安全事故率为零；严格 按照《石家庄市严管建筑施工扬尘十二条》规定达到“六个百分百、两个全覆盖”，代建项目工地环保合格率 100%。</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4"/>
      </w:pPr>
      <w:r>
        <w:t>(一)完善制度建设。制定完善预算绩效管理制度、搭建绩效管理运行体系，科学设定绩效指标和目标，从源头上保障绩效管理的有效落实，制定各类资金使用和管理办法，确保资金支出有序进行，为全年预算绩效目标的实现奠定制度基础。</w:t>
      </w:r>
    </w:p>
    <w:p>
      <w:pPr>
        <w:pStyle w:val="24"/>
      </w:pPr>
      <w:r>
        <w:t>(二)加强支出管理。以项目预算绩效为依据，优化支出结构预算编制做细做实，支出执行有章可循。严格履行政府采购手续提前谋划，降低预算支出的波动幅度。资金支出安排科学合理，为项目组织实施保驾护航。</w:t>
      </w:r>
    </w:p>
    <w:p>
      <w:pPr>
        <w:pStyle w:val="24"/>
      </w:pPr>
      <w:r>
        <w:t>(三)加强绩效运行监控。按要求开展绩效运行监控，全程跟踪预算执行进度，对执行过程中发现的问题及时反馈，制定切实可行举措，确保绩效目标如期保质实现。</w:t>
      </w:r>
    </w:p>
    <w:p>
      <w:pPr>
        <w:pStyle w:val="24"/>
      </w:pPr>
      <w:r>
        <w:t>(四)做好绩效自评。积极开展年度部门预算绩效自评和重点评价工作，在自评中发现问题并及时整改解决，开展重点评价工作，调整优化重大项目支出结构，提高财政资金使用效益</w:t>
      </w:r>
    </w:p>
    <w:p>
      <w:pPr>
        <w:pStyle w:val="24"/>
      </w:pPr>
      <w:r>
        <w:t>(五)规范财务资产管理。加强会计核算工作，严格执行财务资产管理相关制度，确保账面数字真实完整，加强程序管理，严格审批程序，依照政府采购目录进行政府采购，加强固定资产登记、使用和报废处置管理，做到支出合理，物尽其用。</w:t>
      </w:r>
    </w:p>
    <w:p>
      <w:pPr>
        <w:pStyle w:val="24"/>
      </w:pPr>
      <w:r>
        <w:t>(六)加强内部监督。加强内部监警制度建设，对绩效运行情况、重大支出决策、对外投资、资产处置及其他重要经济业务事项的决策和执行进行督导，对会计资料进行内部审计，并配合做好审计、财政监督等外部监督工作，确保财政资金安全有效</w:t>
      </w:r>
    </w:p>
    <w:p>
      <w:pPr>
        <w:pStyle w:val="24"/>
        <w:sectPr>
          <w:pgSz w:w="16840" w:h="11900" w:orient="landscape"/>
          <w:pgMar w:top="1361" w:right="1020" w:bottom="1361" w:left="1020" w:header="720" w:footer="720" w:gutter="0"/>
          <w:cols w:space="720" w:num="1"/>
        </w:sectPr>
      </w:pPr>
      <w:r>
        <w:t>(七)加强宣传培训调研。加强人员培训，提高本部门职工业务素质:加强调研，提出优化财政资金配置、提高资金使用效益的意见意见;加大宣传力度，强化预算绩效管理意识，促进预算绩效管理水平进一步提升。</w:t>
      </w:r>
    </w:p>
    <w:p>
      <w:pPr>
        <w:spacing w:before="10" w:after="10" w:line="360" w:lineRule="auto"/>
        <w:ind w:firstLine="640" w:firstLineChars="200"/>
        <w:jc w:val="left"/>
        <w:outlineLvl w:val="2"/>
        <w:rPr>
          <w:rFonts w:ascii="黑体" w:hAnsi="黑体" w:eastAsia="黑体" w:cs="黑体"/>
          <w:color w:val="000000"/>
          <w:sz w:val="32"/>
        </w:rPr>
      </w:pPr>
      <w:bookmarkStart w:id="14" w:name="_Toc_3_3_0000000015"/>
      <w:bookmarkStart w:id="20" w:name="_GoBack"/>
      <w:bookmarkEnd w:id="20"/>
      <w:r>
        <w:rPr>
          <w:rFonts w:ascii="黑体" w:hAnsi="黑体" w:eastAsia="黑体" w:cs="黑体"/>
          <w:color w:val="000000"/>
          <w:sz w:val="32"/>
        </w:rPr>
        <w:t>六、部门主管专项资金预算安排情况及绩效目标</w:t>
      </w:r>
      <w:bookmarkEnd w:id="14"/>
    </w:p>
    <w:p>
      <w:pPr>
        <w:spacing w:before="10" w:after="10" w:line="360" w:lineRule="auto"/>
        <w:ind w:firstLine="560" w:firstLineChars="200"/>
        <w:jc w:val="left"/>
        <w:outlineLvl w:val="2"/>
        <w:rPr>
          <w:rFonts w:hint="default" w:ascii="Times New Roman" w:hAnsi="Times New Roman" w:eastAsia="方正仿宋_GBK" w:cs="Times New Roman"/>
          <w:sz w:val="28"/>
          <w:szCs w:val="24"/>
          <w:lang w:val="en-US" w:eastAsia="zh-CN" w:bidi="ar-SA"/>
        </w:rPr>
        <w:sectPr>
          <w:pgSz w:w="16840" w:h="11900" w:orient="landscape"/>
          <w:pgMar w:top="1361" w:right="1020" w:bottom="1134" w:left="1020" w:header="720" w:footer="720" w:gutter="0"/>
          <w:cols w:space="720" w:num="1"/>
        </w:sectPr>
      </w:pPr>
      <w:r>
        <w:rPr>
          <w:rFonts w:hint="eastAsia" w:ascii="Times New Roman" w:hAnsi="Times New Roman" w:eastAsia="方正仿宋_GBK" w:cs="Times New Roman"/>
          <w:sz w:val="28"/>
          <w:szCs w:val="24"/>
          <w:lang w:val="en-US" w:eastAsia="zh-CN" w:bidi="ar-SA"/>
        </w:rPr>
        <w:t>本部门2024年无专项资金。</w:t>
      </w:r>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1、其他费质保金工程尾款等绩效目标表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13010924P00000211567K</w:t>
            </w:r>
          </w:p>
        </w:tc>
        <w:tc>
          <w:tcPr>
            <w:tcW w:w="2835" w:type="dxa"/>
            <w:vAlign w:val="center"/>
          </w:tcPr>
          <w:p>
            <w:pPr>
              <w:pStyle w:val="11"/>
            </w:pPr>
            <w:r>
              <w:t>项目名称</w:t>
            </w:r>
          </w:p>
        </w:tc>
        <w:tc>
          <w:tcPr>
            <w:tcW w:w="6094" w:type="dxa"/>
            <w:gridSpan w:val="3"/>
            <w:vAlign w:val="center"/>
          </w:tcPr>
          <w:p>
            <w:pPr>
              <w:pStyle w:val="13"/>
            </w:pPr>
            <w:r>
              <w:t>其他费质保金工程尾款等</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33.43</w:t>
            </w:r>
          </w:p>
        </w:tc>
        <w:tc>
          <w:tcPr>
            <w:tcW w:w="2835" w:type="dxa"/>
            <w:vAlign w:val="center"/>
          </w:tcPr>
          <w:p>
            <w:pPr>
              <w:pStyle w:val="11"/>
            </w:pPr>
            <w:r>
              <w:t>其中：财政    资金</w:t>
            </w:r>
          </w:p>
        </w:tc>
        <w:tc>
          <w:tcPr>
            <w:tcW w:w="2551" w:type="dxa"/>
            <w:vAlign w:val="center"/>
          </w:tcPr>
          <w:p>
            <w:pPr>
              <w:pStyle w:val="13"/>
            </w:pPr>
            <w:r>
              <w:t>33.43</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预算资金33.4336万元，用于环保局机关办公场所改造项目的质保金和交通局维修改造项目工程尾款、其他费、质保金检测费等</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30%</w:t>
            </w:r>
          </w:p>
        </w:tc>
        <w:tc>
          <w:tcPr>
            <w:tcW w:w="2835" w:type="dxa"/>
            <w:vAlign w:val="center"/>
          </w:tcPr>
          <w:p>
            <w:pPr>
              <w:pStyle w:val="14"/>
            </w:pPr>
            <w:r>
              <w:t>60%</w:t>
            </w:r>
          </w:p>
        </w:tc>
        <w:tc>
          <w:tcPr>
            <w:tcW w:w="2551" w:type="dxa"/>
            <w:vAlign w:val="center"/>
          </w:tcPr>
          <w:p>
            <w:pPr>
              <w:pStyle w:val="14"/>
            </w:pPr>
            <w:r>
              <w:t>90%</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1.落实上级办公与对外窗口分离的原则，实现机关标准化建设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改造维修面积</w:t>
            </w:r>
          </w:p>
        </w:tc>
        <w:tc>
          <w:tcPr>
            <w:tcW w:w="5386" w:type="dxa"/>
            <w:vAlign w:val="center"/>
          </w:tcPr>
          <w:p>
            <w:pPr>
              <w:pStyle w:val="13"/>
            </w:pPr>
            <w:r>
              <w:t>改造维修面积</w:t>
            </w:r>
          </w:p>
        </w:tc>
        <w:tc>
          <w:tcPr>
            <w:tcW w:w="2268" w:type="dxa"/>
            <w:vAlign w:val="center"/>
          </w:tcPr>
          <w:p>
            <w:pPr>
              <w:pStyle w:val="13"/>
            </w:pPr>
            <w:r>
              <w:t>≥751平方米</w:t>
            </w:r>
          </w:p>
        </w:tc>
        <w:tc>
          <w:tcPr>
            <w:tcW w:w="1276" w:type="dxa"/>
            <w:vAlign w:val="center"/>
          </w:tcPr>
          <w:p>
            <w:pPr>
              <w:pStyle w:val="13"/>
            </w:pPr>
            <w:r>
              <w:t>施工合同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改造、维修的建设项目验收合格率</w:t>
            </w:r>
          </w:p>
        </w:tc>
        <w:tc>
          <w:tcPr>
            <w:tcW w:w="5386" w:type="dxa"/>
            <w:vAlign w:val="center"/>
          </w:tcPr>
          <w:p>
            <w:pPr>
              <w:pStyle w:val="13"/>
            </w:pPr>
            <w:r>
              <w:t>改造、维修的建设项目验收合格完成率</w:t>
            </w:r>
          </w:p>
        </w:tc>
        <w:tc>
          <w:tcPr>
            <w:tcW w:w="2268" w:type="dxa"/>
            <w:vAlign w:val="center"/>
          </w:tcPr>
          <w:p>
            <w:pPr>
              <w:pStyle w:val="13"/>
            </w:pPr>
            <w:r>
              <w:t>100%</w:t>
            </w:r>
          </w:p>
        </w:tc>
        <w:tc>
          <w:tcPr>
            <w:tcW w:w="1276" w:type="dxa"/>
            <w:vAlign w:val="center"/>
          </w:tcPr>
          <w:p>
            <w:pPr>
              <w:pStyle w:val="13"/>
            </w:pPr>
            <w:r>
              <w:t>施工合同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工程质量（专家意见）</w:t>
            </w:r>
          </w:p>
        </w:tc>
        <w:tc>
          <w:tcPr>
            <w:tcW w:w="5386" w:type="dxa"/>
            <w:vAlign w:val="center"/>
          </w:tcPr>
          <w:p>
            <w:pPr>
              <w:pStyle w:val="13"/>
            </w:pPr>
            <w:r>
              <w:t>工程完成及时情况</w:t>
            </w:r>
          </w:p>
        </w:tc>
        <w:tc>
          <w:tcPr>
            <w:tcW w:w="2268" w:type="dxa"/>
            <w:vAlign w:val="center"/>
          </w:tcPr>
          <w:p>
            <w:pPr>
              <w:pStyle w:val="13"/>
            </w:pPr>
            <w:r>
              <w:t>1年</w:t>
            </w:r>
          </w:p>
        </w:tc>
        <w:tc>
          <w:tcPr>
            <w:tcW w:w="1276" w:type="dxa"/>
            <w:vAlign w:val="center"/>
          </w:tcPr>
          <w:p>
            <w:pPr>
              <w:pStyle w:val="13"/>
            </w:pPr>
            <w:r>
              <w:t>施工合同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单位资金成本</w:t>
            </w:r>
          </w:p>
        </w:tc>
        <w:tc>
          <w:tcPr>
            <w:tcW w:w="5386" w:type="dxa"/>
            <w:vAlign w:val="center"/>
          </w:tcPr>
          <w:p>
            <w:pPr>
              <w:pStyle w:val="13"/>
            </w:pPr>
            <w:r>
              <w:t>单位资金成本</w:t>
            </w:r>
          </w:p>
        </w:tc>
        <w:tc>
          <w:tcPr>
            <w:tcW w:w="2268" w:type="dxa"/>
            <w:vAlign w:val="center"/>
          </w:tcPr>
          <w:p>
            <w:pPr>
              <w:pStyle w:val="13"/>
            </w:pPr>
            <w:r>
              <w:t>按实际发放</w:t>
            </w:r>
          </w:p>
        </w:tc>
        <w:tc>
          <w:tcPr>
            <w:tcW w:w="1276" w:type="dxa"/>
            <w:vAlign w:val="center"/>
          </w:tcPr>
          <w:p>
            <w:pPr>
              <w:pStyle w:val="13"/>
            </w:pPr>
            <w:r>
              <w:t>施工合同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改善办公环境</w:t>
            </w:r>
          </w:p>
        </w:tc>
        <w:tc>
          <w:tcPr>
            <w:tcW w:w="5386" w:type="dxa"/>
            <w:vAlign w:val="center"/>
          </w:tcPr>
          <w:p>
            <w:pPr>
              <w:pStyle w:val="13"/>
            </w:pPr>
            <w:r>
              <w:t>有效改变办公条件</w:t>
            </w:r>
          </w:p>
        </w:tc>
        <w:tc>
          <w:tcPr>
            <w:tcW w:w="2268" w:type="dxa"/>
            <w:vAlign w:val="center"/>
          </w:tcPr>
          <w:p>
            <w:pPr>
              <w:pStyle w:val="13"/>
            </w:pPr>
            <w:r>
              <w:t>≥90%</w:t>
            </w:r>
          </w:p>
        </w:tc>
        <w:tc>
          <w:tcPr>
            <w:tcW w:w="1276" w:type="dxa"/>
            <w:vAlign w:val="center"/>
          </w:tcPr>
          <w:p>
            <w:pPr>
              <w:pStyle w:val="13"/>
            </w:pPr>
            <w:r>
              <w:t>施工合同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职工满意度</w:t>
            </w:r>
          </w:p>
        </w:tc>
        <w:tc>
          <w:tcPr>
            <w:tcW w:w="2268" w:type="dxa"/>
            <w:vAlign w:val="center"/>
          </w:tcPr>
          <w:p>
            <w:pPr>
              <w:pStyle w:val="13"/>
            </w:pPr>
            <w:r>
              <w:t>≥90%</w:t>
            </w:r>
          </w:p>
        </w:tc>
        <w:tc>
          <w:tcPr>
            <w:tcW w:w="1276" w:type="dxa"/>
            <w:vAlign w:val="center"/>
          </w:tcPr>
          <w:p>
            <w:pPr>
              <w:pStyle w:val="13"/>
            </w:pPr>
            <w:r>
              <w:t>调查问卷</w:t>
            </w:r>
          </w:p>
        </w:tc>
      </w:tr>
    </w:tbl>
    <w:p>
      <w:pPr>
        <w:sectPr>
          <w:type w:val="continuous"/>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909藁城区政府投资项目代建中心</w:t>
            </w:r>
          </w:p>
        </w:tc>
        <w:tc>
          <w:tcPr>
            <w:tcW w:w="7710" w:type="dxa"/>
            <w:gridSpan w:val="8"/>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6746" w:type="dxa"/>
            <w:gridSpan w:val="7"/>
            <w:vAlign w:val="center"/>
          </w:tcPr>
          <w:p>
            <w:pPr>
              <w:pStyle w:val="11"/>
            </w:pPr>
            <w:r>
              <w:t>政府采购金额（当年部门预算安排资金）</w:t>
            </w:r>
          </w:p>
        </w:tc>
        <w:tc>
          <w:tcPr>
            <w:tcW w:w="964" w:type="dxa"/>
            <w:vMerge w:val="restart"/>
            <w:vAlign w:val="center"/>
          </w:tcPr>
          <w:p>
            <w:pPr>
              <w:pStyle w:val="11"/>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上年结转结余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5"/>
            </w:pPr>
            <w:r>
              <w:t>合  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0.60</w:t>
            </w:r>
          </w:p>
        </w:tc>
        <w:tc>
          <w:tcPr>
            <w:tcW w:w="964" w:type="dxa"/>
            <w:vAlign w:val="center"/>
          </w:tcPr>
          <w:p>
            <w:pPr>
              <w:pStyle w:val="16"/>
            </w:pPr>
            <w:r>
              <w:t>0.60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5"/>
            </w:pPr>
            <w:r>
              <w:t>藁城区政府投资项目代建中心本级小计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0.60</w:t>
            </w:r>
          </w:p>
        </w:tc>
        <w:tc>
          <w:tcPr>
            <w:tcW w:w="964" w:type="dxa"/>
            <w:vAlign w:val="center"/>
          </w:tcPr>
          <w:p>
            <w:pPr>
              <w:pStyle w:val="16"/>
            </w:pPr>
            <w:r>
              <w:t>0.60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2024年公用经费[三保]</w:t>
            </w:r>
          </w:p>
        </w:tc>
        <w:tc>
          <w:tcPr>
            <w:tcW w:w="964" w:type="dxa"/>
            <w:vAlign w:val="center"/>
          </w:tcPr>
          <w:p>
            <w:pPr>
              <w:pStyle w:val="12"/>
            </w:pPr>
            <w:r>
              <w:t>7.45</w:t>
            </w:r>
          </w:p>
        </w:tc>
        <w:tc>
          <w:tcPr>
            <w:tcW w:w="1134" w:type="dxa"/>
            <w:vAlign w:val="center"/>
          </w:tcPr>
          <w:p>
            <w:pPr>
              <w:pStyle w:val="13"/>
            </w:pPr>
            <w:r>
              <w:t>办公桌</w:t>
            </w:r>
          </w:p>
        </w:tc>
        <w:tc>
          <w:tcPr>
            <w:tcW w:w="1134" w:type="dxa"/>
            <w:vAlign w:val="center"/>
          </w:tcPr>
          <w:p>
            <w:pPr>
              <w:pStyle w:val="13"/>
            </w:pPr>
            <w:r>
              <w:t>A05010201</w:t>
            </w:r>
          </w:p>
        </w:tc>
        <w:tc>
          <w:tcPr>
            <w:tcW w:w="709" w:type="dxa"/>
            <w:vAlign w:val="center"/>
          </w:tcPr>
          <w:p>
            <w:pPr>
              <w:pStyle w:val="14"/>
            </w:pPr>
            <w:r>
              <w:t>个</w:t>
            </w:r>
          </w:p>
        </w:tc>
        <w:tc>
          <w:tcPr>
            <w:tcW w:w="850" w:type="dxa"/>
            <w:vAlign w:val="center"/>
          </w:tcPr>
          <w:p>
            <w:pPr>
              <w:pStyle w:val="12"/>
            </w:pPr>
            <w:r>
              <w:t>1</w:t>
            </w:r>
          </w:p>
        </w:tc>
        <w:tc>
          <w:tcPr>
            <w:tcW w:w="850" w:type="dxa"/>
            <w:vAlign w:val="center"/>
          </w:tcPr>
          <w:p>
            <w:pPr>
              <w:pStyle w:val="12"/>
            </w:pPr>
            <w:r>
              <w:t>0.60</w:t>
            </w:r>
          </w:p>
        </w:tc>
        <w:tc>
          <w:tcPr>
            <w:tcW w:w="964" w:type="dxa"/>
            <w:vAlign w:val="center"/>
          </w:tcPr>
          <w:p>
            <w:pPr>
              <w:pStyle w:val="12"/>
            </w:pPr>
            <w:r>
              <w:t>0.60</w:t>
            </w:r>
          </w:p>
        </w:tc>
        <w:tc>
          <w:tcPr>
            <w:tcW w:w="964" w:type="dxa"/>
            <w:vAlign w:val="center"/>
          </w:tcPr>
          <w:p>
            <w:pPr>
              <w:pStyle w:val="12"/>
            </w:pPr>
            <w:r>
              <w:t>0.60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藁城区政府投资项目代建中心（含所属单位）上年末固定资产金额为8.28万元（详见下表）。本年度拟购置固定资产总额为0.60万元，已按要求列入政府采购预算，详见政府采购预算表。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0"/>
            </w:pPr>
            <w:r>
              <w:t>909藁城区政府投资项目代建中心</w:t>
            </w:r>
          </w:p>
        </w:tc>
        <w:tc>
          <w:tcPr>
            <w:tcW w:w="5669" w:type="dxa"/>
            <w:gridSpan w:val="2"/>
            <w:tcBorders>
              <w:top w:val="single" w:color="FFFFFF" w:sz="6" w:space="0"/>
              <w:left w:val="single" w:color="FFFFFF" w:sz="6" w:space="0"/>
              <w:right w:val="single" w:color="FFFFFF" w:sz="6" w:space="0"/>
            </w:tcBorders>
            <w:vAlign w:val="center"/>
          </w:tcPr>
          <w:p>
            <w:pPr>
              <w:pStyle w:val="8"/>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资产总额</w:t>
            </w:r>
          </w:p>
        </w:tc>
        <w:tc>
          <w:tcPr>
            <w:tcW w:w="2835" w:type="dxa"/>
            <w:vAlign w:val="center"/>
          </w:tcPr>
          <w:p>
            <w:pPr>
              <w:pStyle w:val="14"/>
            </w:pPr>
          </w:p>
        </w:tc>
        <w:tc>
          <w:tcPr>
            <w:tcW w:w="2835" w:type="dxa"/>
            <w:vAlign w:val="center"/>
          </w:tcPr>
          <w:p>
            <w:pPr>
              <w:pStyle w:val="12"/>
            </w:pPr>
            <w:r>
              <w:t>8.28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3"/>
            </w:pPr>
            <w:r>
              <w:t>1、房屋（平方米）</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　　其中：办公用房（平方米）</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2、车辆（台、辆）</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3、单价在20万元以上的设备</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3"/>
            </w:pPr>
            <w:r>
              <w:t>4、其他固定资产</w:t>
            </w:r>
          </w:p>
        </w:tc>
        <w:tc>
          <w:tcPr>
            <w:tcW w:w="2835" w:type="dxa"/>
            <w:vAlign w:val="center"/>
          </w:tcPr>
          <w:p>
            <w:pPr>
              <w:pStyle w:val="14"/>
            </w:pPr>
            <w:r>
              <w:t>1</w:t>
            </w:r>
          </w:p>
        </w:tc>
        <w:tc>
          <w:tcPr>
            <w:tcW w:w="2835" w:type="dxa"/>
            <w:vAlign w:val="center"/>
          </w:tcPr>
          <w:p>
            <w:pPr>
              <w:pStyle w:val="12"/>
            </w:pPr>
            <w:r>
              <w:t>8.28</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altName w:val="Arial Unicode MS"/>
    <w:panose1 w:val="00000000000000000000"/>
    <w:charset w:val="00"/>
    <w:family w:val="auto"/>
    <w:pitch w:val="default"/>
    <w:sig w:usb0="00000000" w:usb1="00000000" w:usb2="00000000" w:usb3="00000000" w:csb0="00000000" w:csb1="00000000"/>
  </w:font>
  <w:font w:name="方正书宋_GBK">
    <w:altName w:val="Arial Unicode MS"/>
    <w:panose1 w:val="00000000000000000000"/>
    <w:charset w:val="00"/>
    <w:family w:val="auto"/>
    <w:pitch w:val="default"/>
    <w:sig w:usb0="00000000" w:usb1="00000000" w:usb2="00000000" w:usb3="00000000" w:csb0="00000000" w:csb1="00000000"/>
  </w:font>
  <w:font w:name="方正仿宋_GBK">
    <w:altName w:val="Arial Unicode MS"/>
    <w:panose1 w:val="00000000000000000000"/>
    <w:charset w:val="00"/>
    <w:family w:val="auto"/>
    <w:pitch w:val="default"/>
    <w:sig w:usb0="00000000" w:usb1="00000000" w:usb2="00000000" w:usb3="00000000" w:csb0="00000000" w:csb1="00000000"/>
  </w:font>
  <w:font w:name="方正楷体_GBK">
    <w:altName w:val="Arial Unicode MS"/>
    <w:panose1 w:val="00000000000000000000"/>
    <w:charset w:val="00"/>
    <w:family w:val="auto"/>
    <w:pitch w:val="default"/>
    <w:sig w:usb0="00000000" w:usb1="00000000" w:usb2="00000000" w:usb3="00000000" w:csb0="00000000" w:csb1="00000000"/>
  </w:font>
  <w:font w:name="Arial Unicode MS">
    <w:panose1 w:val="020B0604020202020204"/>
    <w:charset w:val="86"/>
    <w:family w:val="auto"/>
    <w:pitch w:val="default"/>
    <w:sig w:usb0="FFFFFFFF" w:usb1="E9FFFFFF" w:usb2="0000003F" w:usb3="00000000" w:csb0="603F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4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Y2U1M2I0Y2ZmYjQ1YjI1YjI0MjhiMWQ3MmFiOTg2YTUifQ=="/>
    <w:docVar w:name="KSO_WPS_MARK_KEY" w:val="ad50189e-9204-4fe5-9c9c-63e91e204a59"/>
  </w:docVars>
  <w:rsids>
    <w:rsidRoot w:val="00000000"/>
    <w:rsid w:val="066E6BA7"/>
    <w:rsid w:val="3E5C046E"/>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sz w:val="24"/>
      <w:szCs w:val="24"/>
      <w:lang w:val="en-US" w:eastAsia="uk-UA" w:bidi="ar-SA"/>
    </w:rPr>
  </w:style>
  <w:style w:type="character" w:default="1" w:styleId="7">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basedOn w:val="5"/>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6">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4.xml"/><Relationship Id="rId8" Type="http://schemas.openxmlformats.org/officeDocument/2006/relationships/customXml" Target="../customXml/item3.xml"/><Relationship Id="rId7" Type="http://schemas.openxmlformats.org/officeDocument/2006/relationships/customXml" Target="../customXml/item2.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6" Type="http://schemas.openxmlformats.org/officeDocument/2006/relationships/fontTable" Target="fontTable.xml"/><Relationship Id="rId15" Type="http://schemas.openxmlformats.org/officeDocument/2006/relationships/customXml" Target="../customXml/item10.xml"/><Relationship Id="rId14" Type="http://schemas.openxmlformats.org/officeDocument/2006/relationships/customXml" Target="../customXml/item9.xml"/><Relationship Id="rId13" Type="http://schemas.openxmlformats.org/officeDocument/2006/relationships/customXml" Target="../customXml/item8.xml"/><Relationship Id="rId12" Type="http://schemas.openxmlformats.org/officeDocument/2006/relationships/customXml" Target="../customXml/item7.xml"/><Relationship Id="rId11" Type="http://schemas.openxmlformats.org/officeDocument/2006/relationships/customXml" Target="../customXml/item6.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CCE8C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2024-02-29T11:09:44Z</dcterms:created>
  <dcterms:modified xsi:type="dcterms:W3CDTF">2024-02-29T03:09:43Z</dcterms:modified>
</cp:coreProperties>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2024-02-29T11:09:42Z</dcterms:created>
  <dcterms:modified xsi:type="dcterms:W3CDTF">2024-02-29T03:09:42Z</dcterms:modified>
</cp:core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2024-02-29T11:09:43Z</dcterms:created>
  <dcterms:modified xsi:type="dcterms:W3CDTF">2024-02-29T03:09:43Z</dcterms:modified>
</cp:core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2024-02-29T11:09:42Z</dcterms:created>
  <dcterms:modified xsi:type="dcterms:W3CDTF">2024-02-29T03:09:42Z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2024-02-29T11:09:42Z</dcterms:created>
  <dcterms:modified xsi:type="dcterms:W3CDTF">2024-02-29T03:09:42Z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16cc39d9-c8c6-4452-8c95-7bf659548ec0}">
  <ds:schemaRefs/>
</ds:datastoreItem>
</file>

<file path=customXml/itemProps10.xml><?xml version="1.0" encoding="utf-8"?>
<ds:datastoreItem xmlns:ds="http://schemas.openxmlformats.org/officeDocument/2006/customXml" ds:itemID="{968e2326-0c60-4b70-ac49-db3cadf543fd}">
  <ds:schemaRefs/>
</ds:datastoreItem>
</file>

<file path=customXml/itemProps2.xml><?xml version="1.0" encoding="utf-8"?>
<ds:datastoreItem xmlns:ds="http://schemas.openxmlformats.org/officeDocument/2006/customXml" ds:itemID="{30ccfe71-587e-4aa8-843e-a71c3b7fe994}">
  <ds:schemaRefs/>
</ds:datastoreItem>
</file>

<file path=customXml/itemProps3.xml><?xml version="1.0" encoding="utf-8"?>
<ds:datastoreItem xmlns:ds="http://schemas.openxmlformats.org/officeDocument/2006/customXml" ds:itemID="{b178621c-6c73-4143-8c54-8b2e059062ac}">
  <ds:schemaRefs/>
</ds:datastoreItem>
</file>

<file path=customXml/itemProps4.xml><?xml version="1.0" encoding="utf-8"?>
<ds:datastoreItem xmlns:ds="http://schemas.openxmlformats.org/officeDocument/2006/customXml" ds:itemID="{1e507bee-8711-4095-a07b-738ec3708351}">
  <ds:schemaRefs/>
</ds:datastoreItem>
</file>

<file path=customXml/itemProps5.xml><?xml version="1.0" encoding="utf-8"?>
<ds:datastoreItem xmlns:ds="http://schemas.openxmlformats.org/officeDocument/2006/customXml" ds:itemID="{ca6ee8ca-bbeb-4100-824c-9c660d72fb5a}">
  <ds:schemaRefs/>
</ds:datastoreItem>
</file>

<file path=customXml/itemProps6.xml><?xml version="1.0" encoding="utf-8"?>
<ds:datastoreItem xmlns:ds="http://schemas.openxmlformats.org/officeDocument/2006/customXml" ds:itemID="{f209c313-679b-4a6f-94df-8ac7938bf6ec}">
  <ds:schemaRefs/>
</ds:datastoreItem>
</file>

<file path=customXml/itemProps7.xml><?xml version="1.0" encoding="utf-8"?>
<ds:datastoreItem xmlns:ds="http://schemas.openxmlformats.org/officeDocument/2006/customXml" ds:itemID="{05b6ddc3-489c-4b2e-86e2-1fef33339368}">
  <ds:schemaRefs/>
</ds:datastoreItem>
</file>

<file path=customXml/itemProps8.xml><?xml version="1.0" encoding="utf-8"?>
<ds:datastoreItem xmlns:ds="http://schemas.openxmlformats.org/officeDocument/2006/customXml" ds:itemID="{9bd6926d-44c0-4b74-82dc-1d46a1263293}">
  <ds:schemaRefs/>
</ds:datastoreItem>
</file>

<file path=customXml/itemProps9.xml><?xml version="1.0" encoding="utf-8"?>
<ds:datastoreItem xmlns:ds="http://schemas.openxmlformats.org/officeDocument/2006/customXml" ds:itemID="{942fcc9d-c469-4bd4-9964-9b6d795da05d}">
  <ds:schemaRefs/>
</ds:datastoreItem>
</file>

<file path=docProps/app.xml><?xml version="1.0" encoding="utf-8"?>
<Properties xmlns="http://schemas.openxmlformats.org/officeDocument/2006/extended-properties" xmlns:vt="http://schemas.openxmlformats.org/officeDocument/2006/docPropsVTypes">
  <Pages>30</Pages>
  <Words>6704</Words>
  <Characters>7558</Characters>
  <TotalTime>5</TotalTime>
  <ScaleCrop>false</ScaleCrop>
  <LinksUpToDate>false</LinksUpToDate>
  <CharactersWithSpaces>7746</CharactersWithSpaces>
  <Application>WPS Office_11.1.0.15319_F1E327BC-269C-435d-A152-05C5408002CA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2024-02-29T11:09:00Z</dcterms:created>
  <dc:creator>Administrator.USER-20190901BN</dc:creator>
  <cp:lastModifiedBy>Administrator</cp:lastModifiedBy>
  <dcterms:modified xsi:type="dcterms:W3CDTF">2024-03-01T03:46:06Z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2052-11.1.0.15319</vt:lpwstr>
  </property>
  <property fmtid="{D5CDD505-2E9C-101B-9397-08002B2CF9AE}" pid="3" name="ICV">
    <vt:lpwstr>3A84CF6570A04621BF60EFF850241C73_12</vt:lpwstr>
  </property>
</Properties>
</file>