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一、石家庄市藁城区审计局本级收支预算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一、石家庄市藁城区审计局本级收支预算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319001石家庄市藁城区审计局本级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658.38</w:t>
            </w:r>
          </w:p>
        </w:tc>
        <w:tc>
          <w:tcPr>
            <w:tcW w:w="4535" w:type="dxa"/>
            <w:vAlign w:val="center"/>
          </w:tcPr>
          <w:p>
            <w:pPr>
              <w:pStyle w:val="12"/>
            </w:pPr>
            <w:r>
              <w:t>一、一般公共服务支出</w:t>
            </w:r>
          </w:p>
        </w:tc>
        <w:tc>
          <w:tcPr>
            <w:tcW w:w="2126" w:type="dxa"/>
            <w:vAlign w:val="center"/>
          </w:tcPr>
          <w:p>
            <w:pPr>
              <w:pStyle w:val="11"/>
            </w:pPr>
            <w:r>
              <w:t>658.38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658.38</w:t>
            </w:r>
          </w:p>
        </w:tc>
        <w:tc>
          <w:tcPr>
            <w:tcW w:w="4535" w:type="dxa"/>
            <w:vAlign w:val="center"/>
          </w:tcPr>
          <w:p>
            <w:pPr>
              <w:pStyle w:val="14"/>
            </w:pPr>
            <w:r>
              <w:t>本年支出合计</w:t>
            </w:r>
          </w:p>
        </w:tc>
        <w:tc>
          <w:tcPr>
            <w:tcW w:w="2126" w:type="dxa"/>
            <w:vAlign w:val="center"/>
          </w:tcPr>
          <w:p>
            <w:pPr>
              <w:pStyle w:val="15"/>
            </w:pPr>
            <w:r>
              <w:t>658.38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658.38</w:t>
            </w:r>
          </w:p>
        </w:tc>
        <w:tc>
          <w:tcPr>
            <w:tcW w:w="4535" w:type="dxa"/>
            <w:vAlign w:val="center"/>
          </w:tcPr>
          <w:p>
            <w:pPr>
              <w:pStyle w:val="14"/>
            </w:pPr>
            <w:r>
              <w:t>支出总计</w:t>
            </w:r>
          </w:p>
        </w:tc>
        <w:tc>
          <w:tcPr>
            <w:tcW w:w="2126" w:type="dxa"/>
            <w:vAlign w:val="center"/>
          </w:tcPr>
          <w:p>
            <w:pPr>
              <w:pStyle w:val="15"/>
            </w:pPr>
            <w:r>
              <w:t>658.38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319001石家庄市藁城区审计局本级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658.38</w:t>
            </w:r>
          </w:p>
        </w:tc>
        <w:tc>
          <w:tcPr>
            <w:tcW w:w="1134" w:type="dxa"/>
            <w:vAlign w:val="center"/>
          </w:tcPr>
          <w:p>
            <w:pPr>
              <w:pStyle w:val="15"/>
            </w:pPr>
            <w:r>
              <w:t>658.38</w:t>
            </w:r>
          </w:p>
        </w:tc>
        <w:tc>
          <w:tcPr>
            <w:tcW w:w="1134" w:type="dxa"/>
            <w:vAlign w:val="center"/>
          </w:tcPr>
          <w:p>
            <w:pPr>
              <w:pStyle w:val="15"/>
            </w:pPr>
            <w:r>
              <w:t>658.38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658.38</w:t>
            </w:r>
          </w:p>
        </w:tc>
        <w:tc>
          <w:tcPr>
            <w:tcW w:w="1134" w:type="dxa"/>
            <w:vAlign w:val="center"/>
          </w:tcPr>
          <w:p>
            <w:pPr>
              <w:pStyle w:val="11"/>
            </w:pPr>
            <w:r>
              <w:t>658.38</w:t>
            </w:r>
          </w:p>
        </w:tc>
        <w:tc>
          <w:tcPr>
            <w:tcW w:w="1134" w:type="dxa"/>
            <w:vAlign w:val="center"/>
          </w:tcPr>
          <w:p>
            <w:pPr>
              <w:pStyle w:val="11"/>
            </w:pPr>
            <w:r>
              <w:t>658.38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658.38</w:t>
            </w:r>
          </w:p>
        </w:tc>
        <w:tc>
          <w:tcPr>
            <w:tcW w:w="1134" w:type="dxa"/>
            <w:vAlign w:val="center"/>
          </w:tcPr>
          <w:p>
            <w:pPr>
              <w:pStyle w:val="11"/>
            </w:pPr>
            <w:r>
              <w:t>658.38</w:t>
            </w:r>
          </w:p>
        </w:tc>
        <w:tc>
          <w:tcPr>
            <w:tcW w:w="1134" w:type="dxa"/>
            <w:vAlign w:val="center"/>
          </w:tcPr>
          <w:p>
            <w:pPr>
              <w:pStyle w:val="11"/>
            </w:pPr>
            <w:r>
              <w:t>658.38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2010801</w:t>
            </w:r>
          </w:p>
        </w:tc>
        <w:tc>
          <w:tcPr>
            <w:tcW w:w="1559" w:type="dxa"/>
            <w:vAlign w:val="center"/>
          </w:tcPr>
          <w:p>
            <w:pPr>
              <w:pStyle w:val="12"/>
            </w:pPr>
            <w:r>
              <w:t>行政运行</w:t>
            </w:r>
          </w:p>
        </w:tc>
        <w:tc>
          <w:tcPr>
            <w:tcW w:w="1134" w:type="dxa"/>
            <w:vAlign w:val="center"/>
          </w:tcPr>
          <w:p>
            <w:pPr>
              <w:pStyle w:val="11"/>
            </w:pPr>
            <w:r>
              <w:t>594.18</w:t>
            </w:r>
          </w:p>
        </w:tc>
        <w:tc>
          <w:tcPr>
            <w:tcW w:w="1134" w:type="dxa"/>
            <w:vAlign w:val="center"/>
          </w:tcPr>
          <w:p>
            <w:pPr>
              <w:pStyle w:val="11"/>
            </w:pPr>
            <w:r>
              <w:t>594.18</w:t>
            </w:r>
          </w:p>
        </w:tc>
        <w:tc>
          <w:tcPr>
            <w:tcW w:w="1134" w:type="dxa"/>
            <w:vAlign w:val="center"/>
          </w:tcPr>
          <w:p>
            <w:pPr>
              <w:pStyle w:val="11"/>
            </w:pPr>
            <w:r>
              <w:t>594.18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2010802</w:t>
            </w:r>
          </w:p>
        </w:tc>
        <w:tc>
          <w:tcPr>
            <w:tcW w:w="1559" w:type="dxa"/>
            <w:vAlign w:val="center"/>
          </w:tcPr>
          <w:p>
            <w:pPr>
              <w:pStyle w:val="12"/>
            </w:pPr>
            <w:r>
              <w:t>一般行政管理事务</w:t>
            </w:r>
          </w:p>
        </w:tc>
        <w:tc>
          <w:tcPr>
            <w:tcW w:w="1134" w:type="dxa"/>
            <w:vAlign w:val="center"/>
          </w:tcPr>
          <w:p>
            <w:pPr>
              <w:pStyle w:val="11"/>
            </w:pPr>
            <w:r>
              <w:t>54.20</w:t>
            </w:r>
          </w:p>
        </w:tc>
        <w:tc>
          <w:tcPr>
            <w:tcW w:w="1134" w:type="dxa"/>
            <w:vAlign w:val="center"/>
          </w:tcPr>
          <w:p>
            <w:pPr>
              <w:pStyle w:val="11"/>
            </w:pPr>
            <w:r>
              <w:t>54.20</w:t>
            </w:r>
          </w:p>
        </w:tc>
        <w:tc>
          <w:tcPr>
            <w:tcW w:w="1134" w:type="dxa"/>
            <w:vAlign w:val="center"/>
          </w:tcPr>
          <w:p>
            <w:pPr>
              <w:pStyle w:val="11"/>
            </w:pPr>
            <w:r>
              <w:t>54.20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2010806</w:t>
            </w:r>
          </w:p>
        </w:tc>
        <w:tc>
          <w:tcPr>
            <w:tcW w:w="1559" w:type="dxa"/>
            <w:vAlign w:val="center"/>
          </w:tcPr>
          <w:p>
            <w:pPr>
              <w:pStyle w:val="12"/>
            </w:pPr>
            <w:r>
              <w:t>信息化建设</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319001石家庄市藁城区审计局本级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658.38</w:t>
            </w:r>
          </w:p>
        </w:tc>
        <w:tc>
          <w:tcPr>
            <w:tcW w:w="1361" w:type="dxa"/>
            <w:vAlign w:val="center"/>
          </w:tcPr>
          <w:p>
            <w:pPr>
              <w:pStyle w:val="15"/>
            </w:pPr>
            <w:r>
              <w:t>594.18</w:t>
            </w:r>
          </w:p>
        </w:tc>
        <w:tc>
          <w:tcPr>
            <w:tcW w:w="1361" w:type="dxa"/>
            <w:vAlign w:val="center"/>
          </w:tcPr>
          <w:p>
            <w:pPr>
              <w:pStyle w:val="15"/>
            </w:pPr>
            <w:r>
              <w:t>64.20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658.38</w:t>
            </w:r>
          </w:p>
        </w:tc>
        <w:tc>
          <w:tcPr>
            <w:tcW w:w="1361" w:type="dxa"/>
            <w:vAlign w:val="center"/>
          </w:tcPr>
          <w:p>
            <w:pPr>
              <w:pStyle w:val="11"/>
            </w:pPr>
            <w:r>
              <w:t>594.18</w:t>
            </w:r>
          </w:p>
        </w:tc>
        <w:tc>
          <w:tcPr>
            <w:tcW w:w="1361" w:type="dxa"/>
            <w:vAlign w:val="center"/>
          </w:tcPr>
          <w:p>
            <w:pPr>
              <w:pStyle w:val="11"/>
            </w:pPr>
            <w:r>
              <w:t>64.20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658.38</w:t>
            </w:r>
          </w:p>
        </w:tc>
        <w:tc>
          <w:tcPr>
            <w:tcW w:w="1361" w:type="dxa"/>
            <w:vAlign w:val="center"/>
          </w:tcPr>
          <w:p>
            <w:pPr>
              <w:pStyle w:val="11"/>
            </w:pPr>
            <w:r>
              <w:t>594.18</w:t>
            </w:r>
          </w:p>
        </w:tc>
        <w:tc>
          <w:tcPr>
            <w:tcW w:w="1361" w:type="dxa"/>
            <w:vAlign w:val="center"/>
          </w:tcPr>
          <w:p>
            <w:pPr>
              <w:pStyle w:val="11"/>
            </w:pPr>
            <w:r>
              <w:t>64.20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2010801</w:t>
            </w:r>
          </w:p>
        </w:tc>
        <w:tc>
          <w:tcPr>
            <w:tcW w:w="4535" w:type="dxa"/>
            <w:vAlign w:val="center"/>
          </w:tcPr>
          <w:p>
            <w:pPr>
              <w:pStyle w:val="12"/>
            </w:pPr>
            <w:r>
              <w:t>行政运行</w:t>
            </w:r>
          </w:p>
        </w:tc>
        <w:tc>
          <w:tcPr>
            <w:tcW w:w="1361" w:type="dxa"/>
            <w:vAlign w:val="center"/>
          </w:tcPr>
          <w:p>
            <w:pPr>
              <w:pStyle w:val="11"/>
            </w:pPr>
            <w:r>
              <w:t>594.18</w:t>
            </w:r>
          </w:p>
        </w:tc>
        <w:tc>
          <w:tcPr>
            <w:tcW w:w="1361" w:type="dxa"/>
            <w:vAlign w:val="center"/>
          </w:tcPr>
          <w:p>
            <w:pPr>
              <w:pStyle w:val="11"/>
            </w:pPr>
            <w:r>
              <w:t>594.18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2010802</w:t>
            </w:r>
          </w:p>
        </w:tc>
        <w:tc>
          <w:tcPr>
            <w:tcW w:w="4535" w:type="dxa"/>
            <w:vAlign w:val="center"/>
          </w:tcPr>
          <w:p>
            <w:pPr>
              <w:pStyle w:val="12"/>
            </w:pPr>
            <w:r>
              <w:t>一般行政管理事务</w:t>
            </w:r>
          </w:p>
        </w:tc>
        <w:tc>
          <w:tcPr>
            <w:tcW w:w="1361" w:type="dxa"/>
            <w:vAlign w:val="center"/>
          </w:tcPr>
          <w:p>
            <w:pPr>
              <w:pStyle w:val="11"/>
            </w:pPr>
            <w:r>
              <w:t>54.20</w:t>
            </w:r>
          </w:p>
        </w:tc>
        <w:tc>
          <w:tcPr>
            <w:tcW w:w="1361" w:type="dxa"/>
            <w:vAlign w:val="center"/>
          </w:tcPr>
          <w:p>
            <w:pPr>
              <w:pStyle w:val="11"/>
            </w:pPr>
          </w:p>
        </w:tc>
        <w:tc>
          <w:tcPr>
            <w:tcW w:w="1361" w:type="dxa"/>
            <w:vAlign w:val="center"/>
          </w:tcPr>
          <w:p>
            <w:pPr>
              <w:pStyle w:val="11"/>
            </w:pPr>
            <w:r>
              <w:t>54.20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2010806</w:t>
            </w:r>
          </w:p>
        </w:tc>
        <w:tc>
          <w:tcPr>
            <w:tcW w:w="4535" w:type="dxa"/>
            <w:vAlign w:val="center"/>
          </w:tcPr>
          <w:p>
            <w:pPr>
              <w:pStyle w:val="12"/>
            </w:pPr>
            <w:r>
              <w:t>信息化建设</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319001石家庄市藁城区审计局本级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658.38</w:t>
            </w:r>
          </w:p>
        </w:tc>
        <w:tc>
          <w:tcPr>
            <w:tcW w:w="3402" w:type="dxa"/>
            <w:vAlign w:val="center"/>
          </w:tcPr>
          <w:p>
            <w:pPr>
              <w:pStyle w:val="12"/>
            </w:pPr>
            <w:r>
              <w:t>一、一般公共服务支出</w:t>
            </w:r>
          </w:p>
        </w:tc>
        <w:tc>
          <w:tcPr>
            <w:tcW w:w="1474" w:type="dxa"/>
            <w:vAlign w:val="center"/>
          </w:tcPr>
          <w:p>
            <w:pPr>
              <w:pStyle w:val="11"/>
            </w:pPr>
            <w:r>
              <w:t>658.38</w:t>
            </w:r>
          </w:p>
        </w:tc>
        <w:tc>
          <w:tcPr>
            <w:tcW w:w="1474" w:type="dxa"/>
            <w:vAlign w:val="center"/>
          </w:tcPr>
          <w:p>
            <w:pPr>
              <w:pStyle w:val="11"/>
            </w:pPr>
            <w:r>
              <w:t>658.38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658.38</w:t>
            </w:r>
          </w:p>
        </w:tc>
        <w:tc>
          <w:tcPr>
            <w:tcW w:w="3402" w:type="dxa"/>
            <w:vAlign w:val="center"/>
          </w:tcPr>
          <w:p>
            <w:pPr>
              <w:pStyle w:val="14"/>
            </w:pPr>
            <w:r>
              <w:t>本年支出合计</w:t>
            </w:r>
          </w:p>
        </w:tc>
        <w:tc>
          <w:tcPr>
            <w:tcW w:w="1474" w:type="dxa"/>
            <w:vAlign w:val="center"/>
          </w:tcPr>
          <w:p>
            <w:pPr>
              <w:pStyle w:val="15"/>
            </w:pPr>
            <w:r>
              <w:t>658.38</w:t>
            </w:r>
          </w:p>
        </w:tc>
        <w:tc>
          <w:tcPr>
            <w:tcW w:w="1474" w:type="dxa"/>
            <w:vAlign w:val="center"/>
          </w:tcPr>
          <w:p>
            <w:pPr>
              <w:pStyle w:val="15"/>
            </w:pPr>
            <w:r>
              <w:t>658.38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658.38</w:t>
            </w:r>
          </w:p>
        </w:tc>
        <w:tc>
          <w:tcPr>
            <w:tcW w:w="3402" w:type="dxa"/>
            <w:vAlign w:val="center"/>
          </w:tcPr>
          <w:p>
            <w:pPr>
              <w:pStyle w:val="14"/>
            </w:pPr>
            <w:r>
              <w:t>支出总计</w:t>
            </w:r>
          </w:p>
        </w:tc>
        <w:tc>
          <w:tcPr>
            <w:tcW w:w="1474" w:type="dxa"/>
            <w:vAlign w:val="center"/>
          </w:tcPr>
          <w:p>
            <w:pPr>
              <w:pStyle w:val="15"/>
            </w:pPr>
            <w:r>
              <w:t>658.38</w:t>
            </w:r>
          </w:p>
        </w:tc>
        <w:tc>
          <w:tcPr>
            <w:tcW w:w="1474" w:type="dxa"/>
            <w:vAlign w:val="center"/>
          </w:tcPr>
          <w:p>
            <w:pPr>
              <w:pStyle w:val="15"/>
            </w:pPr>
            <w:r>
              <w:t>658.38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319001石家庄市藁城区审计局本级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658.38</w:t>
            </w:r>
          </w:p>
        </w:tc>
        <w:tc>
          <w:tcPr>
            <w:tcW w:w="2551" w:type="dxa"/>
            <w:vAlign w:val="center"/>
          </w:tcPr>
          <w:p>
            <w:pPr>
              <w:pStyle w:val="15"/>
            </w:pPr>
            <w:r>
              <w:t>594.18</w:t>
            </w:r>
          </w:p>
        </w:tc>
        <w:tc>
          <w:tcPr>
            <w:tcW w:w="2551" w:type="dxa"/>
            <w:vAlign w:val="center"/>
          </w:tcPr>
          <w:p>
            <w:pPr>
              <w:pStyle w:val="15"/>
            </w:pPr>
            <w:r>
              <w:t>64.20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658.38</w:t>
            </w:r>
          </w:p>
        </w:tc>
        <w:tc>
          <w:tcPr>
            <w:tcW w:w="2551" w:type="dxa"/>
            <w:vAlign w:val="center"/>
          </w:tcPr>
          <w:p>
            <w:pPr>
              <w:pStyle w:val="11"/>
            </w:pPr>
            <w:r>
              <w:t>594.18</w:t>
            </w:r>
          </w:p>
        </w:tc>
        <w:tc>
          <w:tcPr>
            <w:tcW w:w="2551" w:type="dxa"/>
            <w:vAlign w:val="center"/>
          </w:tcPr>
          <w:p>
            <w:pPr>
              <w:pStyle w:val="11"/>
            </w:pPr>
            <w:r>
              <w:t>64.20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658.38</w:t>
            </w:r>
          </w:p>
        </w:tc>
        <w:tc>
          <w:tcPr>
            <w:tcW w:w="2551" w:type="dxa"/>
            <w:vAlign w:val="center"/>
          </w:tcPr>
          <w:p>
            <w:pPr>
              <w:pStyle w:val="11"/>
            </w:pPr>
            <w:r>
              <w:t>594.18</w:t>
            </w:r>
          </w:p>
        </w:tc>
        <w:tc>
          <w:tcPr>
            <w:tcW w:w="2551" w:type="dxa"/>
            <w:vAlign w:val="center"/>
          </w:tcPr>
          <w:p>
            <w:pPr>
              <w:pStyle w:val="11"/>
            </w:pPr>
            <w:r>
              <w:t>64.20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t>行政运行</w:t>
            </w:r>
          </w:p>
        </w:tc>
        <w:tc>
          <w:tcPr>
            <w:tcW w:w="2551" w:type="dxa"/>
            <w:vAlign w:val="center"/>
          </w:tcPr>
          <w:p>
            <w:pPr>
              <w:pStyle w:val="11"/>
            </w:pPr>
            <w:r>
              <w:t>594.18</w:t>
            </w:r>
          </w:p>
        </w:tc>
        <w:tc>
          <w:tcPr>
            <w:tcW w:w="2551" w:type="dxa"/>
            <w:vAlign w:val="center"/>
          </w:tcPr>
          <w:p>
            <w:pPr>
              <w:pStyle w:val="11"/>
            </w:pPr>
            <w:r>
              <w:t>594.18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2010802</w:t>
            </w:r>
          </w:p>
        </w:tc>
        <w:tc>
          <w:tcPr>
            <w:tcW w:w="4535" w:type="dxa"/>
            <w:vAlign w:val="center"/>
          </w:tcPr>
          <w:p>
            <w:pPr>
              <w:pStyle w:val="12"/>
            </w:pPr>
            <w:r>
              <w:t>一般行政管理事务</w:t>
            </w:r>
          </w:p>
        </w:tc>
        <w:tc>
          <w:tcPr>
            <w:tcW w:w="2551" w:type="dxa"/>
            <w:vAlign w:val="center"/>
          </w:tcPr>
          <w:p>
            <w:pPr>
              <w:pStyle w:val="11"/>
            </w:pPr>
            <w:r>
              <w:t>54.20</w:t>
            </w:r>
          </w:p>
        </w:tc>
        <w:tc>
          <w:tcPr>
            <w:tcW w:w="2551" w:type="dxa"/>
            <w:vAlign w:val="center"/>
          </w:tcPr>
          <w:p>
            <w:pPr>
              <w:pStyle w:val="11"/>
            </w:pPr>
          </w:p>
        </w:tc>
        <w:tc>
          <w:tcPr>
            <w:tcW w:w="2551" w:type="dxa"/>
            <w:vAlign w:val="center"/>
          </w:tcPr>
          <w:p>
            <w:pPr>
              <w:pStyle w:val="11"/>
            </w:pPr>
            <w:r>
              <w:t>54.20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2010806</w:t>
            </w:r>
          </w:p>
        </w:tc>
        <w:tc>
          <w:tcPr>
            <w:tcW w:w="4535" w:type="dxa"/>
            <w:vAlign w:val="center"/>
          </w:tcPr>
          <w:p>
            <w:pPr>
              <w:pStyle w:val="12"/>
            </w:pPr>
            <w:r>
              <w:t>信息化建设</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319001石家庄市藁城区审计局本级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594.18</w:t>
            </w:r>
          </w:p>
        </w:tc>
        <w:tc>
          <w:tcPr>
            <w:tcW w:w="2551" w:type="dxa"/>
            <w:vAlign w:val="center"/>
          </w:tcPr>
          <w:p>
            <w:pPr>
              <w:pStyle w:val="15"/>
            </w:pPr>
            <w:r>
              <w:t>552.13</w:t>
            </w:r>
          </w:p>
        </w:tc>
        <w:tc>
          <w:tcPr>
            <w:tcW w:w="2551" w:type="dxa"/>
            <w:vAlign w:val="center"/>
          </w:tcPr>
          <w:p>
            <w:pPr>
              <w:pStyle w:val="15"/>
            </w:pPr>
            <w:r>
              <w:t>42.05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406.17</w:t>
            </w:r>
          </w:p>
        </w:tc>
        <w:tc>
          <w:tcPr>
            <w:tcW w:w="2551" w:type="dxa"/>
            <w:vAlign w:val="center"/>
          </w:tcPr>
          <w:p>
            <w:pPr>
              <w:pStyle w:val="11"/>
            </w:pPr>
            <w:r>
              <w:t>406.17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98.24</w:t>
            </w:r>
          </w:p>
        </w:tc>
        <w:tc>
          <w:tcPr>
            <w:tcW w:w="2551" w:type="dxa"/>
            <w:vAlign w:val="center"/>
          </w:tcPr>
          <w:p>
            <w:pPr>
              <w:pStyle w:val="11"/>
            </w:pPr>
            <w:r>
              <w:t>98.24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117.89</w:t>
            </w:r>
          </w:p>
        </w:tc>
        <w:tc>
          <w:tcPr>
            <w:tcW w:w="2551" w:type="dxa"/>
            <w:vAlign w:val="center"/>
          </w:tcPr>
          <w:p>
            <w:pPr>
              <w:pStyle w:val="11"/>
            </w:pPr>
            <w:r>
              <w:t>117.89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65.69</w:t>
            </w:r>
          </w:p>
        </w:tc>
        <w:tc>
          <w:tcPr>
            <w:tcW w:w="2551" w:type="dxa"/>
            <w:vAlign w:val="center"/>
          </w:tcPr>
          <w:p>
            <w:pPr>
              <w:pStyle w:val="11"/>
            </w:pPr>
            <w:r>
              <w:t>65.69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45.17</w:t>
            </w:r>
          </w:p>
        </w:tc>
        <w:tc>
          <w:tcPr>
            <w:tcW w:w="2551" w:type="dxa"/>
            <w:vAlign w:val="center"/>
          </w:tcPr>
          <w:p>
            <w:pPr>
              <w:pStyle w:val="11"/>
            </w:pPr>
            <w:r>
              <w:t>45.17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15.89</w:t>
            </w:r>
          </w:p>
        </w:tc>
        <w:tc>
          <w:tcPr>
            <w:tcW w:w="2551" w:type="dxa"/>
            <w:vAlign w:val="center"/>
          </w:tcPr>
          <w:p>
            <w:pPr>
              <w:pStyle w:val="11"/>
            </w:pPr>
            <w:r>
              <w:t>15.89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12.29</w:t>
            </w:r>
          </w:p>
        </w:tc>
        <w:tc>
          <w:tcPr>
            <w:tcW w:w="2551" w:type="dxa"/>
            <w:vAlign w:val="center"/>
          </w:tcPr>
          <w:p>
            <w:pPr>
              <w:pStyle w:val="11"/>
            </w:pPr>
            <w:r>
              <w:t>12.29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16.49</w:t>
            </w:r>
          </w:p>
        </w:tc>
        <w:tc>
          <w:tcPr>
            <w:tcW w:w="2551" w:type="dxa"/>
            <w:vAlign w:val="center"/>
          </w:tcPr>
          <w:p>
            <w:pPr>
              <w:pStyle w:val="11"/>
            </w:pPr>
            <w:r>
              <w:t>16.49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34.51</w:t>
            </w:r>
          </w:p>
        </w:tc>
        <w:tc>
          <w:tcPr>
            <w:tcW w:w="2551" w:type="dxa"/>
            <w:vAlign w:val="center"/>
          </w:tcPr>
          <w:p>
            <w:pPr>
              <w:pStyle w:val="11"/>
            </w:pPr>
            <w:r>
              <w:t>34.51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42.05</w:t>
            </w:r>
          </w:p>
        </w:tc>
        <w:tc>
          <w:tcPr>
            <w:tcW w:w="2551" w:type="dxa"/>
            <w:vAlign w:val="center"/>
          </w:tcPr>
          <w:p>
            <w:pPr>
              <w:pStyle w:val="11"/>
            </w:pPr>
          </w:p>
        </w:tc>
        <w:tc>
          <w:tcPr>
            <w:tcW w:w="2551" w:type="dxa"/>
            <w:vAlign w:val="center"/>
          </w:tcPr>
          <w:p>
            <w:pPr>
              <w:pStyle w:val="11"/>
            </w:pPr>
            <w:r>
              <w:t>42.05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6.90</w:t>
            </w:r>
          </w:p>
        </w:tc>
        <w:tc>
          <w:tcPr>
            <w:tcW w:w="2551" w:type="dxa"/>
            <w:vAlign w:val="center"/>
          </w:tcPr>
          <w:p>
            <w:pPr>
              <w:pStyle w:val="11"/>
            </w:pPr>
          </w:p>
        </w:tc>
        <w:tc>
          <w:tcPr>
            <w:tcW w:w="2551" w:type="dxa"/>
            <w:vAlign w:val="center"/>
          </w:tcPr>
          <w:p>
            <w:pPr>
              <w:pStyle w:val="11"/>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12.51</w:t>
            </w:r>
          </w:p>
        </w:tc>
        <w:tc>
          <w:tcPr>
            <w:tcW w:w="2551" w:type="dxa"/>
            <w:vAlign w:val="center"/>
          </w:tcPr>
          <w:p>
            <w:pPr>
              <w:pStyle w:val="11"/>
            </w:pPr>
          </w:p>
        </w:tc>
        <w:tc>
          <w:tcPr>
            <w:tcW w:w="2551" w:type="dxa"/>
            <w:vAlign w:val="center"/>
          </w:tcPr>
          <w:p>
            <w:pPr>
              <w:pStyle w:val="11"/>
            </w:pPr>
            <w:r>
              <w:t>12.51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2.75</w:t>
            </w:r>
          </w:p>
        </w:tc>
        <w:tc>
          <w:tcPr>
            <w:tcW w:w="2551" w:type="dxa"/>
            <w:vAlign w:val="center"/>
          </w:tcPr>
          <w:p>
            <w:pPr>
              <w:pStyle w:val="11"/>
            </w:pPr>
          </w:p>
        </w:tc>
        <w:tc>
          <w:tcPr>
            <w:tcW w:w="2551" w:type="dxa"/>
            <w:vAlign w:val="center"/>
          </w:tcPr>
          <w:p>
            <w:pPr>
              <w:pStyle w:val="11"/>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2.46</w:t>
            </w:r>
          </w:p>
        </w:tc>
        <w:tc>
          <w:tcPr>
            <w:tcW w:w="2551" w:type="dxa"/>
            <w:vAlign w:val="center"/>
          </w:tcPr>
          <w:p>
            <w:pPr>
              <w:pStyle w:val="11"/>
            </w:pPr>
          </w:p>
        </w:tc>
        <w:tc>
          <w:tcPr>
            <w:tcW w:w="2551" w:type="dxa"/>
            <w:vAlign w:val="center"/>
          </w:tcPr>
          <w:p>
            <w:pPr>
              <w:pStyle w:val="11"/>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14.52</w:t>
            </w:r>
          </w:p>
        </w:tc>
        <w:tc>
          <w:tcPr>
            <w:tcW w:w="2551" w:type="dxa"/>
            <w:vAlign w:val="center"/>
          </w:tcPr>
          <w:p>
            <w:pPr>
              <w:pStyle w:val="11"/>
            </w:pPr>
          </w:p>
        </w:tc>
        <w:tc>
          <w:tcPr>
            <w:tcW w:w="2551" w:type="dxa"/>
            <w:vAlign w:val="center"/>
          </w:tcPr>
          <w:p>
            <w:pPr>
              <w:pStyle w:val="11"/>
            </w:pPr>
            <w:r>
              <w:t>14.52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145.96</w:t>
            </w:r>
          </w:p>
        </w:tc>
        <w:tc>
          <w:tcPr>
            <w:tcW w:w="2551" w:type="dxa"/>
            <w:vAlign w:val="center"/>
          </w:tcPr>
          <w:p>
            <w:pPr>
              <w:pStyle w:val="11"/>
            </w:pPr>
            <w:r>
              <w:t>145.96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2.98</w:t>
            </w:r>
          </w:p>
        </w:tc>
        <w:tc>
          <w:tcPr>
            <w:tcW w:w="2551" w:type="dxa"/>
            <w:vAlign w:val="center"/>
          </w:tcPr>
          <w:p>
            <w:pPr>
              <w:pStyle w:val="11"/>
            </w:pPr>
            <w:r>
              <w:t>2.98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140.99</w:t>
            </w:r>
          </w:p>
        </w:tc>
        <w:tc>
          <w:tcPr>
            <w:tcW w:w="2551" w:type="dxa"/>
            <w:vAlign w:val="center"/>
          </w:tcPr>
          <w:p>
            <w:pPr>
              <w:pStyle w:val="11"/>
            </w:pPr>
            <w:r>
              <w:t>140.99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1.99</w:t>
            </w:r>
          </w:p>
        </w:tc>
        <w:tc>
          <w:tcPr>
            <w:tcW w:w="2551" w:type="dxa"/>
            <w:vAlign w:val="center"/>
          </w:tcPr>
          <w:p>
            <w:pPr>
              <w:pStyle w:val="11"/>
            </w:pPr>
            <w:r>
              <w:t>1.99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319001石家庄市藁城区审计局本级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319001石家庄市藁城区审计局本级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319001石家庄市藁城区审计局本级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石家庄市藁城区审计局本级2024年单位预算信息公开情况说明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按照《中华人民共和国预算法》、《地方预决算公开操作规程》和《关于进一步推进预算公开工作的实施意见》规定，现将石家庄市藁城区审计局本级2024年单位预算公开如下：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根据《石家庄市藁城区审计局职能配置、内设机构和人员编制规定》，石家庄市藁城区审计局的主要职责是：</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财务收支；有关社会保障基金、社会捐赠资金和其他基金、资金的财务收支；上级授权审计的国际组织和外国政府援助、贷款项目的财务收支；法律法规规定的其他事项。</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（五）按规定对区管党政主要领导干部及其他单位主要负责人实施经济责任审计和自然资源资产离任审计。</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（六）组织实施对财经法律法规、规章、政策和宏观调控措施执行情况、财政预算管理及国有资产管理使用等与财政收支有关的特定事项进行专项审计调查。</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（七）依法检查审计决定执行情况，督促整改审计查出的问题，依法办理被审计单位对审计决定提请行政复议、行政诉讼或区政府裁决中的有关事项；协助配合有关部门查处相关重大案件。</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（八）指导和监督内部审计工作，核查社会审计机构对依法属于审计监督对象的单位出具的相关审计报告。</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（九）会同区委机构编制委员会办公室，对党政机关及直属事业机构的机构设置、编制使用，以及有关机构编制规定的执行情况进行审计调查。</w:t>
      </w:r>
    </w:p>
    <w:p>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（十）组织开展审计领域的交流与合作，负责审计信息系统建设，指导和推广信息技术在审计领域的应用。</w:t>
      </w:r>
    </w:p>
    <w:p>
      <w:pPr>
        <w:spacing w:before="0" w:after="0" w:line="240" w:lineRule="auto"/>
        <w:ind w:firstLine="640"/>
        <w:jc w:val="left"/>
        <w:outlineLvl w:val="9"/>
        <w:rPr>
          <w:rFonts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（十一）完成区委、区政府和上级审计机关交办的其他任务。</w:t>
      </w:r>
    </w:p>
    <w:p>
      <w:pPr>
        <w:pStyle w:val="22"/>
        <w:rPr>
          <w:b w:val="0"/>
          <w:bCs/>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石家庄市藁城区审计局本级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w:t>
      </w:r>
      <w:r>
        <w:rPr>
          <w:rFonts w:hint="eastAsia"/>
          <w:lang w:eastAsia="zh-CN"/>
        </w:rPr>
        <w:t>单位</w:t>
      </w:r>
      <w:r>
        <w:t>全部收入。2024年预算收入658.38万元，其中：一般公共预算收入658.38万元，基金预算收入0万元，财政专户核拨收入0万元，其他来源收入0万元。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w:t>
      </w:r>
      <w:r>
        <w:rPr>
          <w:rFonts w:hint="eastAsia"/>
          <w:lang w:eastAsia="zh-CN"/>
        </w:rPr>
        <w:t>单位</w:t>
      </w:r>
      <w:r>
        <w:t>预算中支出预算</w:t>
      </w:r>
      <w:bookmarkStart w:id="1" w:name="_GoBack"/>
      <w:bookmarkEnd w:id="1"/>
      <w:r>
        <w:t>的总体情况。2024年支出单位预算为658.38万元，其中基本支出594.18万元，包括人员经费552.13万元和日常公用经费42.05万元；项目支出64.2万元，主要为审计服务费12万元，审计署安排审计业务专项经费4.2万元，审计业务费15万元，网路运行维护费10万元，政府投资项目跟踪审计、聘请专业参与国家建设项目审计业务费23万元；其他支出0万元。</w:t>
      </w:r>
    </w:p>
    <w:p>
      <w:pPr>
        <w:pStyle w:val="18"/>
      </w:pPr>
      <w:r>
        <w:t>3、比上年增减情况</w:t>
      </w:r>
    </w:p>
    <w:p>
      <w:pPr>
        <w:pStyle w:val="18"/>
      </w:pPr>
      <w:r>
        <w:t>2024年</w:t>
      </w:r>
      <w:r>
        <w:rPr>
          <w:rFonts w:hint="eastAsia"/>
          <w:lang w:eastAsia="zh-CN"/>
        </w:rPr>
        <w:t>单位</w:t>
      </w:r>
      <w:r>
        <w:t>收支安排658.38万元，较2023年减少46.21万元，其中：基本支出减少10.91万元，主要是压缩开支；项目支出减少35.3万元，主要是压缩开支；其他支出无增减变化。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运行经费共计安排42.05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拨款“三公”经费预算安排0万元，其中：因公出国（境）费0万元，与上年持平，无增减变化；公务用车购置及运维费0万元（其中：公务用车购置费0万元，与上年持平，无增减变化；公务用车运行维护费0万元，与上年持平)；公务接待费0万元，与上年持平。“三公”经费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1、审计服务费绩效目标表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13010924P00000211511J</w:t>
            </w:r>
          </w:p>
        </w:tc>
        <w:tc>
          <w:tcPr>
            <w:tcW w:w="2835" w:type="dxa"/>
            <w:vAlign w:val="center"/>
          </w:tcPr>
          <w:p>
            <w:pPr>
              <w:pStyle w:val="10"/>
            </w:pPr>
            <w:r>
              <w:t>项目名称</w:t>
            </w:r>
          </w:p>
        </w:tc>
        <w:tc>
          <w:tcPr>
            <w:tcW w:w="6094" w:type="dxa"/>
            <w:gridSpan w:val="3"/>
            <w:vAlign w:val="center"/>
          </w:tcPr>
          <w:p>
            <w:pPr>
              <w:pStyle w:val="12"/>
            </w:pPr>
            <w:r>
              <w:t>审计服务费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用于项目审计工作开展。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1.通过财政、财务收支审计，维护国家经济秩序，促进廉政建设，保障国民经济的健康运行。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计划开展项目审计数量</w:t>
            </w:r>
          </w:p>
        </w:tc>
        <w:tc>
          <w:tcPr>
            <w:tcW w:w="5386" w:type="dxa"/>
            <w:vAlign w:val="center"/>
          </w:tcPr>
          <w:p>
            <w:pPr>
              <w:pStyle w:val="12"/>
            </w:pPr>
            <w:r>
              <w:t>计划委托第三方机构对国家建设项目进行审计的年初计划数</w:t>
            </w:r>
          </w:p>
        </w:tc>
        <w:tc>
          <w:tcPr>
            <w:tcW w:w="2268" w:type="dxa"/>
            <w:vAlign w:val="center"/>
          </w:tcPr>
          <w:p>
            <w:pPr>
              <w:pStyle w:val="12"/>
            </w:pPr>
            <w:r>
              <w:t>≥3个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审计项目报告合格率</w:t>
            </w:r>
          </w:p>
        </w:tc>
        <w:tc>
          <w:tcPr>
            <w:tcW w:w="5386" w:type="dxa"/>
            <w:vAlign w:val="center"/>
          </w:tcPr>
          <w:p>
            <w:pPr>
              <w:pStyle w:val="12"/>
            </w:pPr>
            <w:r>
              <w:t>合格的审计报告占审计报告总数的比例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按时完成审计项目</w:t>
            </w:r>
          </w:p>
        </w:tc>
        <w:tc>
          <w:tcPr>
            <w:tcW w:w="5386" w:type="dxa"/>
            <w:vAlign w:val="center"/>
          </w:tcPr>
          <w:p>
            <w:pPr>
              <w:pStyle w:val="12"/>
            </w:pPr>
            <w:r>
              <w:t>按时保质保量完成审计项目</w:t>
            </w:r>
          </w:p>
        </w:tc>
        <w:tc>
          <w:tcPr>
            <w:tcW w:w="2268" w:type="dxa"/>
            <w:vAlign w:val="center"/>
          </w:tcPr>
          <w:p>
            <w:pPr>
              <w:pStyle w:val="12"/>
            </w:pPr>
            <w:r>
              <w:t>≥90四季度完成全部审计计划</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问题整改率</w:t>
            </w:r>
          </w:p>
        </w:tc>
        <w:tc>
          <w:tcPr>
            <w:tcW w:w="5386" w:type="dxa"/>
            <w:vAlign w:val="center"/>
          </w:tcPr>
          <w:p>
            <w:pPr>
              <w:pStyle w:val="12"/>
            </w:pPr>
            <w:r>
              <w:t>已整改问题数量占发现问题总数的比率</w:t>
            </w:r>
          </w:p>
          <w:p>
            <w:pPr>
              <w:pStyle w:val="12"/>
            </w:pPr>
          </w:p>
        </w:tc>
        <w:tc>
          <w:tcPr>
            <w:tcW w:w="2268" w:type="dxa"/>
            <w:vAlign w:val="center"/>
          </w:tcPr>
          <w:p>
            <w:pPr>
              <w:pStyle w:val="12"/>
            </w:pPr>
            <w:r>
              <w:t>≥90%</w:t>
            </w:r>
          </w:p>
        </w:tc>
        <w:tc>
          <w:tcPr>
            <w:tcW w:w="1276" w:type="dxa"/>
            <w:vAlign w:val="center"/>
          </w:tcPr>
          <w:p>
            <w:pPr>
              <w:pStyle w:val="12"/>
            </w:pPr>
            <w:r>
              <w:t>审计整改台账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审计建议采纳率</w:t>
            </w:r>
          </w:p>
        </w:tc>
        <w:tc>
          <w:tcPr>
            <w:tcW w:w="5386" w:type="dxa"/>
            <w:vAlign w:val="center"/>
          </w:tcPr>
          <w:p>
            <w:pPr>
              <w:pStyle w:val="12"/>
            </w:pPr>
            <w:r>
              <w:t>被采纳的审计建议占全部审计建议的比例</w:t>
            </w:r>
          </w:p>
        </w:tc>
        <w:tc>
          <w:tcPr>
            <w:tcW w:w="2268" w:type="dxa"/>
            <w:vAlign w:val="center"/>
          </w:tcPr>
          <w:p>
            <w:pPr>
              <w:pStyle w:val="12"/>
            </w:pPr>
            <w:r>
              <w:t>≥90%</w:t>
            </w:r>
          </w:p>
        </w:tc>
        <w:tc>
          <w:tcPr>
            <w:tcW w:w="1276" w:type="dxa"/>
            <w:vAlign w:val="center"/>
          </w:tcPr>
          <w:p>
            <w:pPr>
              <w:pStyle w:val="12"/>
            </w:pPr>
            <w:r>
              <w:t>征求意见稿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2、审计署安排审计业务专项经费绩效目标表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13010924P00000211510Y</w:t>
            </w:r>
          </w:p>
        </w:tc>
        <w:tc>
          <w:tcPr>
            <w:tcW w:w="2835" w:type="dxa"/>
            <w:vAlign w:val="center"/>
          </w:tcPr>
          <w:p>
            <w:pPr>
              <w:pStyle w:val="10"/>
            </w:pPr>
            <w:r>
              <w:t>项目名称</w:t>
            </w:r>
          </w:p>
        </w:tc>
        <w:tc>
          <w:tcPr>
            <w:tcW w:w="6094" w:type="dxa"/>
            <w:gridSpan w:val="3"/>
            <w:vAlign w:val="center"/>
          </w:tcPr>
          <w:p>
            <w:pPr>
              <w:pStyle w:val="12"/>
            </w:pPr>
            <w:r>
              <w:t>审计署安排审计业务专项经费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w:t>
            </w:r>
          </w:p>
        </w:tc>
        <w:tc>
          <w:tcPr>
            <w:tcW w:w="2835" w:type="dxa"/>
            <w:vAlign w:val="center"/>
          </w:tcPr>
          <w:p>
            <w:pPr>
              <w:pStyle w:val="10"/>
            </w:pPr>
            <w:r>
              <w:t>其中：财政    资金</w:t>
            </w:r>
          </w:p>
        </w:tc>
        <w:tc>
          <w:tcPr>
            <w:tcW w:w="2551" w:type="dxa"/>
            <w:vAlign w:val="center"/>
          </w:tcPr>
          <w:p>
            <w:pPr>
              <w:pStyle w:val="12"/>
            </w:pPr>
            <w:r>
              <w:t>4.20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用于审计署安排审计业务开展经费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1.通过审计，维护国家财政经济秩序，促进廉政建设，保障国民经济健康发展。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审计业务完成数量</w:t>
            </w:r>
          </w:p>
        </w:tc>
        <w:tc>
          <w:tcPr>
            <w:tcW w:w="5386" w:type="dxa"/>
            <w:vAlign w:val="center"/>
          </w:tcPr>
          <w:p>
            <w:pPr>
              <w:pStyle w:val="12"/>
            </w:pPr>
            <w:r>
              <w:t>审计业务完成数量</w:t>
            </w:r>
          </w:p>
          <w:p>
            <w:pPr>
              <w:pStyle w:val="12"/>
            </w:pPr>
          </w:p>
        </w:tc>
        <w:tc>
          <w:tcPr>
            <w:tcW w:w="2268" w:type="dxa"/>
            <w:vAlign w:val="center"/>
          </w:tcPr>
          <w:p>
            <w:pPr>
              <w:pStyle w:val="12"/>
            </w:pPr>
            <w:r>
              <w:t>≥5个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审计项目报告合格率</w:t>
            </w:r>
          </w:p>
        </w:tc>
        <w:tc>
          <w:tcPr>
            <w:tcW w:w="5386" w:type="dxa"/>
            <w:vAlign w:val="center"/>
          </w:tcPr>
          <w:p>
            <w:pPr>
              <w:pStyle w:val="12"/>
            </w:pPr>
            <w:r>
              <w:t>合格的审计报告占审计报告总数的比例</w:t>
            </w:r>
          </w:p>
          <w:p>
            <w:pPr>
              <w:pStyle w:val="12"/>
            </w:pP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审计业务完成及时性</w:t>
            </w:r>
          </w:p>
        </w:tc>
        <w:tc>
          <w:tcPr>
            <w:tcW w:w="5386" w:type="dxa"/>
            <w:vAlign w:val="center"/>
          </w:tcPr>
          <w:p>
            <w:pPr>
              <w:pStyle w:val="12"/>
            </w:pPr>
            <w:r>
              <w:t>按时保质保量完成审计项目</w:t>
            </w:r>
          </w:p>
          <w:p>
            <w:pPr>
              <w:pStyle w:val="12"/>
            </w:pPr>
          </w:p>
        </w:tc>
        <w:tc>
          <w:tcPr>
            <w:tcW w:w="2268" w:type="dxa"/>
            <w:vAlign w:val="center"/>
          </w:tcPr>
          <w:p>
            <w:pPr>
              <w:pStyle w:val="12"/>
            </w:pPr>
            <w:r>
              <w:t>12月全部完成年初计划</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审计署安排审计业务专项经费的成本</w:t>
            </w:r>
          </w:p>
        </w:tc>
        <w:tc>
          <w:tcPr>
            <w:tcW w:w="2268" w:type="dxa"/>
            <w:vAlign w:val="center"/>
          </w:tcPr>
          <w:p>
            <w:pPr>
              <w:pStyle w:val="12"/>
            </w:pPr>
            <w:r>
              <w:t>实际支出</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问题整改率</w:t>
            </w:r>
          </w:p>
        </w:tc>
        <w:tc>
          <w:tcPr>
            <w:tcW w:w="5386" w:type="dxa"/>
            <w:vAlign w:val="center"/>
          </w:tcPr>
          <w:p>
            <w:pPr>
              <w:pStyle w:val="12"/>
            </w:pPr>
            <w:r>
              <w:t>已整改问题数量占发现问题总数的比率</w:t>
            </w:r>
          </w:p>
          <w:p>
            <w:pPr>
              <w:pStyle w:val="12"/>
            </w:pPr>
          </w:p>
        </w:tc>
        <w:tc>
          <w:tcPr>
            <w:tcW w:w="2268" w:type="dxa"/>
            <w:vAlign w:val="center"/>
          </w:tcPr>
          <w:p>
            <w:pPr>
              <w:pStyle w:val="12"/>
            </w:pPr>
            <w:r>
              <w:t>≥100%</w:t>
            </w:r>
          </w:p>
        </w:tc>
        <w:tc>
          <w:tcPr>
            <w:tcW w:w="1276" w:type="dxa"/>
            <w:vAlign w:val="center"/>
          </w:tcPr>
          <w:p>
            <w:pPr>
              <w:pStyle w:val="12"/>
            </w:pPr>
            <w:r>
              <w:t>审计整改台账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审计报告征求意见</w:t>
            </w:r>
          </w:p>
        </w:tc>
        <w:tc>
          <w:tcPr>
            <w:tcW w:w="5386" w:type="dxa"/>
            <w:vAlign w:val="center"/>
          </w:tcPr>
          <w:p>
            <w:pPr>
              <w:pStyle w:val="12"/>
            </w:pPr>
            <w:r>
              <w:t>征求被审计单位对审计报告的意见反馈情况</w:t>
            </w:r>
          </w:p>
          <w:p>
            <w:pPr>
              <w:pStyle w:val="12"/>
            </w:pPr>
          </w:p>
        </w:tc>
        <w:tc>
          <w:tcPr>
            <w:tcW w:w="2268" w:type="dxa"/>
            <w:vAlign w:val="center"/>
          </w:tcPr>
          <w:p>
            <w:pPr>
              <w:pStyle w:val="12"/>
            </w:pPr>
            <w:r>
              <w:t>≥90%</w:t>
            </w:r>
          </w:p>
        </w:tc>
        <w:tc>
          <w:tcPr>
            <w:tcW w:w="1276" w:type="dxa"/>
            <w:vAlign w:val="center"/>
          </w:tcPr>
          <w:p>
            <w:pPr>
              <w:pStyle w:val="12"/>
            </w:pPr>
            <w:r>
              <w:t>征求意见稿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3、审计业务费绩效目标表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13010924P000002115126</w:t>
            </w:r>
          </w:p>
        </w:tc>
        <w:tc>
          <w:tcPr>
            <w:tcW w:w="2835" w:type="dxa"/>
            <w:vAlign w:val="center"/>
          </w:tcPr>
          <w:p>
            <w:pPr>
              <w:pStyle w:val="10"/>
            </w:pPr>
            <w:r>
              <w:t>项目名称</w:t>
            </w:r>
          </w:p>
        </w:tc>
        <w:tc>
          <w:tcPr>
            <w:tcW w:w="6094" w:type="dxa"/>
            <w:gridSpan w:val="3"/>
            <w:vAlign w:val="center"/>
          </w:tcPr>
          <w:p>
            <w:pPr>
              <w:pStyle w:val="12"/>
            </w:pPr>
            <w:r>
              <w:t>审计业务费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审计业务费，用于审计工作开展经费。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 xml:space="preserve">1.通过审计，维护国家财政经济秩序，促进廉政建设，保障国民经济健康发展。  </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审计业务完成数量</w:t>
            </w:r>
          </w:p>
        </w:tc>
        <w:tc>
          <w:tcPr>
            <w:tcW w:w="5386" w:type="dxa"/>
            <w:vAlign w:val="center"/>
          </w:tcPr>
          <w:p>
            <w:pPr>
              <w:pStyle w:val="12"/>
            </w:pPr>
            <w:r>
              <w:t>审计业务完成数量</w:t>
            </w:r>
          </w:p>
          <w:p>
            <w:pPr>
              <w:pStyle w:val="12"/>
            </w:pPr>
          </w:p>
        </w:tc>
        <w:tc>
          <w:tcPr>
            <w:tcW w:w="2268" w:type="dxa"/>
            <w:vAlign w:val="center"/>
          </w:tcPr>
          <w:p>
            <w:pPr>
              <w:pStyle w:val="12"/>
            </w:pPr>
            <w:r>
              <w:t>≥5个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审计项目报告合格率</w:t>
            </w:r>
          </w:p>
        </w:tc>
        <w:tc>
          <w:tcPr>
            <w:tcW w:w="5386" w:type="dxa"/>
            <w:vAlign w:val="center"/>
          </w:tcPr>
          <w:p>
            <w:pPr>
              <w:pStyle w:val="12"/>
            </w:pPr>
            <w:r>
              <w:t>合格的审计报告占审计报告总数的比例</w:t>
            </w:r>
          </w:p>
          <w:p>
            <w:pPr>
              <w:pStyle w:val="12"/>
            </w:pP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审计业务完成及时性</w:t>
            </w:r>
          </w:p>
        </w:tc>
        <w:tc>
          <w:tcPr>
            <w:tcW w:w="5386" w:type="dxa"/>
            <w:vAlign w:val="center"/>
          </w:tcPr>
          <w:p>
            <w:pPr>
              <w:pStyle w:val="12"/>
            </w:pPr>
            <w:r>
              <w:t>按时保质保量完成全年审计项目</w:t>
            </w:r>
          </w:p>
          <w:p>
            <w:pPr>
              <w:pStyle w:val="12"/>
            </w:pPr>
          </w:p>
        </w:tc>
        <w:tc>
          <w:tcPr>
            <w:tcW w:w="2268" w:type="dxa"/>
            <w:vAlign w:val="center"/>
          </w:tcPr>
          <w:p>
            <w:pPr>
              <w:pStyle w:val="12"/>
            </w:pPr>
            <w:r>
              <w:t>12月完成所有年度审计计划</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根据开展业务范围，严格控制成本</w:t>
            </w:r>
          </w:p>
        </w:tc>
        <w:tc>
          <w:tcPr>
            <w:tcW w:w="2268" w:type="dxa"/>
            <w:vAlign w:val="center"/>
          </w:tcPr>
          <w:p>
            <w:pPr>
              <w:pStyle w:val="12"/>
            </w:pPr>
            <w:r>
              <w:t>实际支出</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问题整改率</w:t>
            </w:r>
          </w:p>
        </w:tc>
        <w:tc>
          <w:tcPr>
            <w:tcW w:w="5386" w:type="dxa"/>
            <w:vAlign w:val="center"/>
          </w:tcPr>
          <w:p>
            <w:pPr>
              <w:pStyle w:val="12"/>
            </w:pPr>
            <w:r>
              <w:t>已整改问题数量占发现问题总数的比率</w:t>
            </w:r>
          </w:p>
          <w:p>
            <w:pPr>
              <w:pStyle w:val="12"/>
            </w:pPr>
          </w:p>
        </w:tc>
        <w:tc>
          <w:tcPr>
            <w:tcW w:w="2268" w:type="dxa"/>
            <w:vAlign w:val="center"/>
          </w:tcPr>
          <w:p>
            <w:pPr>
              <w:pStyle w:val="12"/>
            </w:pPr>
            <w:r>
              <w:t>≥90%</w:t>
            </w:r>
          </w:p>
        </w:tc>
        <w:tc>
          <w:tcPr>
            <w:tcW w:w="1276" w:type="dxa"/>
            <w:vAlign w:val="center"/>
          </w:tcPr>
          <w:p>
            <w:pPr>
              <w:pStyle w:val="12"/>
            </w:pPr>
            <w:r>
              <w:t>审计整改台账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审计报告征求意见</w:t>
            </w:r>
          </w:p>
        </w:tc>
        <w:tc>
          <w:tcPr>
            <w:tcW w:w="5386" w:type="dxa"/>
            <w:vAlign w:val="center"/>
          </w:tcPr>
          <w:p>
            <w:pPr>
              <w:pStyle w:val="12"/>
            </w:pPr>
            <w:r>
              <w:t>征求被审计单位对审计报告的意见反馈情况</w:t>
            </w:r>
          </w:p>
          <w:p>
            <w:pPr>
              <w:pStyle w:val="12"/>
            </w:pPr>
          </w:p>
        </w:tc>
        <w:tc>
          <w:tcPr>
            <w:tcW w:w="2268" w:type="dxa"/>
            <w:vAlign w:val="center"/>
          </w:tcPr>
          <w:p>
            <w:pPr>
              <w:pStyle w:val="12"/>
            </w:pPr>
            <w:r>
              <w:t>≥90%</w:t>
            </w:r>
          </w:p>
        </w:tc>
        <w:tc>
          <w:tcPr>
            <w:tcW w:w="1276" w:type="dxa"/>
            <w:vAlign w:val="center"/>
          </w:tcPr>
          <w:p>
            <w:pPr>
              <w:pStyle w:val="12"/>
            </w:pPr>
            <w:r>
              <w:t>征求意见稿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4、网络运行维护费绩效目标表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13010924P00000211513R</w:t>
            </w:r>
          </w:p>
        </w:tc>
        <w:tc>
          <w:tcPr>
            <w:tcW w:w="2835" w:type="dxa"/>
            <w:vAlign w:val="center"/>
          </w:tcPr>
          <w:p>
            <w:pPr>
              <w:pStyle w:val="10"/>
            </w:pPr>
            <w:r>
              <w:t>项目名称</w:t>
            </w:r>
          </w:p>
        </w:tc>
        <w:tc>
          <w:tcPr>
            <w:tcW w:w="6094" w:type="dxa"/>
            <w:gridSpan w:val="3"/>
            <w:vAlign w:val="center"/>
          </w:tcPr>
          <w:p>
            <w:pPr>
              <w:pStyle w:val="12"/>
            </w:pPr>
            <w:r>
              <w:t>网络运行维护费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用于审计网络运行维护。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1.通过网络建设，提高审计效率。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办公自动化覆盖数</w:t>
            </w:r>
          </w:p>
        </w:tc>
        <w:tc>
          <w:tcPr>
            <w:tcW w:w="5386" w:type="dxa"/>
            <w:vAlign w:val="center"/>
          </w:tcPr>
          <w:p>
            <w:pPr>
              <w:pStyle w:val="12"/>
            </w:pPr>
            <w:r>
              <w:t>办公自动化实际数量</w:t>
            </w:r>
          </w:p>
        </w:tc>
        <w:tc>
          <w:tcPr>
            <w:tcW w:w="2268" w:type="dxa"/>
            <w:vAlign w:val="center"/>
          </w:tcPr>
          <w:p>
            <w:pPr>
              <w:pStyle w:val="12"/>
            </w:pPr>
            <w:r>
              <w:t>≥20个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办公自动化覆盖率</w:t>
            </w:r>
          </w:p>
        </w:tc>
        <w:tc>
          <w:tcPr>
            <w:tcW w:w="5386" w:type="dxa"/>
            <w:vAlign w:val="center"/>
          </w:tcPr>
          <w:p>
            <w:pPr>
              <w:pStyle w:val="12"/>
            </w:pPr>
            <w:r>
              <w:t>办公自动化覆盖范围占应覆盖范围</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tc>
        <w:tc>
          <w:tcPr>
            <w:tcW w:w="5386" w:type="dxa"/>
            <w:vAlign w:val="center"/>
          </w:tcPr>
          <w:p>
            <w:pPr>
              <w:pStyle w:val="12"/>
            </w:pPr>
            <w:r>
              <w:t>及时处理网络相关费用</w:t>
            </w:r>
          </w:p>
        </w:tc>
        <w:tc>
          <w:tcPr>
            <w:tcW w:w="2268" w:type="dxa"/>
            <w:vAlign w:val="center"/>
          </w:tcPr>
          <w:p>
            <w:pPr>
              <w:pStyle w:val="12"/>
            </w:pPr>
            <w:r>
              <w:t>按季度完成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审计能力提升情况</w:t>
            </w:r>
          </w:p>
        </w:tc>
        <w:tc>
          <w:tcPr>
            <w:tcW w:w="5386" w:type="dxa"/>
            <w:vAlign w:val="center"/>
          </w:tcPr>
          <w:p>
            <w:pPr>
              <w:pStyle w:val="12"/>
            </w:pPr>
            <w:r>
              <w:t>审计效率提高，维护国家财政经济秩序，促进廉政建设。</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业务人员满意度</w:t>
            </w:r>
          </w:p>
        </w:tc>
        <w:tc>
          <w:tcPr>
            <w:tcW w:w="5386" w:type="dxa"/>
            <w:vAlign w:val="center"/>
          </w:tcPr>
          <w:p>
            <w:pPr>
              <w:pStyle w:val="12"/>
            </w:pPr>
            <w:r>
              <w:t>通过调查，反映满意的用户数占调查数比例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5、政府投资项目跟踪审计、聘请专业参与国家建设项目审计业务绩效目标表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13010924P00000211514D</w:t>
            </w:r>
          </w:p>
        </w:tc>
        <w:tc>
          <w:tcPr>
            <w:tcW w:w="2835" w:type="dxa"/>
            <w:vAlign w:val="center"/>
          </w:tcPr>
          <w:p>
            <w:pPr>
              <w:pStyle w:val="10"/>
            </w:pPr>
            <w:r>
              <w:t>项目名称</w:t>
            </w:r>
          </w:p>
        </w:tc>
        <w:tc>
          <w:tcPr>
            <w:tcW w:w="6094" w:type="dxa"/>
            <w:gridSpan w:val="3"/>
            <w:vAlign w:val="center"/>
          </w:tcPr>
          <w:p>
            <w:pPr>
              <w:pStyle w:val="12"/>
            </w:pPr>
            <w:r>
              <w:t>政府投资项目跟踪审计、聘请专业参与国家建设项目审计业务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用于政府投资项目跟踪审计工作。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1.聘请第三方机构和专业人员进行专项跟踪审计，促进廉政建设，保障国民经济健康发展。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计划开展项目审计数量</w:t>
            </w:r>
          </w:p>
        </w:tc>
        <w:tc>
          <w:tcPr>
            <w:tcW w:w="5386" w:type="dxa"/>
            <w:vAlign w:val="center"/>
          </w:tcPr>
          <w:p>
            <w:pPr>
              <w:pStyle w:val="12"/>
            </w:pPr>
            <w:r>
              <w:t>计划委托第三方机构对国家建设项目进行审计的年初计划数</w:t>
            </w:r>
          </w:p>
        </w:tc>
        <w:tc>
          <w:tcPr>
            <w:tcW w:w="2268" w:type="dxa"/>
            <w:vAlign w:val="center"/>
          </w:tcPr>
          <w:p>
            <w:pPr>
              <w:pStyle w:val="12"/>
            </w:pPr>
            <w:r>
              <w:t>≥3个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审计项目报告合格率</w:t>
            </w:r>
          </w:p>
        </w:tc>
        <w:tc>
          <w:tcPr>
            <w:tcW w:w="5386" w:type="dxa"/>
            <w:vAlign w:val="center"/>
          </w:tcPr>
          <w:p>
            <w:pPr>
              <w:pStyle w:val="12"/>
            </w:pPr>
            <w:r>
              <w:t>合格的审计报告占审计报告总数的比例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按时完成审计项目</w:t>
            </w:r>
          </w:p>
        </w:tc>
        <w:tc>
          <w:tcPr>
            <w:tcW w:w="5386" w:type="dxa"/>
            <w:vAlign w:val="center"/>
          </w:tcPr>
          <w:p>
            <w:pPr>
              <w:pStyle w:val="12"/>
            </w:pPr>
            <w:r>
              <w:t>按时保质保量完成审计项目</w:t>
            </w:r>
          </w:p>
        </w:tc>
        <w:tc>
          <w:tcPr>
            <w:tcW w:w="2268" w:type="dxa"/>
            <w:vAlign w:val="center"/>
          </w:tcPr>
          <w:p>
            <w:pPr>
              <w:pStyle w:val="12"/>
            </w:pPr>
            <w:r>
              <w:t>12月完成全部审计计划</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审计能力提升情况</w:t>
            </w:r>
          </w:p>
        </w:tc>
        <w:tc>
          <w:tcPr>
            <w:tcW w:w="5386" w:type="dxa"/>
            <w:vAlign w:val="center"/>
          </w:tcPr>
          <w:p>
            <w:pPr>
              <w:pStyle w:val="12"/>
            </w:pPr>
            <w:r>
              <w:t>审计效率提高，维护国家财政经济秩序，促进廉政建设。</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审计建议采纳率</w:t>
            </w:r>
          </w:p>
        </w:tc>
        <w:tc>
          <w:tcPr>
            <w:tcW w:w="5386" w:type="dxa"/>
            <w:vAlign w:val="center"/>
          </w:tcPr>
          <w:p>
            <w:pPr>
              <w:pStyle w:val="12"/>
            </w:pPr>
            <w:r>
              <w:t>被采纳的审计建议占全部审计建议的比例</w:t>
            </w:r>
          </w:p>
        </w:tc>
        <w:tc>
          <w:tcPr>
            <w:tcW w:w="2268" w:type="dxa"/>
            <w:vAlign w:val="center"/>
          </w:tcPr>
          <w:p>
            <w:pPr>
              <w:pStyle w:val="12"/>
            </w:pPr>
            <w:r>
              <w:t>≥90%</w:t>
            </w:r>
          </w:p>
        </w:tc>
        <w:tc>
          <w:tcPr>
            <w:tcW w:w="1276" w:type="dxa"/>
            <w:vAlign w:val="center"/>
          </w:tcPr>
          <w:p>
            <w:pPr>
              <w:pStyle w:val="12"/>
            </w:pPr>
            <w:r>
              <w:t>征求意见稿</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319001石家庄市藁城区审计局本级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石家庄市藁城区审计局本级上年末固定资产金额为32.63万元（详见下表）。本年度拟购置固定资产总额为0.00万元，已按要求列入政府采购预算，详见政府采购预算表。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319001石家庄市藁城区审计局本级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140</w:t>
            </w:r>
          </w:p>
        </w:tc>
        <w:tc>
          <w:tcPr>
            <w:tcW w:w="2835" w:type="dxa"/>
            <w:vAlign w:val="center"/>
          </w:tcPr>
          <w:p>
            <w:pPr>
              <w:pStyle w:val="11"/>
            </w:pPr>
            <w:r>
              <w:t>32.63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mJlMjI0N2MzYmZmM2JhNjQ2NWYxYjg4MGQ4NzU5ZDQifQ=="/>
  </w:docVars>
  <w:rsids>
    <w:rsidRoot w:val="00000000"/>
    <w:rsid w:val="0D5F5E5E"/>
    <w:rsid w:val="16795396"/>
    <w:rsid w:val="4F31388C"/>
    <w:rsid w:val="7D2C307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2024-02-29T14:20:57Z</dcterms:created>
  <dcterms:modified xsi:type="dcterms:W3CDTF">2024-02-29T06:20:57Z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2024-02-29T14:20:58Z</dcterms:created>
  <dcterms:modified xsi:type="dcterms:W3CDTF">2024-02-29T06:20:58Z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2024-02-29T14:20:57Z</dcterms:created>
  <dcterms:modified xsi:type="dcterms:W3CDTF">2024-02-29T06:20:57Z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2024-02-29T14:20:57Z</dcterms:created>
  <dcterms:modified xsi:type="dcterms:W3CDTF">2024-02-29T06:20:57Z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2024-02-29T14:20:11Z</dcterms:created>
  <dcterms:modified xsi:type="dcterms:W3CDTF">2024-02-29T06:20:11Z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2024-02-29T14:20:56Z</dcterms:created>
  <dcterms:modified xsi:type="dcterms:W3CDTF">2024-02-29T06:20:56Z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2024-02-29T14:20:56Z</dcterms:created>
  <dcterms:modified xsi:type="dcterms:W3CDTF">2024-02-29T06:20:56Z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2024-02-29T14:20:15Z</dcterms:created>
  <dcterms:modified xsi:type="dcterms:W3CDTF">2024-02-29T06:20:15Z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d0b3da0-9a46-45c5-ac34-95f00b3b6c1c}">
  <ds:schemaRefs/>
</ds:datastoreItem>
</file>

<file path=customXml/itemProps10.xml><?xml version="1.0" encoding="utf-8"?>
<ds:datastoreItem xmlns:ds="http://schemas.openxmlformats.org/officeDocument/2006/customXml" ds:itemID="{4f1fa7c9-03e9-4ceb-b510-26cb5a074332}">
  <ds:schemaRefs/>
</ds:datastoreItem>
</file>

<file path=customXml/itemProps11.xml><?xml version="1.0" encoding="utf-8"?>
<ds:datastoreItem xmlns:ds="http://schemas.openxmlformats.org/officeDocument/2006/customXml" ds:itemID="{0a6034ee-72b7-410c-89c5-16b4215dfa9f}">
  <ds:schemaRefs/>
</ds:datastoreItem>
</file>

<file path=customXml/itemProps12.xml><?xml version="1.0" encoding="utf-8"?>
<ds:datastoreItem xmlns:ds="http://schemas.openxmlformats.org/officeDocument/2006/customXml" ds:itemID="{3e39f3f1-6bfe-4240-b945-4d87c8549706}">
  <ds:schemaRefs/>
</ds:datastoreItem>
</file>

<file path=customXml/itemProps13.xml><?xml version="1.0" encoding="utf-8"?>
<ds:datastoreItem xmlns:ds="http://schemas.openxmlformats.org/officeDocument/2006/customXml" ds:itemID="{3209dab4-f06a-4921-828a-5d083df27874}">
  <ds:schemaRefs/>
</ds:datastoreItem>
</file>

<file path=customXml/itemProps14.xml><?xml version="1.0" encoding="utf-8"?>
<ds:datastoreItem xmlns:ds="http://schemas.openxmlformats.org/officeDocument/2006/customXml" ds:itemID="{f5c0a51a-dec9-4989-9ddb-84b5d2132379}">
  <ds:schemaRefs/>
</ds:datastoreItem>
</file>

<file path=customXml/itemProps15.xml><?xml version="1.0" encoding="utf-8"?>
<ds:datastoreItem xmlns:ds="http://schemas.openxmlformats.org/officeDocument/2006/customXml" ds:itemID="{192a6af4-2ffb-4f1e-8c55-af97e451627f}">
  <ds:schemaRefs/>
</ds:datastoreItem>
</file>

<file path=customXml/itemProps16.xml><?xml version="1.0" encoding="utf-8"?>
<ds:datastoreItem xmlns:ds="http://schemas.openxmlformats.org/officeDocument/2006/customXml" ds:itemID="{da485029-5257-46fb-9b4d-12c6af905903}">
  <ds:schemaRefs/>
</ds:datastoreItem>
</file>

<file path=customXml/itemProps2.xml><?xml version="1.0" encoding="utf-8"?>
<ds:datastoreItem xmlns:ds="http://schemas.openxmlformats.org/officeDocument/2006/customXml" ds:itemID="{92615540-a0b8-4c7b-beeb-a0fcd23a1135}">
  <ds:schemaRefs/>
</ds:datastoreItem>
</file>

<file path=customXml/itemProps3.xml><?xml version="1.0" encoding="utf-8"?>
<ds:datastoreItem xmlns:ds="http://schemas.openxmlformats.org/officeDocument/2006/customXml" ds:itemID="{36166d9f-d708-460e-93bf-5be88ec9450e}">
  <ds:schemaRefs/>
</ds:datastoreItem>
</file>

<file path=customXml/itemProps4.xml><?xml version="1.0" encoding="utf-8"?>
<ds:datastoreItem xmlns:ds="http://schemas.openxmlformats.org/officeDocument/2006/customXml" ds:itemID="{5aab7fe0-f469-47bc-b118-e9e9771e63ae}">
  <ds:schemaRefs/>
</ds:datastoreItem>
</file>

<file path=customXml/itemProps5.xml><?xml version="1.0" encoding="utf-8"?>
<ds:datastoreItem xmlns:ds="http://schemas.openxmlformats.org/officeDocument/2006/customXml" ds:itemID="{0bbbc2e6-40f7-4c51-b026-0af4038b5398}">
  <ds:schemaRefs/>
</ds:datastoreItem>
</file>

<file path=customXml/itemProps6.xml><?xml version="1.0" encoding="utf-8"?>
<ds:datastoreItem xmlns:ds="http://schemas.openxmlformats.org/officeDocument/2006/customXml" ds:itemID="{c337ac3e-cbe2-4ebf-aa87-54b5846bdf0e}">
  <ds:schemaRefs/>
</ds:datastoreItem>
</file>

<file path=customXml/itemProps7.xml><?xml version="1.0" encoding="utf-8"?>
<ds:datastoreItem xmlns:ds="http://schemas.openxmlformats.org/officeDocument/2006/customXml" ds:itemID="{530052e1-677e-441a-899f-fc1bde08805b}">
  <ds:schemaRefs/>
</ds:datastoreItem>
</file>

<file path=customXml/itemProps8.xml><?xml version="1.0" encoding="utf-8"?>
<ds:datastoreItem xmlns:ds="http://schemas.openxmlformats.org/officeDocument/2006/customXml" ds:itemID="{ceb16c2f-f6df-4e7f-a3fd-8be02632c2bd}">
  <ds:schemaRefs/>
</ds:datastoreItem>
</file>

<file path=customXml/itemProps9.xml><?xml version="1.0" encoding="utf-8"?>
<ds:datastoreItem xmlns:ds="http://schemas.openxmlformats.org/officeDocument/2006/customXml" ds:itemID="{5072aa12-137a-4621-b374-9f29f43f16b9}">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2024-02-29T14:20:00Z</dcterms:created>
  <dc:creator>Administrator.PCOS-1805141152</dc:creator>
  <cp:lastModifiedBy>左右情缘</cp:lastModifiedBy>
  <dcterms:modified xsi:type="dcterms:W3CDTF">2024-03-01T03:06:00Z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3E8716E8AB2E4D9AB00C81CB3FF7F2B1_13</vt:lpwstr>
  </property>
</Properties>
</file>