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hint="eastAsia" w:ascii="黑体" w:hAnsi="黑体" w:eastAsia="黑体" w:cs="黑体"/>
          <w:sz w:val="36"/>
          <w:szCs w:val="36"/>
          <w:lang w:eastAsia="zh-CN"/>
        </w:rPr>
      </w:pPr>
      <w:r>
        <w:rPr>
          <w:rFonts w:hint="eastAsia" w:ascii="黑体" w:hAnsi="黑体" w:eastAsia="黑体" w:cs="黑体"/>
          <w:sz w:val="36"/>
          <w:szCs w:val="36"/>
          <w:lang w:eastAsia="zh-CN"/>
        </w:rPr>
        <w:t>藁城区兴安镇人民政府</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widowControl/>
        <w:spacing w:line="600" w:lineRule="exact"/>
        <w:jc w:val="left"/>
        <w:rPr>
          <w:rFonts w:hint="eastAsia" w:ascii="黑体" w:hAnsi="黑体" w:eastAsia="黑体" w:cs="黑体"/>
          <w:bCs/>
          <w:sz w:val="32"/>
          <w:szCs w:val="32"/>
          <w:highlight w:val="yellow"/>
        </w:rPr>
      </w:pPr>
    </w:p>
    <w:p>
      <w:pPr>
        <w:widowControl/>
        <w:spacing w:line="600" w:lineRule="exact"/>
        <w:ind w:firstLine="1120" w:firstLineChars="200"/>
        <w:jc w:val="left"/>
        <w:rPr>
          <w:rFonts w:ascii="黑体" w:hAnsi="黑体" w:eastAsia="黑体" w:cs="黑体"/>
          <w:sz w:val="56"/>
          <w:szCs w:val="7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4" w:type="first"/>
          <w:footerReference r:id="rId16" w:type="first"/>
          <w:headerReference r:id="rId13" w:type="default"/>
          <w:footerReference r:id="rId15"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32"/>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627" w:firstLineChars="196"/>
        <w:rPr>
          <w:rFonts w:hint="eastAsia" w:ascii="仿宋" w:hAnsi="仿宋" w:eastAsia="仿宋" w:cs="仿宋"/>
          <w:sz w:val="32"/>
          <w:szCs w:val="32"/>
        </w:rPr>
      </w:pPr>
      <w:r>
        <w:rPr>
          <w:rFonts w:hint="eastAsia" w:ascii="仿宋" w:hAnsi="仿宋" w:eastAsia="仿宋" w:cs="仿宋"/>
          <w:sz w:val="32"/>
          <w:szCs w:val="32"/>
        </w:rPr>
        <w:t>政务管理：依法依规履行机关日常管理职责，确保政府工作正常运行。做好各类突发事件的应急管理工作，确保遇突发事件能够及时有效应对。</w:t>
      </w:r>
    </w:p>
    <w:p>
      <w:pPr>
        <w:ind w:firstLine="640"/>
        <w:rPr>
          <w:rFonts w:hint="eastAsia" w:ascii="仿宋" w:hAnsi="仿宋" w:eastAsia="仿宋" w:cs="仿宋"/>
          <w:sz w:val="32"/>
          <w:szCs w:val="32"/>
        </w:rPr>
      </w:pPr>
      <w:r>
        <w:rPr>
          <w:rFonts w:hint="eastAsia" w:ascii="仿宋" w:hAnsi="仿宋" w:eastAsia="仿宋" w:cs="仿宋"/>
          <w:sz w:val="32"/>
          <w:szCs w:val="32"/>
        </w:rPr>
        <w:t>经济发展：制定经济发展规划，促进民营企业发展，招商引资，发展支柱产业。</w:t>
      </w:r>
    </w:p>
    <w:p>
      <w:pPr>
        <w:ind w:firstLine="640"/>
        <w:rPr>
          <w:rFonts w:hint="eastAsia" w:ascii="仿宋" w:hAnsi="仿宋" w:eastAsia="仿宋" w:cs="仿宋"/>
          <w:sz w:val="32"/>
          <w:szCs w:val="32"/>
        </w:rPr>
      </w:pPr>
      <w:r>
        <w:rPr>
          <w:rFonts w:hint="eastAsia" w:ascii="仿宋" w:hAnsi="仿宋" w:eastAsia="仿宋" w:cs="仿宋"/>
          <w:sz w:val="32"/>
          <w:szCs w:val="32"/>
        </w:rPr>
        <w:t>维护社会稳定和国家安全:提高社会综合治理能力，预防减少不稳定因素的发生，做好信访维稳工作，有效化解不稳定隐患、群体性事件和突发事件。</w:t>
      </w:r>
    </w:p>
    <w:p>
      <w:pPr>
        <w:ind w:firstLine="640"/>
        <w:rPr>
          <w:rFonts w:hint="eastAsia" w:ascii="仿宋" w:hAnsi="仿宋" w:eastAsia="仿宋" w:cs="仿宋"/>
          <w:sz w:val="32"/>
          <w:szCs w:val="32"/>
        </w:rPr>
      </w:pPr>
      <w:r>
        <w:rPr>
          <w:rFonts w:hint="eastAsia" w:ascii="仿宋" w:hAnsi="仿宋" w:eastAsia="仿宋" w:cs="仿宋"/>
          <w:sz w:val="32"/>
          <w:szCs w:val="32"/>
        </w:rPr>
        <w:t>社会救助政策及管理：承担社会救助体系建设，负责农村居民最低生活保障、五保供养、医疗救助。</w:t>
      </w:r>
    </w:p>
    <w:p>
      <w:pPr>
        <w:ind w:firstLine="720" w:firstLineChars="225"/>
        <w:rPr>
          <w:rFonts w:hint="eastAsia" w:ascii="仿宋" w:hAnsi="仿宋" w:eastAsia="仿宋" w:cs="仿宋"/>
          <w:sz w:val="32"/>
          <w:szCs w:val="32"/>
        </w:rPr>
      </w:pPr>
      <w:r>
        <w:rPr>
          <w:rFonts w:hint="eastAsia" w:ascii="仿宋" w:hAnsi="仿宋" w:eastAsia="仿宋" w:cs="仿宋"/>
          <w:sz w:val="32"/>
          <w:szCs w:val="32"/>
        </w:rPr>
        <w:t>加强土地管理：依法依规监督土地使用，配合上级土管部门治理违规使用土地情况</w:t>
      </w:r>
    </w:p>
    <w:p>
      <w:pPr>
        <w:ind w:firstLine="720" w:firstLineChars="225"/>
        <w:rPr>
          <w:rFonts w:hint="eastAsia" w:ascii="仿宋" w:hAnsi="仿宋" w:eastAsia="仿宋" w:cs="仿宋"/>
          <w:sz w:val="32"/>
          <w:szCs w:val="32"/>
        </w:rPr>
      </w:pPr>
      <w:r>
        <w:rPr>
          <w:rFonts w:hint="eastAsia" w:ascii="仿宋" w:hAnsi="仿宋" w:eastAsia="仿宋" w:cs="仿宋"/>
          <w:sz w:val="32"/>
          <w:szCs w:val="32"/>
        </w:rPr>
        <w:t>环境保护与治理：积极配合执法部门依法治理大气、水、土地等污染。</w:t>
      </w:r>
    </w:p>
    <w:p>
      <w:pPr>
        <w:ind w:firstLine="720" w:firstLineChars="225"/>
        <w:rPr>
          <w:rFonts w:hint="eastAsia" w:ascii="仿宋" w:hAnsi="仿宋" w:eastAsia="仿宋" w:cs="仿宋"/>
          <w:sz w:val="32"/>
          <w:szCs w:val="32"/>
        </w:rPr>
      </w:pPr>
      <w:r>
        <w:rPr>
          <w:rFonts w:hint="eastAsia" w:ascii="仿宋" w:hAnsi="仿宋" w:eastAsia="仿宋" w:cs="仿宋"/>
          <w:sz w:val="32"/>
          <w:szCs w:val="32"/>
        </w:rPr>
        <w:t>食品安全管理：配合执法部门依法进行食品安全管理对辖区内食品药品等进行监管。</w:t>
      </w:r>
    </w:p>
    <w:p>
      <w:pPr>
        <w:ind w:firstLine="720" w:firstLineChars="225"/>
        <w:rPr>
          <w:rFonts w:hint="eastAsia" w:ascii="仿宋" w:hAnsi="仿宋" w:eastAsia="仿宋" w:cs="仿宋"/>
          <w:sz w:val="32"/>
          <w:szCs w:val="32"/>
        </w:rPr>
      </w:pPr>
      <w:r>
        <w:rPr>
          <w:rFonts w:hint="eastAsia" w:ascii="仿宋" w:hAnsi="仿宋" w:eastAsia="仿宋" w:cs="仿宋"/>
          <w:sz w:val="32"/>
          <w:szCs w:val="32"/>
        </w:rPr>
        <w:t>安全生产：创新和转变监管方式，构建长效机制，推动企业落实安全生产主体责任，提高企业安全生产管理水平，有效预防和减少各类生产安全事故的发生。</w:t>
      </w:r>
    </w:p>
    <w:p>
      <w:pPr>
        <w:ind w:firstLine="720" w:firstLineChars="225"/>
        <w:rPr>
          <w:rFonts w:hint="eastAsia" w:ascii="仿宋" w:hAnsi="仿宋" w:eastAsia="仿宋" w:cs="仿宋"/>
          <w:sz w:val="32"/>
          <w:szCs w:val="32"/>
        </w:rPr>
      </w:pPr>
      <w:r>
        <w:rPr>
          <w:rFonts w:hint="eastAsia" w:ascii="仿宋" w:hAnsi="仿宋" w:eastAsia="仿宋" w:cs="仿宋"/>
          <w:sz w:val="32"/>
          <w:szCs w:val="32"/>
        </w:rPr>
        <w:t>农村管理及综合改革：农村村容村貌维护提升，保障农村基层党支部和村委会正常运行及业务开展，全面推进农村综合改革提供组织保障</w:t>
      </w:r>
    </w:p>
    <w:p>
      <w:pPr>
        <w:ind w:firstLine="720" w:firstLineChars="225"/>
        <w:rPr>
          <w:rFonts w:hint="eastAsia" w:ascii="仿宋" w:hAnsi="仿宋" w:eastAsia="仿宋" w:cs="仿宋"/>
          <w:sz w:val="32"/>
          <w:szCs w:val="32"/>
        </w:rPr>
      </w:pPr>
      <w:r>
        <w:rPr>
          <w:rFonts w:hint="eastAsia" w:ascii="仿宋" w:hAnsi="仿宋" w:eastAsia="仿宋" w:cs="仿宋"/>
          <w:sz w:val="32"/>
          <w:szCs w:val="32"/>
        </w:rPr>
        <w:t>农业生产：发挥农业科技支撑作用，通过新技术成果的展示，辐射带动全镇适宜区域的农业行业技术推广应用，加强对动植物疫病的控制，建设防灾、减灾体系。</w:t>
      </w:r>
    </w:p>
    <w:p>
      <w:pPr>
        <w:ind w:firstLine="720" w:firstLineChars="225"/>
        <w:rPr>
          <w:rFonts w:hint="eastAsia" w:ascii="仿宋" w:hAnsi="仿宋" w:eastAsia="仿宋" w:cs="仿宋"/>
          <w:sz w:val="32"/>
          <w:szCs w:val="32"/>
        </w:rPr>
      </w:pPr>
      <w:r>
        <w:rPr>
          <w:rFonts w:hint="eastAsia" w:ascii="仿宋" w:hAnsi="仿宋" w:eastAsia="仿宋" w:cs="仿宋"/>
          <w:sz w:val="32"/>
          <w:szCs w:val="32"/>
        </w:rPr>
        <w:t>城镇建设：城乡公共设施建设、美丽乡村建设、创建文明城市，污水处理、垃圾处理、厕所改造、村庄绿化、危房改造、饮水安全、道路硬化、绿化、亮化等，农村面貌改造有效提升。</w:t>
      </w:r>
    </w:p>
    <w:p>
      <w:pPr>
        <w:autoSpaceDE w:val="0"/>
        <w:autoSpaceDN w:val="0"/>
        <w:adjustRightInd w:val="0"/>
        <w:spacing w:after="0" w:line="560" w:lineRule="exact"/>
        <w:ind w:firstLine="640" w:firstLineChars="200"/>
        <w:jc w:val="left"/>
        <w:rPr>
          <w:rFonts w:hint="eastAsia" w:ascii="仿宋_GB2312" w:hAnsi="仿宋" w:eastAsia="仿宋_GB2312"/>
          <w:sz w:val="32"/>
          <w:szCs w:val="32"/>
        </w:rPr>
      </w:pPr>
      <w:r>
        <w:rPr>
          <w:rFonts w:hint="eastAsia" w:ascii="仿宋" w:hAnsi="仿宋" w:eastAsia="仿宋" w:cs="仿宋"/>
          <w:sz w:val="32"/>
          <w:szCs w:val="32"/>
        </w:rPr>
        <w:t>文教卫生：配合教育、科技、文体、卫生等部门搞好义务教育，保障中小学正常运转，普及推广科学技术，做好计生服务宣传计划生育政策，丰富农村文化生活，推行合作医疗。</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个，具体情况如下：</w:t>
      </w:r>
    </w:p>
    <w:tbl>
      <w:tblPr>
        <w:tblStyle w:val="7"/>
        <w:tblpPr w:leftFromText="180" w:rightFromText="180" w:vertAnchor="text" w:horzAnchor="page" w:tblpXSpec="center" w:tblpY="10"/>
        <w:tblOverlap w:val="never"/>
        <w:tblW w:w="957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4296"/>
        <w:gridCol w:w="1633"/>
        <w:gridCol w:w="26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8"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4296"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63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4"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8"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4296" w:type="dxa"/>
            <w:vAlign w:val="top"/>
          </w:tcPr>
          <w:p>
            <w:pPr>
              <w:spacing w:after="0" w:line="560" w:lineRule="exact"/>
              <w:rPr>
                <w:rFonts w:ascii="仿宋_GB2312" w:hAnsi="Calibri" w:eastAsia="仿宋_GB2312" w:cs="ArialUnicodeMS"/>
                <w:kern w:val="0"/>
                <w:sz w:val="28"/>
                <w:szCs w:val="28"/>
              </w:rPr>
            </w:pPr>
            <w:r>
              <w:rPr>
                <w:rFonts w:hint="eastAsia" w:ascii="仿宋_GB2312" w:hAnsi="Cambria" w:eastAsia="仿宋_GB2312" w:cs="ArialUnicodeMS"/>
                <w:kern w:val="0"/>
                <w:sz w:val="28"/>
                <w:szCs w:val="28"/>
                <w:lang w:eastAsia="zh-CN"/>
              </w:rPr>
              <w:t>石家庄市藁城区兴安镇人民政府</w:t>
            </w:r>
            <w:r>
              <w:rPr>
                <w:rFonts w:hint="eastAsia" w:ascii="仿宋_GB2312" w:hAnsi="Cambria" w:eastAsia="仿宋_GB2312" w:cs="ArialUnicodeMS"/>
                <w:kern w:val="0"/>
                <w:sz w:val="28"/>
                <w:szCs w:val="28"/>
              </w:rPr>
              <w:t>(</w:t>
            </w:r>
            <w:r>
              <w:rPr>
                <w:rFonts w:hint="eastAsia" w:ascii="仿宋_GB2312" w:hAnsi="Cambria" w:eastAsia="仿宋_GB2312" w:cs="ArialUnicodeMS"/>
                <w:kern w:val="0"/>
                <w:sz w:val="28"/>
                <w:szCs w:val="28"/>
                <w:lang w:eastAsia="zh-CN"/>
              </w:rPr>
              <w:t>机关</w:t>
            </w:r>
            <w:r>
              <w:rPr>
                <w:rFonts w:hint="eastAsia" w:ascii="仿宋_GB2312" w:hAnsi="Cambria" w:eastAsia="仿宋_GB2312" w:cs="ArialUnicodeMS"/>
                <w:kern w:val="0"/>
                <w:sz w:val="28"/>
                <w:szCs w:val="28"/>
              </w:rPr>
              <w:t>)</w:t>
            </w:r>
          </w:p>
        </w:tc>
        <w:tc>
          <w:tcPr>
            <w:tcW w:w="1633" w:type="dxa"/>
            <w:vAlign w:val="top"/>
          </w:tcPr>
          <w:p>
            <w:pPr>
              <w:spacing w:after="0"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8"/>
                <w:szCs w:val="28"/>
                <w:lang w:eastAsia="zh-CN"/>
              </w:rPr>
              <w:t>行政单位</w:t>
            </w:r>
          </w:p>
        </w:tc>
        <w:tc>
          <w:tcPr>
            <w:tcW w:w="2664" w:type="dxa"/>
            <w:vAlign w:val="top"/>
          </w:tcPr>
          <w:p>
            <w:pPr>
              <w:spacing w:after="0"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8"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4296" w:type="dxa"/>
            <w:vAlign w:val="top"/>
          </w:tcPr>
          <w:p>
            <w:pPr>
              <w:spacing w:after="0" w:line="560" w:lineRule="exact"/>
              <w:rPr>
                <w:rFonts w:hint="eastAsia" w:ascii="仿宋_GB2312" w:hAnsi="Cambria" w:eastAsia="仿宋_GB2312" w:cs="ArialUnicodeMS"/>
                <w:kern w:val="0"/>
                <w:sz w:val="28"/>
                <w:szCs w:val="28"/>
                <w:lang w:val="en-US" w:eastAsia="zh-CN" w:bidi="ar-SA"/>
              </w:rPr>
            </w:pPr>
            <w:r>
              <w:rPr>
                <w:rFonts w:hint="eastAsia" w:ascii="仿宋_GB2312" w:hAnsi="Cambria" w:eastAsia="仿宋_GB2312" w:cs="ArialUnicodeMS"/>
                <w:kern w:val="0"/>
                <w:sz w:val="28"/>
                <w:szCs w:val="28"/>
                <w:lang w:eastAsia="zh-CN"/>
              </w:rPr>
              <w:t>石家庄市藁城区兴安学区（事业）</w:t>
            </w:r>
          </w:p>
        </w:tc>
        <w:tc>
          <w:tcPr>
            <w:tcW w:w="1633" w:type="dxa"/>
            <w:vAlign w:val="top"/>
          </w:tcPr>
          <w:p>
            <w:pPr>
              <w:spacing w:after="0" w:line="560" w:lineRule="exact"/>
              <w:jc w:val="center"/>
              <w:rPr>
                <w:rFonts w:hint="eastAsia" w:ascii="仿宋_GB2312" w:hAnsi="Cambria" w:eastAsia="仿宋_GB2312" w:cs="ArialUnicodeMS"/>
                <w:kern w:val="0"/>
                <w:sz w:val="28"/>
                <w:szCs w:val="28"/>
                <w:lang w:val="en-US" w:eastAsia="zh-CN" w:bidi="ar-SA"/>
              </w:rPr>
            </w:pPr>
            <w:r>
              <w:rPr>
                <w:rFonts w:hint="eastAsia" w:ascii="仿宋_GB2312" w:hAnsi="Cambria" w:eastAsia="仿宋_GB2312" w:cs="ArialUnicodeMS"/>
                <w:kern w:val="0"/>
                <w:sz w:val="28"/>
                <w:szCs w:val="28"/>
                <w:lang w:eastAsia="zh-CN"/>
              </w:rPr>
              <w:t>参公事业单位</w:t>
            </w:r>
          </w:p>
        </w:tc>
        <w:tc>
          <w:tcPr>
            <w:tcW w:w="2664" w:type="dxa"/>
            <w:vAlign w:val="top"/>
          </w:tcPr>
          <w:p>
            <w:pPr>
              <w:spacing w:after="0" w:line="560" w:lineRule="exact"/>
              <w:jc w:val="center"/>
              <w:rPr>
                <w:rFonts w:hint="default" w:ascii="仿宋_GB2312" w:hAnsi="Cambria" w:eastAsia="仿宋_GB2312" w:cs="ArialUnicodeMS"/>
                <w:kern w:val="0"/>
                <w:sz w:val="28"/>
                <w:szCs w:val="28"/>
                <w:lang w:val="en-US" w:eastAsia="zh-CN" w:bidi="ar-SA"/>
              </w:rPr>
            </w:pPr>
            <w:r>
              <w:rPr>
                <w:rFonts w:hint="eastAsia" w:ascii="仿宋_GB2312" w:hAnsi="Cambria" w:eastAsia="仿宋_GB2312" w:cs="ArialUnicodeMS"/>
                <w:kern w:val="0"/>
                <w:sz w:val="28"/>
                <w:szCs w:val="28"/>
                <w:lang w:val="en-US"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0" w:hRule="atLeast"/>
          <w:jc w:val="center"/>
        </w:trPr>
        <w:tc>
          <w:tcPr>
            <w:tcW w:w="985" w:type="dxa"/>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c>
          <w:tcPr>
            <w:tcW w:w="4296" w:type="dxa"/>
            <w:tcBorders>
              <w:bottom w:val="single" w:color="auto" w:sz="4" w:space="0"/>
            </w:tcBorders>
          </w:tcPr>
          <w:p>
            <w:pPr>
              <w:spacing w:line="560" w:lineRule="exact"/>
              <w:rPr>
                <w:rFonts w:ascii="仿宋_GB2312" w:hAnsi="Calibri" w:eastAsia="仿宋_GB2312" w:cs="ArialUnicodeMS"/>
                <w:kern w:val="0"/>
                <w:sz w:val="28"/>
                <w:szCs w:val="28"/>
              </w:rPr>
            </w:pPr>
          </w:p>
        </w:tc>
        <w:tc>
          <w:tcPr>
            <w:tcW w:w="1633"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4"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0" w:hRule="atLeast"/>
          <w:jc w:val="center"/>
        </w:trPr>
        <w:tc>
          <w:tcPr>
            <w:tcW w:w="985" w:type="dxa"/>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c>
          <w:tcPr>
            <w:tcW w:w="4296" w:type="dxa"/>
            <w:tcBorders>
              <w:bottom w:val="single" w:color="auto" w:sz="4" w:space="0"/>
            </w:tcBorders>
          </w:tcPr>
          <w:p>
            <w:pPr>
              <w:spacing w:line="560" w:lineRule="exact"/>
              <w:rPr>
                <w:rFonts w:ascii="仿宋_GB2312" w:hAnsi="Calibri" w:eastAsia="仿宋_GB2312" w:cs="ArialUnicodeMS"/>
                <w:kern w:val="0"/>
                <w:sz w:val="28"/>
                <w:szCs w:val="28"/>
              </w:rPr>
            </w:pPr>
          </w:p>
        </w:tc>
        <w:tc>
          <w:tcPr>
            <w:tcW w:w="1633"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4"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0" w:hRule="atLeast"/>
          <w:jc w:val="center"/>
        </w:trPr>
        <w:tc>
          <w:tcPr>
            <w:tcW w:w="9578"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9" w:type="first"/>
          <w:headerReference r:id="rId17" w:type="default"/>
          <w:footerReference r:id="rId18"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20"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0528"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0528;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3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eastAsia="仿宋_GB2312" w:cs="DengXian-Regular"/>
          <w:sz w:val="32"/>
          <w:szCs w:val="32"/>
          <w:lang w:val="en-US" w:eastAsia="zh-CN"/>
        </w:rPr>
        <w:t>6617.928413</w:t>
      </w:r>
      <w:r>
        <w:rPr>
          <w:rFonts w:hint="eastAsia" w:ascii="仿宋_GB2312" w:hAnsi="Times New Roman" w:eastAsia="仿宋_GB2312" w:cs="DengXian-Regular"/>
          <w:sz w:val="32"/>
          <w:szCs w:val="32"/>
        </w:rPr>
        <w:t>万元。与2018年度决算相比，收支各减少</w:t>
      </w:r>
      <w:r>
        <w:rPr>
          <w:rFonts w:hint="eastAsia" w:ascii="仿宋_GB2312" w:eastAsia="仿宋_GB2312" w:cs="DengXian-Regular"/>
          <w:sz w:val="32"/>
          <w:szCs w:val="32"/>
          <w:lang w:val="en-US" w:eastAsia="zh-CN"/>
        </w:rPr>
        <w:t>462.431587</w:t>
      </w:r>
      <w:r>
        <w:rPr>
          <w:rFonts w:hint="eastAsia" w:ascii="仿宋_GB2312" w:hAnsi="Times New Roman" w:eastAsia="仿宋_GB2312" w:cs="DengXian-Regular"/>
          <w:sz w:val="32"/>
          <w:szCs w:val="32"/>
        </w:rPr>
        <w:t>万元，下降</w:t>
      </w:r>
      <w:r>
        <w:rPr>
          <w:rFonts w:hint="eastAsia" w:ascii="仿宋_GB2312" w:eastAsia="仿宋_GB2312" w:cs="DengXian-Regular"/>
          <w:sz w:val="32"/>
          <w:szCs w:val="32"/>
          <w:lang w:val="en-US" w:eastAsia="zh-CN"/>
        </w:rPr>
        <w:t>6.53</w:t>
      </w:r>
      <w:r>
        <w:rPr>
          <w:rFonts w:hint="eastAsia" w:ascii="仿宋_GB2312" w:hAnsi="Times New Roman" w:eastAsia="仿宋_GB2312" w:cs="DengXian-Regular"/>
          <w:sz w:val="32"/>
          <w:szCs w:val="32"/>
        </w:rPr>
        <w:t>%，主要原因是</w:t>
      </w:r>
      <w:r>
        <w:rPr>
          <w:rFonts w:hint="eastAsia" w:ascii="仿宋_GB2312" w:eastAsia="仿宋_GB2312" w:cs="DengXian-Regular"/>
          <w:sz w:val="32"/>
          <w:szCs w:val="32"/>
          <w:lang w:eastAsia="zh-CN"/>
        </w:rPr>
        <w:t>人员调整、人员经费减少</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本部门2019年度本年收入合计</w:t>
      </w:r>
      <w:r>
        <w:rPr>
          <w:rFonts w:hint="eastAsia" w:ascii="仿宋_GB2312" w:eastAsia="仿宋_GB2312" w:cs="DengXian-Regular"/>
          <w:sz w:val="32"/>
          <w:szCs w:val="32"/>
          <w:lang w:val="en-US" w:eastAsia="zh-CN"/>
        </w:rPr>
        <w:t>6617.928413</w:t>
      </w:r>
      <w:r>
        <w:rPr>
          <w:rFonts w:hint="eastAsia" w:ascii="仿宋_GB2312" w:hAnsi="Times New Roman" w:eastAsia="仿宋_GB2312" w:cs="DengXian-Regular"/>
          <w:sz w:val="32"/>
          <w:szCs w:val="32"/>
        </w:rPr>
        <w:t>万元，其中：财政拨款收入</w:t>
      </w:r>
      <w:r>
        <w:rPr>
          <w:rFonts w:hint="eastAsia" w:ascii="仿宋_GB2312" w:eastAsia="仿宋_GB2312" w:cs="DengXian-Regular"/>
          <w:sz w:val="32"/>
          <w:szCs w:val="32"/>
          <w:lang w:val="en-US" w:eastAsia="zh-CN"/>
        </w:rPr>
        <w:t>6617.928413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keepNext/>
        <w:keepLines/>
        <w:pageBreakBefore w:val="0"/>
        <w:widowControl w:val="0"/>
        <w:kinsoku/>
        <w:wordWrap/>
        <w:overflowPunct/>
        <w:topLinePunct w:val="0"/>
        <w:autoSpaceDE/>
        <w:autoSpaceDN/>
        <w:bidi w:val="0"/>
        <w:adjustRightInd/>
        <w:snapToGrid w:val="0"/>
        <w:spacing w:line="240" w:lineRule="auto"/>
        <w:ind w:firstLine="640" w:firstLineChars="200"/>
        <w:textAlignment w:val="auto"/>
        <w:outlineLvl w:val="1"/>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inline distT="0" distB="0" distL="114300" distR="114300">
            <wp:extent cx="5080000" cy="3810000"/>
            <wp:effectExtent l="4445" t="4445" r="20955" b="14605"/>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年度本年支出合计</w:t>
      </w:r>
      <w:r>
        <w:rPr>
          <w:rFonts w:hint="eastAsia" w:ascii="仿宋_GB2312" w:eastAsia="仿宋_GB2312" w:cs="DengXian-Regular"/>
          <w:sz w:val="32"/>
          <w:szCs w:val="32"/>
          <w:lang w:val="en-US" w:eastAsia="zh-CN"/>
        </w:rPr>
        <w:t>6617.928413</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4878.318413</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73.71</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1739.61</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w:t>
      </w:r>
      <w:r>
        <w:rPr>
          <w:rFonts w:hint="eastAsia" w:ascii="仿宋_GB2312" w:eastAsia="仿宋_GB2312" w:cs="DengXian-Regular"/>
          <w:sz w:val="32"/>
          <w:szCs w:val="32"/>
        </w:rPr>
        <w:t>占</w:t>
      </w:r>
      <w:r>
        <w:rPr>
          <w:rFonts w:hint="eastAsia" w:ascii="仿宋_GB2312" w:eastAsia="仿宋_GB2312" w:cs="DengXian-Regular"/>
          <w:sz w:val="32"/>
          <w:szCs w:val="32"/>
          <w:lang w:val="en-US" w:eastAsia="zh-CN"/>
        </w:rPr>
        <w:t>26.29</w:t>
      </w:r>
      <w:r>
        <w:rPr>
          <w:rFonts w:hint="eastAsia" w:ascii="仿宋_GB2312" w:eastAsia="仿宋_GB2312" w:cs="DengXian-Regular"/>
          <w:sz w:val="32"/>
          <w:szCs w:val="32"/>
        </w:rPr>
        <w:t>%。</w:t>
      </w:r>
    </w:p>
    <w:p>
      <w:pPr>
        <w:keepNext w:val="0"/>
        <w:keepLines w:val="0"/>
        <w:pageBreakBefore w:val="0"/>
        <w:widowControl w:val="0"/>
        <w:kinsoku/>
        <w:wordWrap/>
        <w:overflowPunct/>
        <w:topLinePunct w:val="0"/>
        <w:autoSpaceDE/>
        <w:autoSpaceDN/>
        <w:bidi w:val="0"/>
        <w:adjustRightInd w:val="0"/>
        <w:snapToGrid w:val="0"/>
        <w:spacing w:line="240" w:lineRule="auto"/>
        <w:ind w:firstLine="1920" w:firstLineChars="600"/>
        <w:textAlignment w:val="auto"/>
        <w:rPr>
          <w:rFonts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drawing>
          <wp:inline distT="0" distB="0" distL="114300" distR="114300">
            <wp:extent cx="3657600" cy="2552700"/>
            <wp:effectExtent l="0" t="0" r="0" b="0"/>
            <wp:docPr id="32" name="图片 32"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图片1"/>
                    <pic:cNvPicPr>
                      <a:picLocks noChangeAspect="1"/>
                    </pic:cNvPicPr>
                  </pic:nvPicPr>
                  <pic:blipFill>
                    <a:blip r:embed="rId34"/>
                    <a:stretch>
                      <a:fillRect/>
                    </a:stretch>
                  </pic:blipFill>
                  <pic:spPr>
                    <a:xfrm>
                      <a:off x="0" y="0"/>
                      <a:ext cx="3657600" cy="2552700"/>
                    </a:xfrm>
                    <a:prstGeom prst="rect">
                      <a:avLst/>
                    </a:prstGeom>
                  </pic:spPr>
                </pic:pic>
              </a:graphicData>
            </a:graphic>
          </wp:inline>
        </w:drawing>
      </w:r>
    </w:p>
    <w:p>
      <w:pPr>
        <w:keepNext/>
        <w:keepLines/>
        <w:pageBreakBefore w:val="0"/>
        <w:widowControl w:val="0"/>
        <w:kinsoku/>
        <w:wordWrap/>
        <w:overflowPunct/>
        <w:topLinePunct w:val="0"/>
        <w:autoSpaceDE/>
        <w:autoSpaceDN/>
        <w:bidi w:val="0"/>
        <w:adjustRightInd/>
        <w:snapToGrid w:val="0"/>
        <w:spacing w:line="240" w:lineRule="auto"/>
        <w:ind w:firstLine="643" w:firstLineChars="200"/>
        <w:textAlignment w:val="auto"/>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outlineLvl w:val="1"/>
        <w:rPr>
          <w:rFonts w:hint="eastAsia" w:ascii="黑体" w:hAnsi="Calibri" w:eastAsia="黑体" w:cs="Times New Roman"/>
          <w:sz w:val="32"/>
          <w:szCs w:val="32"/>
        </w:rPr>
      </w:pPr>
    </w:p>
    <w:p>
      <w:pPr>
        <w:keepNext/>
        <w:keepLines/>
        <w:snapToGrid w:val="0"/>
        <w:spacing w:line="580" w:lineRule="exact"/>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keepNext w:val="0"/>
        <w:keepLines w:val="0"/>
        <w:pageBreakBefore w:val="0"/>
        <w:widowControl w:val="0"/>
        <w:kinsoku/>
        <w:wordWrap/>
        <w:overflowPunct/>
        <w:topLinePunct w:val="0"/>
        <w:autoSpaceDE/>
        <w:autoSpaceDN/>
        <w:bidi w:val="0"/>
        <w:adjustRightInd/>
        <w:snapToGrid w:val="0"/>
        <w:spacing w:line="520" w:lineRule="exact"/>
        <w:ind w:firstLine="640" w:firstLineChars="200"/>
        <w:textAlignment w:val="auto"/>
        <w:rPr>
          <w:rFonts w:hint="eastAsia" w:ascii="仿宋_GB2312" w:eastAsia="仿宋_GB2312" w:cs="DengXian-Regular"/>
          <w:sz w:val="32"/>
          <w:szCs w:val="32"/>
          <w:lang w:eastAsia="zh-CN"/>
        </w:rPr>
      </w:pP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年度形成的财政拨款收支均为一般公共预算财政拨款，其中一般公共预算财政拨款本年收入</w:t>
      </w:r>
      <w:r>
        <w:rPr>
          <w:rFonts w:hint="eastAsia" w:ascii="仿宋_GB2312" w:eastAsia="仿宋_GB2312" w:cs="DengXian-Regular"/>
          <w:sz w:val="32"/>
          <w:szCs w:val="32"/>
          <w:lang w:val="en-US" w:eastAsia="zh-CN"/>
        </w:rPr>
        <w:t>6617.928413</w:t>
      </w:r>
      <w:r>
        <w:rPr>
          <w:rFonts w:hint="eastAsia" w:ascii="仿宋_GB2312" w:eastAsia="仿宋_GB2312" w:cs="DengXian-Regular"/>
          <w:sz w:val="32"/>
          <w:szCs w:val="32"/>
        </w:rPr>
        <w:t>万元,比201</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年度</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462.431587</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6.53</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6617.928413</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462.431587</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6.53</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人员调整、人员经费减少。</w:t>
      </w:r>
    </w:p>
    <w:p>
      <w:pPr>
        <w:keepNext w:val="0"/>
        <w:keepLines w:val="0"/>
        <w:pageBreakBefore w:val="0"/>
        <w:widowControl w:val="0"/>
        <w:kinsoku/>
        <w:wordWrap/>
        <w:overflowPunct/>
        <w:topLinePunct w:val="0"/>
        <w:autoSpaceDE/>
        <w:autoSpaceDN/>
        <w:bidi w:val="0"/>
        <w:adjustRightInd w:val="0"/>
        <w:snapToGrid w:val="0"/>
        <w:spacing w:line="240" w:lineRule="auto"/>
        <w:ind w:firstLine="640" w:firstLineChars="200"/>
        <w:textAlignment w:val="auto"/>
        <w:rPr>
          <w:rFonts w:ascii="仿宋_GB2312" w:hAnsi="Times New Roman" w:eastAsia="仿宋_GB2312" w:cs="DengXian-Regular"/>
          <w:sz w:val="32"/>
          <w:szCs w:val="32"/>
          <w:highlight w:val="yellow"/>
        </w:rPr>
      </w:pPr>
      <w:r>
        <w:rPr>
          <w:rFonts w:hint="eastAsia" w:asciiTheme="minorEastAsia" w:hAnsiTheme="minorEastAsia" w:eastAsiaTheme="minorEastAsia"/>
          <w:sz w:val="32"/>
          <w:szCs w:val="32"/>
          <w:lang w:eastAsia="zh-CN"/>
        </w:rPr>
        <w:object>
          <v:shape id="_x0000_i1025" o:spt="75" type="#_x0000_t75" style="height:280.45pt;width:388.85pt;" o:ole="t" filled="f" o:preferrelative="t" stroked="f" coordsize="21600,21600" o:gfxdata="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">
            <v:path/>
            <v:fill on="f" focussize="0,0"/>
            <v:stroke on="f"/>
            <v:imagedata r:id="rId36" o:title=""/>
            <o:lock v:ext="edit" aspectratio="t"/>
            <w10:wrap type="none"/>
            <w10:anchorlock/>
          </v:shape>
          <o:OLEObject Type="Embed" ProgID="Office12.wks.Sheet.8" ShapeID="_x0000_i1025" DrawAspect="Content" ObjectID="_1468075725" r:id="rId35">
            <o:LockedField>false</o:LockedField>
          </o:OLEObject>
        </w:objec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hint="eastAsia" w:ascii="仿宋_GB2312" w:hAnsi="仿宋" w:eastAsia="仿宋_GB2312"/>
          <w:b/>
          <w:sz w:val="32"/>
          <w:szCs w:val="32"/>
        </w:rPr>
      </w:pP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年度一般公共预算财政拨款收入</w:t>
      </w:r>
      <w:r>
        <w:rPr>
          <w:rFonts w:hint="eastAsia" w:ascii="仿宋_GB2312" w:eastAsia="仿宋_GB2312" w:cs="DengXian-Regular"/>
          <w:sz w:val="32"/>
          <w:szCs w:val="32"/>
          <w:lang w:val="en-US" w:eastAsia="zh-CN"/>
        </w:rPr>
        <w:t>6617.928413</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90.72</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677.351587</w:t>
      </w:r>
      <w:r>
        <w:rPr>
          <w:rFonts w:hint="eastAsia" w:ascii="仿宋_GB2312" w:eastAsia="仿宋_GB2312" w:cs="DengXian-Regular"/>
          <w:sz w:val="32"/>
          <w:szCs w:val="32"/>
        </w:rPr>
        <w:t>万元，决算数小于预算数主要原因是</w:t>
      </w:r>
      <w:r>
        <w:rPr>
          <w:rFonts w:hint="eastAsia" w:ascii="仿宋_GB2312" w:eastAsia="仿宋_GB2312" w:cs="DengXian-Regular"/>
          <w:sz w:val="32"/>
          <w:szCs w:val="32"/>
          <w:lang w:eastAsia="zh-CN"/>
        </w:rPr>
        <w:t>压缩开支</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6617.928413</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90.72</w:t>
      </w:r>
      <w:r>
        <w:rPr>
          <w:rFonts w:hint="eastAsia" w:ascii="仿宋_GB2312" w:eastAsia="仿宋_GB2312" w:cs="DengXian-Regular"/>
          <w:sz w:val="32"/>
          <w:szCs w:val="32"/>
        </w:rPr>
        <w:t>%,比年初预算减</w:t>
      </w:r>
      <w:r>
        <w:rPr>
          <w:rFonts w:hint="eastAsia" w:ascii="仿宋_GB2312" w:eastAsia="仿宋_GB2312" w:cs="DengXian-Regular"/>
          <w:sz w:val="32"/>
          <w:szCs w:val="32"/>
          <w:lang w:eastAsia="zh-CN"/>
        </w:rPr>
        <w:t>少</w:t>
      </w:r>
      <w:r>
        <w:rPr>
          <w:rFonts w:hint="eastAsia" w:ascii="仿宋_GB2312" w:eastAsia="仿宋_GB2312" w:cs="DengXian-Regular"/>
          <w:sz w:val="32"/>
          <w:szCs w:val="32"/>
          <w:lang w:val="en-US" w:eastAsia="zh-CN"/>
        </w:rPr>
        <w:t>677.351587</w:t>
      </w:r>
      <w:r>
        <w:rPr>
          <w:rFonts w:hint="eastAsia" w:ascii="仿宋_GB2312" w:eastAsia="仿宋_GB2312" w:cs="DengXian-Regular"/>
          <w:sz w:val="32"/>
          <w:szCs w:val="32"/>
        </w:rPr>
        <w:t>万元，决算数小于预算数主要原因是</w:t>
      </w:r>
      <w:r>
        <w:rPr>
          <w:rFonts w:hint="eastAsia" w:ascii="仿宋_GB2312" w:eastAsia="仿宋_GB2312" w:cs="DengXian-Regular"/>
          <w:sz w:val="32"/>
          <w:szCs w:val="32"/>
          <w:lang w:eastAsia="zh-CN"/>
        </w:rPr>
        <w:t>压缩开支。</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eastAsia="仿宋_GB2312" w:cs="DengXian-Regular"/>
          <w:sz w:val="32"/>
          <w:szCs w:val="32"/>
          <w:lang w:val="en-US" w:eastAsia="zh-CN"/>
        </w:rPr>
        <w:t>6617.928413</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1144.232793万元，</w:t>
      </w:r>
      <w:r>
        <w:rPr>
          <w:rFonts w:hint="eastAsia" w:ascii="仿宋_GB2312" w:hAnsi="Times New Roman" w:eastAsia="仿宋_GB2312" w:cs="DengXian-Regular"/>
          <w:sz w:val="32"/>
          <w:szCs w:val="32"/>
        </w:rPr>
        <w:t>占</w:t>
      </w:r>
      <w:r>
        <w:rPr>
          <w:rFonts w:hint="eastAsia" w:ascii="仿宋_GB2312" w:hAnsi="Times New Roman" w:eastAsia="仿宋_GB2312" w:cs="DengXian-Regular"/>
          <w:sz w:val="32"/>
          <w:szCs w:val="32"/>
          <w:lang w:val="en-US" w:eastAsia="zh-CN"/>
        </w:rPr>
        <w:t>17.29</w:t>
      </w:r>
      <w:r>
        <w:rPr>
          <w:rFonts w:hint="eastAsia" w:ascii="仿宋_GB2312" w:hAnsi="Times New Roman" w:eastAsia="仿宋_GB2312" w:cs="DengXian-Regular"/>
          <w:sz w:val="32"/>
          <w:szCs w:val="32"/>
        </w:rPr>
        <w:t>%，；教育（类）支出</w:t>
      </w:r>
      <w:r>
        <w:rPr>
          <w:rFonts w:hint="eastAsia" w:ascii="仿宋_GB2312" w:hAnsi="Times New Roman" w:eastAsia="仿宋_GB2312" w:cs="DengXian-Regular"/>
          <w:sz w:val="32"/>
          <w:szCs w:val="32"/>
          <w:lang w:val="en-US" w:eastAsia="zh-CN"/>
        </w:rPr>
        <w:t>4080.97087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61.67</w:t>
      </w:r>
      <w:r>
        <w:rPr>
          <w:rFonts w:hint="eastAsia" w:ascii="仿宋_GB2312" w:hAnsi="Times New Roman" w:eastAsia="仿宋_GB2312" w:cs="DengXian-Regular"/>
          <w:sz w:val="32"/>
          <w:szCs w:val="32"/>
        </w:rPr>
        <w:t>%；社会保障和就业（类）支出</w:t>
      </w:r>
      <w:r>
        <w:rPr>
          <w:rFonts w:hint="eastAsia" w:ascii="仿宋_GB2312" w:hAnsi="Times New Roman" w:eastAsia="仿宋_GB2312" w:cs="DengXian-Regular"/>
          <w:sz w:val="32"/>
          <w:szCs w:val="32"/>
          <w:lang w:val="en-US" w:eastAsia="zh-CN"/>
        </w:rPr>
        <w:t>13.2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%；卫生健康支出</w:t>
      </w:r>
      <w:r>
        <w:rPr>
          <w:rFonts w:hint="eastAsia" w:ascii="仿宋_GB2312" w:hAnsi="Times New Roman" w:eastAsia="仿宋_GB2312" w:cs="DengXian-Regular"/>
          <w:sz w:val="32"/>
          <w:szCs w:val="32"/>
          <w:lang w:val="en-US" w:eastAsia="zh-CN"/>
        </w:rPr>
        <w:t>15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0.02</w:t>
      </w:r>
      <w:r>
        <w:rPr>
          <w:rFonts w:hint="eastAsia" w:ascii="仿宋_GB2312" w:hAnsi="Times New Roman" w:eastAsia="仿宋_GB2312" w:cs="DengXian-Regular"/>
          <w:sz w:val="32"/>
          <w:szCs w:val="32"/>
        </w:rPr>
        <w:t>%；节能环保支出</w:t>
      </w:r>
      <w:r>
        <w:rPr>
          <w:rFonts w:hint="eastAsia" w:ascii="仿宋_GB2312" w:hAnsi="Times New Roman" w:eastAsia="仿宋_GB2312" w:cs="DengXian-Regular"/>
          <w:sz w:val="32"/>
          <w:szCs w:val="32"/>
          <w:lang w:val="en-US" w:eastAsia="zh-CN"/>
        </w:rPr>
        <w:t>652.74</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9.8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:；城乡社区支出504.023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7.62</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农林水支出</w:t>
      </w:r>
      <w:r>
        <w:rPr>
          <w:rFonts w:hint="eastAsia" w:ascii="仿宋_GB2312" w:hAnsi="Times New Roman" w:eastAsia="仿宋_GB2312" w:cs="DengXian-Regular"/>
          <w:sz w:val="32"/>
          <w:szCs w:val="32"/>
          <w:lang w:val="en-US" w:eastAsia="zh-CN"/>
        </w:rPr>
        <w:t>207.75875</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3.59</w:t>
      </w:r>
      <w:r>
        <w:rPr>
          <w:rFonts w:hint="eastAsia" w:ascii="仿宋_GB2312" w:hAnsi="Times New Roman" w:eastAsia="仿宋_GB2312" w:cs="DengXian-Regular"/>
          <w:sz w:val="32"/>
          <w:szCs w:val="32"/>
        </w:rPr>
        <w:t>%。</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drawing>
          <wp:inline distT="0" distB="0" distL="114300" distR="114300">
            <wp:extent cx="5080000" cy="3810000"/>
            <wp:effectExtent l="4445" t="4445" r="20955" b="14605"/>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4878.318413</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4715.492917</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162.825496</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keepNext w:val="0"/>
        <w:keepLines w:val="0"/>
        <w:pageBreakBefore w:val="0"/>
        <w:widowControl w:val="0"/>
        <w:kinsoku/>
        <w:wordWrap/>
        <w:overflowPunct/>
        <w:topLinePunct w:val="0"/>
        <w:autoSpaceDE/>
        <w:autoSpaceDN/>
        <w:bidi w:val="0"/>
        <w:adjustRightInd w:val="0"/>
        <w:snapToGrid w:val="0"/>
        <w:spacing w:after="0" w:line="580" w:lineRule="exact"/>
        <w:ind w:firstLine="640" w:firstLineChars="200"/>
        <w:textAlignment w:val="auto"/>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楷体_GB2312" w:eastAsia="楷体_GB2312" w:cs="DengXian-Bold"/>
          <w:b w:val="0"/>
          <w:bCs w:val="0"/>
          <w:sz w:val="32"/>
          <w:szCs w:val="32"/>
          <w:lang w:val="en-US" w:eastAsia="zh-CN"/>
        </w:rPr>
        <w:t>4.08</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75.56</w:t>
      </w:r>
      <w:r>
        <w:rPr>
          <w:rFonts w:hint="eastAsia" w:ascii="仿宋_GB2312" w:hAnsi="Times New Roman" w:eastAsia="仿宋_GB2312" w:cs="DengXian-Regular"/>
          <w:sz w:val="32"/>
          <w:szCs w:val="32"/>
        </w:rPr>
        <w:t>%,</w:t>
      </w:r>
      <w:r>
        <w:rPr>
          <w:rFonts w:hint="eastAsia" w:ascii="仿宋_GB2312" w:eastAsia="仿宋_GB2312" w:cs="DengXian-Regular"/>
          <w:b w:val="0"/>
          <w:bCs w:val="0"/>
          <w:sz w:val="32"/>
          <w:szCs w:val="32"/>
        </w:rPr>
        <w:t>较年初预算减少</w:t>
      </w:r>
      <w:r>
        <w:rPr>
          <w:rFonts w:hint="eastAsia" w:ascii="仿宋_GB2312" w:eastAsia="仿宋_GB2312" w:cs="DengXian-Regular"/>
          <w:b w:val="0"/>
          <w:bCs w:val="0"/>
          <w:sz w:val="32"/>
          <w:szCs w:val="32"/>
          <w:lang w:val="en-US" w:eastAsia="zh-CN"/>
        </w:rPr>
        <w:t>1.32</w:t>
      </w:r>
      <w:r>
        <w:rPr>
          <w:rFonts w:hint="eastAsia" w:ascii="仿宋_GB2312" w:eastAsia="仿宋_GB2312" w:cs="DengXian-Regular"/>
          <w:b w:val="0"/>
          <w:bCs w:val="0"/>
          <w:sz w:val="32"/>
          <w:szCs w:val="32"/>
        </w:rPr>
        <w:t>万元，降低</w:t>
      </w:r>
      <w:r>
        <w:rPr>
          <w:rFonts w:hint="eastAsia" w:ascii="仿宋_GB2312" w:eastAsia="仿宋_GB2312" w:cs="DengXian-Regular"/>
          <w:b w:val="0"/>
          <w:bCs w:val="0"/>
          <w:sz w:val="32"/>
          <w:szCs w:val="32"/>
          <w:lang w:val="en-US" w:eastAsia="zh-CN"/>
        </w:rPr>
        <w:t>24.44</w:t>
      </w:r>
      <w:r>
        <w:rPr>
          <w:rFonts w:hint="eastAsia" w:ascii="仿宋_GB2312" w:eastAsia="仿宋_GB2312" w:cs="DengXian-Regular"/>
          <w:b w:val="0"/>
          <w:bCs w:val="0"/>
          <w:sz w:val="32"/>
          <w:szCs w:val="32"/>
        </w:rPr>
        <w:t>%,主要是</w:t>
      </w:r>
      <w:r>
        <w:rPr>
          <w:rFonts w:hint="eastAsia" w:ascii="仿宋_GB2312" w:eastAsia="仿宋_GB2312" w:cs="DengXian-Regular"/>
          <w:b w:val="0"/>
          <w:bCs w:val="0"/>
          <w:sz w:val="32"/>
          <w:szCs w:val="32"/>
          <w:lang w:val="en-US" w:eastAsia="zh-CN"/>
        </w:rPr>
        <w:t>压缩公务接待费，</w:t>
      </w:r>
      <w:r>
        <w:rPr>
          <w:rFonts w:hint="eastAsia" w:ascii="仿宋_GB2312" w:eastAsia="仿宋_GB2312" w:cs="DengXian-Regular"/>
          <w:b w:val="0"/>
          <w:bCs w:val="0"/>
          <w:sz w:val="32"/>
          <w:szCs w:val="32"/>
          <w:lang w:eastAsia="zh-CN"/>
        </w:rPr>
        <w:t>加强公务用车管理，压缩公务用车</w:t>
      </w:r>
      <w:r>
        <w:rPr>
          <w:rFonts w:hint="eastAsia" w:ascii="仿宋_GB2312" w:eastAsia="仿宋_GB2312" w:cs="DengXian-Regular"/>
          <w:b w:val="0"/>
          <w:bCs w:val="0"/>
          <w:sz w:val="32"/>
          <w:szCs w:val="32"/>
          <w:lang w:val="en-US" w:eastAsia="zh-CN"/>
        </w:rPr>
        <w:t>运行</w:t>
      </w:r>
      <w:r>
        <w:rPr>
          <w:rFonts w:hint="eastAsia" w:ascii="仿宋_GB2312" w:eastAsia="仿宋_GB2312" w:cs="DengXian-Regular"/>
          <w:b w:val="0"/>
          <w:bCs w:val="0"/>
          <w:sz w:val="32"/>
          <w:szCs w:val="32"/>
          <w:lang w:eastAsia="zh-CN"/>
        </w:rPr>
        <w:t>费用支出；</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0.26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主要是车辆老化修理费用增加。</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rPr>
        <w:t>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w:t>
      </w:r>
    </w:p>
    <w:p>
      <w:pPr>
        <w:keepNext w:val="0"/>
        <w:keepLines w:val="0"/>
        <w:pageBreakBefore w:val="0"/>
        <w:widowControl w:val="0"/>
        <w:kinsoku/>
        <w:wordWrap/>
        <w:overflowPunct/>
        <w:topLinePunct w:val="0"/>
        <w:autoSpaceDE/>
        <w:autoSpaceDN/>
        <w:bidi w:val="0"/>
        <w:adjustRightInd w:val="0"/>
        <w:snapToGrid w:val="0"/>
        <w:spacing w:after="0" w:line="580" w:lineRule="exact"/>
        <w:ind w:firstLine="643" w:firstLineChars="200"/>
        <w:textAlignment w:val="auto"/>
        <w:rPr>
          <w:rFonts w:ascii="仿宋_GB2312" w:eastAsia="仿宋_GB2312" w:cs="DengXian-Regular"/>
          <w:b w:val="0"/>
          <w:bCs w:val="0"/>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eastAsia="楷体_GB2312" w:cs="DengXian-Bold"/>
          <w:b w:val="0"/>
          <w:bCs w:val="0"/>
          <w:sz w:val="32"/>
          <w:szCs w:val="32"/>
          <w:lang w:val="en-US" w:eastAsia="zh-CN"/>
        </w:rPr>
        <w:t>4.08</w:t>
      </w:r>
      <w:r>
        <w:rPr>
          <w:rFonts w:hint="eastAsia" w:ascii="楷体_GB2312" w:hAnsi="Times New Roman" w:eastAsia="楷体_GB2312" w:cs="DengXian-Bold"/>
          <w:b/>
          <w:bCs/>
          <w:sz w:val="32"/>
          <w:szCs w:val="32"/>
        </w:rPr>
        <w:t>万元。</w:t>
      </w:r>
      <w:r>
        <w:rPr>
          <w:rFonts w:hint="eastAsia" w:ascii="楷体_GB2312" w:eastAsia="楷体_GB2312" w:cs="DengXian-Bold"/>
          <w:b w:val="0"/>
          <w:bCs w:val="0"/>
          <w:sz w:val="32"/>
          <w:szCs w:val="32"/>
        </w:rPr>
        <w:t>公务用车</w:t>
      </w:r>
      <w:r>
        <w:rPr>
          <w:rFonts w:hint="eastAsia" w:ascii="楷体_GB2312" w:hAnsi="Times New Roman" w:eastAsia="楷体_GB2312" w:cs="DengXian-Bold"/>
          <w:b/>
          <w:bCs/>
          <w:sz w:val="32"/>
          <w:szCs w:val="32"/>
        </w:rPr>
        <w:t>车购置及</w:t>
      </w:r>
      <w:r>
        <w:rPr>
          <w:rFonts w:hint="eastAsia" w:ascii="楷体_GB2312" w:eastAsia="楷体_GB2312" w:cs="DengXian-Bold"/>
          <w:b w:val="0"/>
          <w:bCs w:val="0"/>
          <w:sz w:val="32"/>
          <w:szCs w:val="32"/>
        </w:rPr>
        <w:t>运行维护费支出</w:t>
      </w:r>
      <w:r>
        <w:rPr>
          <w:rFonts w:hint="eastAsia" w:ascii="仿宋_GB2312" w:eastAsia="仿宋_GB2312" w:cs="DengXian-Regular"/>
          <w:b w:val="0"/>
          <w:bCs w:val="0"/>
          <w:sz w:val="32"/>
          <w:szCs w:val="32"/>
        </w:rPr>
        <w:t>较年初预算减少</w:t>
      </w:r>
      <w:r>
        <w:rPr>
          <w:rFonts w:hint="eastAsia" w:ascii="仿宋_GB2312" w:eastAsia="仿宋_GB2312" w:cs="DengXian-Regular"/>
          <w:b w:val="0"/>
          <w:bCs w:val="0"/>
          <w:sz w:val="32"/>
          <w:szCs w:val="32"/>
          <w:lang w:val="en-US" w:eastAsia="zh-CN"/>
        </w:rPr>
        <w:t>0.32</w:t>
      </w:r>
      <w:r>
        <w:rPr>
          <w:rFonts w:hint="eastAsia" w:ascii="仿宋_GB2312" w:eastAsia="仿宋_GB2312" w:cs="DengXian-Regular"/>
          <w:b w:val="0"/>
          <w:bCs w:val="0"/>
          <w:sz w:val="32"/>
          <w:szCs w:val="32"/>
        </w:rPr>
        <w:t>万元，降低</w:t>
      </w:r>
      <w:r>
        <w:rPr>
          <w:rFonts w:hint="eastAsia" w:ascii="仿宋_GB2312" w:eastAsia="仿宋_GB2312" w:cs="DengXian-Regular"/>
          <w:b w:val="0"/>
          <w:bCs w:val="0"/>
          <w:sz w:val="32"/>
          <w:szCs w:val="32"/>
          <w:lang w:val="en-US" w:eastAsia="zh-CN"/>
        </w:rPr>
        <w:t>7.27</w:t>
      </w:r>
      <w:r>
        <w:rPr>
          <w:rFonts w:hint="eastAsia" w:ascii="仿宋_GB2312" w:eastAsia="仿宋_GB2312" w:cs="DengXian-Regular"/>
          <w:b w:val="0"/>
          <w:bCs w:val="0"/>
          <w:sz w:val="32"/>
          <w:szCs w:val="32"/>
        </w:rPr>
        <w:t>%,主要是</w:t>
      </w:r>
      <w:r>
        <w:rPr>
          <w:rFonts w:hint="eastAsia" w:ascii="仿宋_GB2312" w:eastAsia="仿宋_GB2312" w:cs="DengXian-Regular"/>
          <w:b w:val="0"/>
          <w:bCs w:val="0"/>
          <w:sz w:val="32"/>
          <w:szCs w:val="32"/>
          <w:lang w:eastAsia="zh-CN"/>
        </w:rPr>
        <w:t>加强公务用车管理，压缩公务用车费用支出</w:t>
      </w:r>
      <w:r>
        <w:rPr>
          <w:rFonts w:hint="eastAsia" w:ascii="仿宋_GB2312" w:eastAsia="仿宋_GB2312" w:cs="DengXian-Regular"/>
          <w:b w:val="0"/>
          <w:bCs w:val="0"/>
          <w:sz w:val="32"/>
          <w:szCs w:val="32"/>
        </w:rPr>
        <w:t>。</w:t>
      </w:r>
    </w:p>
    <w:p>
      <w:pPr>
        <w:numPr>
          <w:ilvl w:val="0"/>
          <w:numId w:val="0"/>
        </w:numPr>
        <w:adjustRightInd w:val="0"/>
        <w:snapToGrid w:val="0"/>
        <w:spacing w:line="580" w:lineRule="exact"/>
        <w:ind w:firstLine="643"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Bold"/>
          <w:b/>
          <w:bCs/>
          <w:sz w:val="32"/>
          <w:szCs w:val="32"/>
        </w:rPr>
        <w:t>其中：</w:t>
      </w: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未发生公务用车购置。</w:t>
      </w:r>
    </w:p>
    <w:p>
      <w:pPr>
        <w:keepNext w:val="0"/>
        <w:keepLines w:val="0"/>
        <w:pageBreakBefore w:val="0"/>
        <w:widowControl w:val="0"/>
        <w:kinsoku/>
        <w:wordWrap/>
        <w:overflowPunct/>
        <w:topLinePunct w:val="0"/>
        <w:autoSpaceDE/>
        <w:autoSpaceDN/>
        <w:bidi w:val="0"/>
        <w:adjustRightInd w:val="0"/>
        <w:snapToGrid w:val="0"/>
        <w:spacing w:after="0" w:line="580" w:lineRule="exact"/>
        <w:ind w:firstLine="643" w:firstLineChars="200"/>
        <w:textAlignment w:val="auto"/>
        <w:rPr>
          <w:rFonts w:ascii="仿宋_GB2312" w:eastAsia="仿宋_GB2312" w:cs="DengXian-Regular"/>
          <w:b w:val="0"/>
          <w:bCs w:val="0"/>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辆。公车运行维护费支出</w:t>
      </w:r>
      <w:r>
        <w:rPr>
          <w:rFonts w:hint="eastAsia" w:ascii="仿宋_GB2312" w:eastAsia="仿宋_GB2312" w:cs="DengXian-Regular"/>
          <w:b w:val="0"/>
          <w:bCs w:val="0"/>
          <w:sz w:val="32"/>
          <w:szCs w:val="32"/>
        </w:rPr>
        <w:t>较年初预算减少</w:t>
      </w:r>
      <w:r>
        <w:rPr>
          <w:rFonts w:hint="eastAsia" w:ascii="仿宋_GB2312" w:eastAsia="仿宋_GB2312" w:cs="DengXian-Regular"/>
          <w:b w:val="0"/>
          <w:bCs w:val="0"/>
          <w:sz w:val="32"/>
          <w:szCs w:val="32"/>
          <w:lang w:val="en-US" w:eastAsia="zh-CN"/>
        </w:rPr>
        <w:t>0.32</w:t>
      </w:r>
      <w:r>
        <w:rPr>
          <w:rFonts w:hint="eastAsia" w:ascii="仿宋_GB2312" w:eastAsia="仿宋_GB2312" w:cs="DengXian-Regular"/>
          <w:b w:val="0"/>
          <w:bCs w:val="0"/>
          <w:sz w:val="32"/>
          <w:szCs w:val="32"/>
        </w:rPr>
        <w:t>万元，降低</w:t>
      </w:r>
      <w:r>
        <w:rPr>
          <w:rFonts w:hint="eastAsia" w:ascii="仿宋_GB2312" w:eastAsia="仿宋_GB2312" w:cs="DengXian-Regular"/>
          <w:b w:val="0"/>
          <w:bCs w:val="0"/>
          <w:sz w:val="32"/>
          <w:szCs w:val="32"/>
          <w:lang w:val="en-US" w:eastAsia="zh-CN"/>
        </w:rPr>
        <w:t>7.27</w:t>
      </w:r>
      <w:r>
        <w:rPr>
          <w:rFonts w:hint="eastAsia" w:ascii="仿宋_GB2312" w:eastAsia="仿宋_GB2312" w:cs="DengXian-Regular"/>
          <w:b w:val="0"/>
          <w:bCs w:val="0"/>
          <w:sz w:val="32"/>
          <w:szCs w:val="32"/>
        </w:rPr>
        <w:t>%,主要是</w:t>
      </w:r>
      <w:r>
        <w:rPr>
          <w:rFonts w:hint="eastAsia" w:ascii="仿宋_GB2312" w:eastAsia="仿宋_GB2312" w:cs="DengXian-Regular"/>
          <w:b w:val="0"/>
          <w:bCs w:val="0"/>
          <w:sz w:val="32"/>
          <w:szCs w:val="32"/>
          <w:lang w:eastAsia="zh-CN"/>
        </w:rPr>
        <w:t>加强公务用车管理，切实压缩公务用车费用支出</w:t>
      </w:r>
      <w:r>
        <w:rPr>
          <w:rFonts w:hint="eastAsia" w:ascii="仿宋_GB2312" w:eastAsia="仿宋_GB2312" w:cs="DengXian-Regular"/>
          <w:b w:val="0"/>
          <w:bCs w:val="0"/>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r>
        <w:rPr>
          <w:rFonts w:hint="eastAsia" w:ascii="仿宋_GB2312" w:hAnsi="Times New Roman" w:eastAsia="仿宋_GB2312" w:cs="DengXian-Regular"/>
          <w:sz w:val="32"/>
          <w:szCs w:val="32"/>
          <w:lang w:val="en-US" w:eastAsia="zh-CN"/>
        </w:rPr>
        <w:t>未发生公务接待费</w:t>
      </w:r>
      <w:r>
        <w:rPr>
          <w:rFonts w:hint="eastAsia" w:ascii="仿宋_GB2312" w:hAnsi="Times New Roman" w:eastAsia="仿宋_GB2312" w:cs="DengXian-Regular"/>
          <w:sz w:val="32"/>
          <w:szCs w:val="32"/>
        </w:rPr>
        <w:t>。</w:t>
      </w:r>
    </w:p>
    <w:p>
      <w:pPr>
        <w:keepNext w:val="0"/>
        <w:keepLines w:val="0"/>
        <w:pageBreakBefore w:val="0"/>
        <w:widowControl w:val="0"/>
        <w:kinsoku/>
        <w:wordWrap/>
        <w:overflowPunct/>
        <w:topLinePunct w:val="0"/>
        <w:autoSpaceDE/>
        <w:autoSpaceDN/>
        <w:bidi w:val="0"/>
        <w:adjustRightInd w:val="0"/>
        <w:snapToGrid w:val="0"/>
        <w:spacing w:after="0" w:line="580" w:lineRule="exact"/>
        <w:ind w:firstLine="640" w:firstLineChars="200"/>
        <w:textAlignment w:val="auto"/>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1739.61</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26.29%</w:t>
      </w:r>
      <w:r>
        <w:rPr>
          <w:rFonts w:hint="eastAsia" w:ascii="仿宋_GB2312" w:hAnsi="仿宋_GB2312" w:eastAsia="仿宋_GB2312" w:cs="仿宋_GB2312"/>
          <w:sz w:val="32"/>
          <w:szCs w:val="32"/>
        </w:rPr>
        <w:t>。</w:t>
      </w:r>
      <w:r>
        <w:rPr>
          <w:rFonts w:hint="eastAsia" w:ascii="仿宋_GB2312" w:eastAsia="仿宋_GB2312" w:cs="DengXian-Regular"/>
          <w:sz w:val="32"/>
          <w:szCs w:val="32"/>
          <w:shd w:val="clear" w:color="auto" w:fill="auto"/>
        </w:rPr>
        <w:t>本单位组织对201</w:t>
      </w:r>
      <w:r>
        <w:rPr>
          <w:rFonts w:hint="eastAsia" w:ascii="仿宋_GB2312" w:eastAsia="仿宋_GB2312" w:cs="DengXian-Regular"/>
          <w:sz w:val="32"/>
          <w:szCs w:val="32"/>
          <w:shd w:val="clear" w:color="auto" w:fill="auto"/>
          <w:lang w:val="en-US" w:eastAsia="zh-CN"/>
        </w:rPr>
        <w:t>9</w:t>
      </w:r>
      <w:r>
        <w:rPr>
          <w:rFonts w:hint="eastAsia" w:ascii="仿宋_GB2312" w:eastAsia="仿宋_GB2312" w:cs="DengXian-Regular"/>
          <w:sz w:val="32"/>
          <w:szCs w:val="32"/>
          <w:shd w:val="clear" w:color="auto" w:fill="auto"/>
        </w:rPr>
        <w:t>年度一般公共预算项目支出开展绩效自评，</w:t>
      </w:r>
      <w:r>
        <w:rPr>
          <w:rFonts w:hint="eastAsia" w:ascii="仿宋_GB2312" w:eastAsia="仿宋_GB2312"/>
          <w:sz w:val="32"/>
          <w:szCs w:val="32"/>
        </w:rPr>
        <w:t>对我镇村级运行经费</w:t>
      </w:r>
      <w:r>
        <w:rPr>
          <w:rFonts w:hint="eastAsia" w:ascii="仿宋_GB2312" w:eastAsia="仿宋_GB2312"/>
          <w:sz w:val="32"/>
          <w:szCs w:val="32"/>
          <w:lang w:eastAsia="zh-CN"/>
        </w:rPr>
        <w:t>、综合</w:t>
      </w:r>
      <w:r>
        <w:rPr>
          <w:rFonts w:hint="eastAsia" w:ascii="仿宋_GB2312" w:eastAsia="仿宋_GB2312"/>
          <w:sz w:val="32"/>
          <w:szCs w:val="32"/>
        </w:rPr>
        <w:t>工作经费</w:t>
      </w:r>
      <w:r>
        <w:rPr>
          <w:rFonts w:hint="eastAsia" w:ascii="仿宋_GB2312" w:eastAsia="仿宋_GB2312"/>
          <w:sz w:val="32"/>
          <w:szCs w:val="32"/>
          <w:lang w:eastAsia="zh-CN"/>
        </w:rPr>
        <w:t>、联防队员及临时人员</w:t>
      </w:r>
      <w:r>
        <w:rPr>
          <w:rFonts w:hint="eastAsia" w:ascii="仿宋_GB2312" w:eastAsia="仿宋_GB2312"/>
          <w:sz w:val="32"/>
          <w:szCs w:val="32"/>
        </w:rPr>
        <w:t>劳务费</w:t>
      </w:r>
      <w:r>
        <w:rPr>
          <w:rFonts w:hint="eastAsia" w:ascii="仿宋_GB2312" w:eastAsia="仿宋_GB2312"/>
          <w:sz w:val="32"/>
          <w:szCs w:val="32"/>
          <w:lang w:eastAsia="zh-CN"/>
        </w:rPr>
        <w:t>、等</w:t>
      </w:r>
      <w:r>
        <w:rPr>
          <w:rFonts w:hint="eastAsia" w:ascii="仿宋_GB2312" w:eastAsia="仿宋_GB2312"/>
          <w:sz w:val="32"/>
          <w:szCs w:val="32"/>
          <w:lang w:val="en-US" w:eastAsia="zh-CN"/>
        </w:rPr>
        <w:t>21</w:t>
      </w:r>
      <w:r>
        <w:rPr>
          <w:rFonts w:hint="eastAsia" w:ascii="仿宋_GB2312" w:eastAsia="仿宋_GB2312"/>
          <w:sz w:val="32"/>
          <w:szCs w:val="32"/>
        </w:rPr>
        <w:t>个项目实施了绩效评价，</w:t>
      </w:r>
      <w:r>
        <w:rPr>
          <w:rFonts w:hint="eastAsia" w:ascii="仿宋_GB2312" w:eastAsia="仿宋_GB2312"/>
          <w:sz w:val="32"/>
          <w:szCs w:val="32"/>
          <w:lang w:eastAsia="zh-CN"/>
        </w:rPr>
        <w:t>年度绩效目标均已达标</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spacing w:line="560" w:lineRule="exact"/>
        <w:ind w:firstLine="629"/>
        <w:rPr>
          <w:rFonts w:hint="eastAsia" w:ascii="仿宋" w:hAnsi="仿宋" w:eastAsia="仿宋" w:cs="仿宋"/>
          <w:b w:val="0"/>
          <w:bCs w:val="0"/>
          <w:sz w:val="32"/>
          <w:szCs w:val="32"/>
        </w:rPr>
      </w:pPr>
      <w:r>
        <w:rPr>
          <w:rFonts w:hint="eastAsia" w:ascii="仿宋" w:hAnsi="仿宋" w:eastAsia="仿宋" w:cs="仿宋"/>
          <w:b w:val="0"/>
          <w:bCs w:val="0"/>
          <w:sz w:val="32"/>
          <w:szCs w:val="32"/>
        </w:rPr>
        <w:t>本部门在今年部门决算公开中反映</w:t>
      </w:r>
      <w:r>
        <w:rPr>
          <w:rFonts w:hint="eastAsia" w:ascii="仿宋" w:hAnsi="仿宋" w:eastAsia="仿宋" w:cs="仿宋"/>
          <w:b w:val="0"/>
          <w:bCs w:val="0"/>
          <w:sz w:val="32"/>
          <w:szCs w:val="32"/>
          <w:lang w:eastAsia="zh-CN"/>
        </w:rPr>
        <w:t>村级运行及服务群众补助经费</w:t>
      </w:r>
      <w:r>
        <w:rPr>
          <w:rFonts w:hint="eastAsia" w:ascii="仿宋" w:hAnsi="仿宋" w:eastAsia="仿宋" w:cs="仿宋"/>
          <w:b w:val="0"/>
          <w:bCs w:val="0"/>
          <w:sz w:val="32"/>
          <w:szCs w:val="32"/>
        </w:rPr>
        <w:t>项目及 安全生产、食品安全、环境保护等项目等</w:t>
      </w:r>
      <w:r>
        <w:rPr>
          <w:rFonts w:hint="eastAsia" w:ascii="仿宋" w:hAnsi="仿宋" w:eastAsia="仿宋" w:cs="仿宋"/>
          <w:b w:val="0"/>
          <w:bCs w:val="0"/>
          <w:sz w:val="32"/>
          <w:szCs w:val="32"/>
          <w:lang w:val="en-US" w:eastAsia="zh-CN"/>
        </w:rPr>
        <w:t>21</w:t>
      </w:r>
      <w:r>
        <w:rPr>
          <w:rFonts w:hint="eastAsia" w:ascii="仿宋" w:hAnsi="仿宋" w:eastAsia="仿宋" w:cs="仿宋"/>
          <w:b w:val="0"/>
          <w:bCs w:val="0"/>
          <w:sz w:val="32"/>
          <w:szCs w:val="32"/>
        </w:rPr>
        <w:t>个项目绩效自评结果。</w:t>
      </w:r>
    </w:p>
    <w:p>
      <w:pPr>
        <w:spacing w:line="56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eastAsia="zh-CN"/>
        </w:rPr>
        <w:t>村级运行及服务群众补助经费</w:t>
      </w:r>
      <w:r>
        <w:rPr>
          <w:rFonts w:hint="eastAsia" w:ascii="仿宋" w:hAnsi="仿宋" w:eastAsia="仿宋" w:cs="仿宋"/>
          <w:b w:val="0"/>
          <w:bCs w:val="0"/>
          <w:sz w:val="32"/>
          <w:szCs w:val="32"/>
        </w:rPr>
        <w:t>项目自评综述：处理好各村民政事务，信息化建设，党建工作等促进社会和</w:t>
      </w:r>
      <w:r>
        <w:rPr>
          <w:rFonts w:hint="eastAsia" w:ascii="仿宋" w:hAnsi="仿宋" w:eastAsia="仿宋" w:cs="仿宋"/>
          <w:b w:val="0"/>
          <w:bCs w:val="0"/>
          <w:sz w:val="32"/>
          <w:szCs w:val="32"/>
          <w:lang w:val="en-US" w:eastAsia="zh-CN"/>
        </w:rPr>
        <w:t>谐</w:t>
      </w:r>
      <w:bookmarkStart w:id="0" w:name="_GoBack"/>
      <w:bookmarkEnd w:id="0"/>
      <w:r>
        <w:rPr>
          <w:rFonts w:hint="eastAsia" w:ascii="仿宋" w:hAnsi="仿宋" w:eastAsia="仿宋" w:cs="仿宋"/>
          <w:b w:val="0"/>
          <w:bCs w:val="0"/>
          <w:sz w:val="32"/>
          <w:szCs w:val="32"/>
        </w:rPr>
        <w:t>稳定。</w:t>
      </w:r>
    </w:p>
    <w:p>
      <w:pPr>
        <w:spacing w:line="560" w:lineRule="exact"/>
        <w:ind w:firstLine="629"/>
        <w:rPr>
          <w:rFonts w:hint="eastAsia" w:ascii="仿宋" w:hAnsi="仿宋" w:eastAsia="仿宋" w:cs="仿宋"/>
          <w:b w:val="0"/>
          <w:bCs w:val="0"/>
          <w:sz w:val="32"/>
          <w:szCs w:val="32"/>
        </w:rPr>
      </w:pPr>
      <w:r>
        <w:rPr>
          <w:rFonts w:hint="eastAsia" w:ascii="仿宋" w:hAnsi="仿宋" w:eastAsia="仿宋" w:cs="仿宋"/>
          <w:b w:val="0"/>
          <w:bCs w:val="0"/>
          <w:sz w:val="32"/>
          <w:szCs w:val="32"/>
        </w:rPr>
        <w:t>绩效指标：保障辖区村各项工作的顺利开展，各村开展党员活动次数不低于72次，每年走访慰问老党员及困难党员不低于150人次，各村工作人员满意度达到90%以上，满意党员达到80%以上。</w:t>
      </w:r>
    </w:p>
    <w:p>
      <w:pPr>
        <w:spacing w:line="560" w:lineRule="exact"/>
        <w:ind w:firstLine="629"/>
        <w:rPr>
          <w:rFonts w:hint="eastAsia" w:ascii="仿宋" w:hAnsi="仿宋" w:eastAsia="仿宋" w:cs="仿宋"/>
          <w:b w:val="0"/>
          <w:bCs w:val="0"/>
          <w:sz w:val="32"/>
          <w:szCs w:val="32"/>
        </w:rPr>
      </w:pPr>
      <w:r>
        <w:rPr>
          <w:rFonts w:hint="eastAsia" w:ascii="仿宋" w:hAnsi="仿宋" w:eastAsia="仿宋" w:cs="仿宋"/>
          <w:b w:val="0"/>
          <w:bCs w:val="0"/>
          <w:sz w:val="32"/>
          <w:szCs w:val="32"/>
        </w:rPr>
        <w:t>安全生产、食品安全、环境保护等</w:t>
      </w:r>
    </w:p>
    <w:p>
      <w:pPr>
        <w:spacing w:line="560" w:lineRule="exact"/>
        <w:ind w:firstLine="629"/>
        <w:rPr>
          <w:rFonts w:hint="eastAsia" w:ascii="仿宋" w:hAnsi="仿宋" w:eastAsia="仿宋" w:cs="仿宋"/>
          <w:b w:val="0"/>
          <w:bCs w:val="0"/>
          <w:sz w:val="32"/>
          <w:szCs w:val="32"/>
        </w:rPr>
      </w:pPr>
      <w:r>
        <w:rPr>
          <w:rFonts w:hint="eastAsia" w:ascii="仿宋" w:hAnsi="仿宋" w:eastAsia="仿宋" w:cs="仿宋"/>
          <w:b w:val="0"/>
          <w:bCs w:val="0"/>
          <w:sz w:val="32"/>
          <w:szCs w:val="32"/>
        </w:rPr>
        <w:t>绩效目标：做好辖区内安全生产、食品安全、环境保护等工作。</w:t>
      </w:r>
    </w:p>
    <w:p>
      <w:pPr>
        <w:spacing w:line="560" w:lineRule="exact"/>
        <w:ind w:firstLine="629"/>
        <w:rPr>
          <w:rFonts w:hint="eastAsia" w:ascii="仿宋" w:hAnsi="仿宋" w:eastAsia="仿宋" w:cs="仿宋"/>
          <w:b w:val="0"/>
          <w:bCs w:val="0"/>
          <w:sz w:val="32"/>
          <w:szCs w:val="32"/>
        </w:rPr>
      </w:pPr>
      <w:r>
        <w:rPr>
          <w:rFonts w:hint="eastAsia" w:ascii="仿宋" w:hAnsi="仿宋" w:eastAsia="仿宋" w:cs="仿宋"/>
          <w:b w:val="0"/>
          <w:bCs w:val="0"/>
          <w:sz w:val="32"/>
          <w:szCs w:val="32"/>
        </w:rPr>
        <w:t>绩效指标：通过抓食品安全、安全生产杜绝辖区食品安全事件以及各类安全生产事故。全</w:t>
      </w:r>
    </w:p>
    <w:p>
      <w:pPr>
        <w:keepNext/>
        <w:keepLines/>
        <w:numPr>
          <w:ilvl w:val="0"/>
          <w:numId w:val="3"/>
        </w:numPr>
        <w:snapToGrid w:val="0"/>
        <w:spacing w:line="580" w:lineRule="exact"/>
        <w:ind w:firstLine="643" w:firstLineChars="200"/>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numPr>
          <w:ilvl w:val="0"/>
          <w:numId w:val="0"/>
        </w:numPr>
        <w:snapToGrid w:val="0"/>
        <w:spacing w:line="580" w:lineRule="exact"/>
        <w:ind w:firstLine="640" w:firstLineChars="200"/>
        <w:outlineLvl w:val="1"/>
        <w:rPr>
          <w:rFonts w:ascii="仿宋_GB2312" w:hAnsi="仿宋_GB2312" w:eastAsia="仿宋_GB2312" w:cs="仿宋_GB2312"/>
          <w:b/>
          <w:bCs/>
          <w:sz w:val="32"/>
          <w:szCs w:val="32"/>
        </w:rPr>
      </w:pPr>
      <w:r>
        <w:rPr>
          <w:rFonts w:hint="eastAsia" w:ascii="仿宋_GB2312" w:hAnsi="仿宋" w:eastAsia="仿宋_GB2312"/>
          <w:sz w:val="32"/>
          <w:szCs w:val="32"/>
        </w:rPr>
        <w:t>根据项目执行情况和项目绩效情况，兴安镇年度项目绩效评价得分为95分，评价等级为优秀</w:t>
      </w:r>
      <w:r>
        <w:rPr>
          <w:rFonts w:hint="eastAsia" w:ascii="仿宋_GB2312" w:hAnsi="仿宋" w:eastAsia="仿宋_GB2312"/>
          <w:sz w:val="32"/>
          <w:szCs w:val="32"/>
          <w:lang w:eastAsia="zh-CN"/>
        </w:rPr>
        <w:t>（已经</w:t>
      </w:r>
      <w:r>
        <w:rPr>
          <w:rFonts w:hint="eastAsia" w:ascii="仿宋_GB2312" w:hAnsi="仿宋" w:eastAsia="仿宋_GB2312"/>
          <w:sz w:val="32"/>
          <w:szCs w:val="32"/>
          <w:lang w:val="en-US" w:eastAsia="zh-CN"/>
        </w:rPr>
        <w:t>根据2019年绩效评价结果进行了公开</w:t>
      </w:r>
      <w:r>
        <w:rPr>
          <w:rFonts w:hint="eastAsia" w:ascii="仿宋_GB2312" w:hAnsi="仿宋" w:eastAsia="仿宋_GB2312"/>
          <w:sz w:val="32"/>
          <w:szCs w:val="32"/>
          <w:lang w:eastAsia="zh-CN"/>
        </w:rPr>
        <w:t>）</w:t>
      </w:r>
      <w:r>
        <w:rPr>
          <w:rFonts w:hint="eastAsia" w:ascii="仿宋_GB2312" w:hAnsi="仿宋_GB2312" w:eastAsia="仿宋_GB2312" w:cs="仿宋_GB2312"/>
          <w:b/>
          <w:bCs/>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162.825496</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24.555496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17</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人员增加，相应增加机关运行。</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after="0" w:line="580" w:lineRule="exact"/>
        <w:ind w:firstLine="640" w:firstLineChars="200"/>
        <w:rPr>
          <w:rFonts w:hint="eastAsia" w:ascii="仿宋_GB2312" w:hAnsi="仿宋" w:eastAsia="仿宋_GB2312"/>
          <w:color w:val="auto"/>
          <w:sz w:val="32"/>
          <w:szCs w:val="32"/>
        </w:rPr>
      </w:pPr>
      <w:r>
        <w:rPr>
          <w:rFonts w:hint="eastAsia" w:ascii="仿宋_GB2312" w:eastAsia="仿宋_GB2312" w:cs="DengXian-Regular"/>
          <w:sz w:val="32"/>
          <w:szCs w:val="32"/>
        </w:rPr>
        <w:t>截至201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年12月31日，本部门共有车辆</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其中公务用车</w:t>
      </w:r>
      <w:r>
        <w:rPr>
          <w:rFonts w:hint="eastAsia" w:ascii="仿宋_GB2312" w:eastAsia="仿宋_GB2312" w:cs="DengXian-Regular"/>
          <w:sz w:val="32"/>
          <w:szCs w:val="32"/>
          <w:lang w:val="en-US" w:eastAsia="zh-CN"/>
        </w:rPr>
        <w:t>2辆</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上年</w:t>
      </w:r>
      <w:r>
        <w:rPr>
          <w:rFonts w:hint="eastAsia" w:ascii="仿宋_GB2312" w:eastAsia="仿宋_GB2312" w:cs="DengXian-Regular"/>
          <w:sz w:val="32"/>
          <w:szCs w:val="32"/>
          <w:lang w:eastAsia="zh-CN"/>
        </w:rPr>
        <w:t>相比无增减，卫生清扫车一辆</w:t>
      </w:r>
      <w:r>
        <w:rPr>
          <w:rFonts w:hint="eastAsia" w:ascii="仿宋_GB2312" w:eastAsia="仿宋_GB2312" w:cs="DengXian-Regular"/>
          <w:sz w:val="32"/>
          <w:szCs w:val="32"/>
        </w:rPr>
        <w:t>。</w:t>
      </w:r>
      <w:r>
        <w:rPr>
          <w:rFonts w:hint="eastAsia" w:ascii="仿宋_GB2312" w:eastAsia="仿宋_GB2312" w:cs="DengXian-Regular"/>
          <w:sz w:val="32"/>
          <w:szCs w:val="32"/>
          <w:lang w:eastAsia="zh-CN"/>
        </w:rPr>
        <w:t>土地房屋及</w:t>
      </w:r>
      <w:r>
        <w:rPr>
          <w:rFonts w:hint="eastAsia" w:ascii="仿宋_GB2312" w:eastAsia="仿宋_GB2312" w:cs="DengXian-Regular"/>
          <w:color w:val="auto"/>
          <w:sz w:val="32"/>
          <w:szCs w:val="32"/>
          <w:shd w:val="clear" w:color="auto" w:fill="auto"/>
          <w:lang w:eastAsia="zh-CN"/>
        </w:rPr>
        <w:t>构筑物价值</w:t>
      </w:r>
      <w:r>
        <w:rPr>
          <w:rFonts w:hint="eastAsia" w:ascii="仿宋_GB2312" w:eastAsia="仿宋_GB2312" w:cs="DengXian-Regular"/>
          <w:color w:val="auto"/>
          <w:sz w:val="32"/>
          <w:szCs w:val="32"/>
          <w:shd w:val="clear" w:color="auto" w:fill="auto"/>
          <w:lang w:val="en-US" w:eastAsia="zh-CN"/>
        </w:rPr>
        <w:t>1109.8599万元，家用家具2.81万</w:t>
      </w:r>
      <w:r>
        <w:rPr>
          <w:rFonts w:hint="eastAsia" w:ascii="仿宋_GB2312" w:eastAsia="仿宋_GB2312" w:cs="DengXian-Regular"/>
          <w:sz w:val="32"/>
          <w:szCs w:val="32"/>
          <w:lang w:val="en-US" w:eastAsia="zh-CN"/>
        </w:rPr>
        <w:t>元，通用设备专用设备5.93万元，</w:t>
      </w:r>
      <w:r>
        <w:rPr>
          <w:rFonts w:hint="eastAsia" w:ascii="仿宋_GB2312" w:eastAsia="仿宋_GB2312" w:cs="DengXian-Regular"/>
          <w:sz w:val="32"/>
          <w:szCs w:val="32"/>
        </w:rPr>
        <w:t>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hint="eastAsia" w:ascii="仿宋" w:hAnsi="仿宋" w:eastAsia="仿宋" w:cs="仿宋"/>
          <w:sz w:val="32"/>
          <w:szCs w:val="32"/>
        </w:rPr>
      </w:pPr>
      <w:r>
        <w:rPr>
          <w:rFonts w:hint="eastAsia" w:ascii="仿宋_GB2312" w:hAnsi="Times New Roman" w:eastAsia="仿宋_GB2312" w:cs="DengXian-Regular"/>
          <w:sz w:val="32"/>
          <w:szCs w:val="32"/>
        </w:rPr>
        <w:t xml:space="preserve">1. </w:t>
      </w:r>
      <w:r>
        <w:rPr>
          <w:rFonts w:hint="eastAsia" w:ascii="仿宋" w:hAnsi="仿宋" w:eastAsia="仿宋" w:cs="仿宋"/>
          <w:sz w:val="32"/>
          <w:szCs w:val="32"/>
        </w:rPr>
        <w:t>本部门2019年度</w:t>
      </w:r>
      <w:r>
        <w:rPr>
          <w:rFonts w:hint="eastAsia" w:ascii="仿宋" w:hAnsi="仿宋" w:eastAsia="仿宋" w:cs="仿宋"/>
          <w:color w:val="000000"/>
          <w:kern w:val="0"/>
          <w:sz w:val="32"/>
          <w:szCs w:val="32"/>
          <w:lang w:bidi="ar"/>
        </w:rPr>
        <w:t>政府性基金预算财政拨款收入支出决算表</w:t>
      </w:r>
      <w:r>
        <w:rPr>
          <w:rFonts w:hint="eastAsia" w:ascii="仿宋" w:hAnsi="仿宋" w:eastAsia="仿宋" w:cs="仿宋"/>
          <w:color w:val="000000"/>
          <w:kern w:val="0"/>
          <w:sz w:val="32"/>
          <w:szCs w:val="32"/>
          <w:lang w:eastAsia="zh-CN" w:bidi="ar"/>
        </w:rPr>
        <w:t>、</w:t>
      </w:r>
      <w:r>
        <w:rPr>
          <w:rFonts w:hint="eastAsia" w:ascii="仿宋" w:hAnsi="仿宋" w:eastAsia="仿宋" w:cs="仿宋"/>
          <w:color w:val="000000"/>
          <w:kern w:val="0"/>
          <w:sz w:val="32"/>
          <w:szCs w:val="32"/>
          <w:lang w:bidi="ar"/>
        </w:rPr>
        <w:t>国有资本经营预算财政拨款支出决算表</w:t>
      </w:r>
      <w:r>
        <w:rPr>
          <w:rFonts w:hint="eastAsia" w:ascii="仿宋" w:hAnsi="仿宋" w:eastAsia="仿宋" w:cs="仿宋"/>
          <w:sz w:val="32"/>
          <w:szCs w:val="32"/>
        </w:rPr>
        <w:t>无收支及结转结余情况，故</w:t>
      </w:r>
      <w:r>
        <w:rPr>
          <w:rFonts w:hint="eastAsia" w:ascii="仿宋" w:hAnsi="仿宋" w:eastAsia="仿宋" w:cs="仿宋"/>
          <w:sz w:val="32"/>
          <w:szCs w:val="32"/>
          <w:lang w:eastAsia="zh-CN"/>
        </w:rPr>
        <w:t>公开</w:t>
      </w:r>
      <w:r>
        <w:rPr>
          <w:rFonts w:hint="eastAsia" w:ascii="仿宋" w:hAnsi="仿宋" w:eastAsia="仿宋" w:cs="仿宋"/>
          <w:sz w:val="32"/>
          <w:szCs w:val="32"/>
          <w:lang w:val="en-US" w:eastAsia="zh-CN"/>
        </w:rPr>
        <w:t>08表及公开09</w:t>
      </w:r>
      <w:r>
        <w:rPr>
          <w:rFonts w:hint="eastAsia" w:ascii="仿宋" w:hAnsi="仿宋" w:eastAsia="仿宋" w:cs="仿宋"/>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2" w:type="first"/>
          <w:footerReference r:id="rId24" w:type="first"/>
          <w:headerReference r:id="rId21" w:type="default"/>
          <w:footerReference r:id="rId23"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1552"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1552;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32"/>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5"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p>
    <w:p>
      <w:pPr>
        <w:tabs>
          <w:tab w:val="left" w:pos="235"/>
        </w:tabs>
        <w:jc w:val="left"/>
        <w:sectPr>
          <w:headerReference r:id="rId27"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2576"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2576;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3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jc w:val="left"/>
      </w:pPr>
    </w:p>
    <w:tbl>
      <w:tblPr>
        <w:tblStyle w:val="6"/>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36"/>
        <w:gridCol w:w="731"/>
        <w:gridCol w:w="691"/>
        <w:gridCol w:w="3043"/>
        <w:gridCol w:w="550"/>
        <w:gridCol w:w="1266"/>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6617.93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1144.23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4080.97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13.20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15.00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652.74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504.02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207.76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6617.93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6617.93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8370" w:type="dxa"/>
        <w:tblInd w:w="0" w:type="dxa"/>
        <w:shd w:val="clear" w:color="auto" w:fill="auto"/>
        <w:tblLayout w:type="fixed"/>
        <w:tblCellMar>
          <w:top w:w="0" w:type="dxa"/>
          <w:left w:w="0" w:type="dxa"/>
          <w:bottom w:w="0" w:type="dxa"/>
          <w:right w:w="0" w:type="dxa"/>
        </w:tblCellMar>
      </w:tblPr>
      <w:tblGrid>
        <w:gridCol w:w="887"/>
        <w:gridCol w:w="4077"/>
        <w:gridCol w:w="1703"/>
        <w:gridCol w:w="1703"/>
      </w:tblGrid>
      <w:tr>
        <w:tblPrEx>
          <w:tblLayout w:type="fixed"/>
          <w:tblCellMar>
            <w:top w:w="0" w:type="dxa"/>
            <w:left w:w="0" w:type="dxa"/>
            <w:bottom w:w="0" w:type="dxa"/>
            <w:right w:w="0" w:type="dxa"/>
          </w:tblCellMar>
        </w:tblPrEx>
        <w:trPr>
          <w:trHeight w:val="285" w:hRule="atLeast"/>
        </w:trPr>
        <w:tc>
          <w:tcPr>
            <w:tcW w:w="8370" w:type="dxa"/>
            <w:gridSpan w:val="4"/>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收入决算表                公开 02表单位：万元</w:t>
            </w:r>
          </w:p>
        </w:tc>
      </w:tr>
      <w:tr>
        <w:tblPrEx>
          <w:shd w:val="clear" w:color="auto" w:fill="auto"/>
          <w:tblLayout w:type="fixed"/>
          <w:tblCellMar>
            <w:top w:w="0" w:type="dxa"/>
            <w:left w:w="0" w:type="dxa"/>
            <w:bottom w:w="0" w:type="dxa"/>
            <w:right w:w="0" w:type="dxa"/>
          </w:tblCellMar>
        </w:tblPrEx>
        <w:trPr>
          <w:trHeight w:val="308" w:hRule="atLeast"/>
        </w:trPr>
        <w:tc>
          <w:tcPr>
            <w:tcW w:w="4964" w:type="dxa"/>
            <w:gridSpan w:val="2"/>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70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170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支出功能分类科目编码</w:t>
            </w:r>
          </w:p>
        </w:tc>
        <w:tc>
          <w:tcPr>
            <w:tcW w:w="407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70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0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308" w:hRule="atLeast"/>
        </w:trPr>
        <w:tc>
          <w:tcPr>
            <w:tcW w:w="887" w:type="dxa"/>
            <w:vMerge w:val="restart"/>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类</w:t>
            </w:r>
          </w:p>
        </w:tc>
        <w:tc>
          <w:tcPr>
            <w:tcW w:w="407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70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70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r>
      <w:tr>
        <w:tblPrEx>
          <w:shd w:val="clear" w:color="auto" w:fill="auto"/>
          <w:tblLayout w:type="fixed"/>
          <w:tblCellMar>
            <w:top w:w="0" w:type="dxa"/>
            <w:left w:w="0" w:type="dxa"/>
            <w:bottom w:w="0" w:type="dxa"/>
            <w:right w:w="0" w:type="dxa"/>
          </w:tblCellMar>
        </w:tblPrEx>
        <w:trPr>
          <w:trHeight w:val="308" w:hRule="atLeast"/>
        </w:trPr>
        <w:tc>
          <w:tcPr>
            <w:tcW w:w="887" w:type="dxa"/>
            <w:vMerge w:val="continue"/>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07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6,617.93</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6,617.93</w:t>
            </w:r>
          </w:p>
        </w:tc>
      </w:tr>
      <w:tr>
        <w:tblPrEx>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1,144.23</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1,144.23</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1,145.23</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1,145.23</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2010301</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1,146.23</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1,146.23</w:t>
            </w:r>
          </w:p>
        </w:tc>
      </w:tr>
      <w:tr>
        <w:tblPrEx>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4,080.97</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4,080.97</w:t>
            </w:r>
          </w:p>
        </w:tc>
      </w:tr>
      <w:tr>
        <w:tblPrEx>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普通教育</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4,080.97</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4,080.97</w:t>
            </w:r>
          </w:p>
        </w:tc>
      </w:tr>
      <w:tr>
        <w:tblPrEx>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2050202</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小学教育</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2,875.76</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2,875.76</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2050203</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初中教育</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1,205.21</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1,205.21</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13.20</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13.20</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tblPrEx>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20826</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财政对基本养老保险基金的补助</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2082699</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财政对其他基本养老保险基金的补助</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w:t>
            </w:r>
          </w:p>
        </w:tc>
      </w:tr>
      <w:tr>
        <w:tblPrEx>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计划生育事务</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2100717</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计划生育服务</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652.74</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652.74</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污染防治</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552.74</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552.74</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2110302</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水体</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552.74</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552.74</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r>
      <w:tr>
        <w:tblPrEx>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城乡社区环境卫生</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2120501</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207.76</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207.76</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71.98</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71.98</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2130142</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农村道路建设</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71.98</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71.98</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135.78</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135.78</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2130705</w:t>
            </w:r>
          </w:p>
        </w:tc>
        <w:tc>
          <w:tcPr>
            <w:tcW w:w="40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对村民委员会和村党支部的补助</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65.78</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65.78</w:t>
            </w:r>
          </w:p>
        </w:tc>
      </w:tr>
      <w:tr>
        <w:tblPrEx>
          <w:shd w:val="clear" w:color="auto" w:fill="auto"/>
          <w:tblLayout w:type="fixed"/>
          <w:tblCellMar>
            <w:top w:w="0" w:type="dxa"/>
            <w:left w:w="0" w:type="dxa"/>
            <w:bottom w:w="0" w:type="dxa"/>
            <w:right w:w="0" w:type="dxa"/>
          </w:tblCellMar>
        </w:tblPrEx>
        <w:trPr>
          <w:trHeight w:val="308" w:hRule="atLeast"/>
        </w:trPr>
        <w:tc>
          <w:tcPr>
            <w:tcW w:w="887" w:type="dxa"/>
            <w:tcBorders>
              <w:top w:val="nil"/>
              <w:left w:val="single" w:color="000000" w:sz="4" w:space="0"/>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2130706</w:t>
            </w:r>
          </w:p>
        </w:tc>
        <w:tc>
          <w:tcPr>
            <w:tcW w:w="4077" w:type="dxa"/>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对村集体经济组织的补助</w:t>
            </w:r>
          </w:p>
        </w:tc>
        <w:tc>
          <w:tcPr>
            <w:tcW w:w="1703" w:type="dxa"/>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703" w:type="dxa"/>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r>
    </w:tbl>
    <w:p>
      <w:pPr>
        <w:jc w:val="left"/>
      </w:pPr>
      <w:r>
        <w:rPr>
          <w:rFonts w:hint="eastAsia" w:ascii="宋体" w:hAnsi="宋体" w:eastAsia="宋体" w:cs="宋体"/>
          <w:color w:val="000000"/>
          <w:kern w:val="0"/>
          <w:sz w:val="22"/>
          <w:lang w:bidi="ar"/>
        </w:rPr>
        <w:t>注：本表反映部门本年度取得的各项收入情况。</w:t>
      </w:r>
    </w:p>
    <w:p>
      <w:r>
        <w:br w:type="page"/>
      </w:r>
    </w:p>
    <w:tbl>
      <w:tblPr>
        <w:tblStyle w:val="6"/>
        <w:tblW w:w="9755" w:type="dxa"/>
        <w:tblInd w:w="0" w:type="dxa"/>
        <w:shd w:val="clear" w:color="auto" w:fill="auto"/>
        <w:tblLayout w:type="fixed"/>
        <w:tblCellMar>
          <w:top w:w="0" w:type="dxa"/>
          <w:left w:w="0" w:type="dxa"/>
          <w:bottom w:w="0" w:type="dxa"/>
          <w:right w:w="0" w:type="dxa"/>
        </w:tblCellMar>
      </w:tblPr>
      <w:tblGrid>
        <w:gridCol w:w="330"/>
        <w:gridCol w:w="330"/>
        <w:gridCol w:w="330"/>
        <w:gridCol w:w="3770"/>
        <w:gridCol w:w="1800"/>
        <w:gridCol w:w="1395"/>
        <w:gridCol w:w="1800"/>
      </w:tblGrid>
      <w:tr>
        <w:tblPrEx>
          <w:tblLayout w:type="fixed"/>
          <w:tblCellMar>
            <w:top w:w="0" w:type="dxa"/>
            <w:left w:w="0" w:type="dxa"/>
            <w:bottom w:w="0" w:type="dxa"/>
            <w:right w:w="0" w:type="dxa"/>
          </w:tblCellMar>
        </w:tblPrEx>
        <w:trPr>
          <w:trHeight w:val="375" w:hRule="atLeast"/>
        </w:trPr>
        <w:tc>
          <w:tcPr>
            <w:tcW w:w="990" w:type="dxa"/>
            <w:gridSpan w:val="3"/>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兴安镇</w:t>
            </w:r>
          </w:p>
        </w:tc>
        <w:tc>
          <w:tcPr>
            <w:tcW w:w="377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8"/>
                <w:szCs w:val="28"/>
                <w:u w:val="none"/>
              </w:rPr>
            </w:pPr>
            <w:r>
              <w:rPr>
                <w:rFonts w:hint="eastAsia" w:ascii="宋体" w:hAnsi="宋体" w:eastAsia="宋体" w:cs="宋体"/>
                <w:i w:val="0"/>
                <w:color w:val="000000"/>
                <w:kern w:val="0"/>
                <w:sz w:val="28"/>
                <w:szCs w:val="28"/>
                <w:u w:val="none"/>
                <w:lang w:val="en-US" w:eastAsia="zh-CN" w:bidi="ar"/>
              </w:rPr>
              <w:t>支出决算表</w:t>
            </w:r>
          </w:p>
        </w:tc>
        <w:tc>
          <w:tcPr>
            <w:tcW w:w="1800"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1395"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单位：万元</w:t>
            </w:r>
          </w:p>
        </w:tc>
        <w:tc>
          <w:tcPr>
            <w:tcW w:w="180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w:t>
            </w:r>
            <w:r>
              <w:rPr>
                <w:rStyle w:val="12"/>
                <w:rFonts w:eastAsia="宋体"/>
                <w:lang w:val="en-US" w:eastAsia="zh-CN" w:bidi="ar"/>
              </w:rPr>
              <w:t>03</w:t>
            </w:r>
            <w:r>
              <w:rPr>
                <w:rStyle w:val="13"/>
                <w:lang w:val="en-US" w:eastAsia="zh-CN" w:bidi="ar"/>
              </w:rPr>
              <w:t>表</w:t>
            </w:r>
          </w:p>
        </w:tc>
      </w:tr>
      <w:tr>
        <w:tblPrEx>
          <w:tblLayout w:type="fixed"/>
          <w:tblCellMar>
            <w:top w:w="0" w:type="dxa"/>
            <w:left w:w="0" w:type="dxa"/>
            <w:bottom w:w="0" w:type="dxa"/>
            <w:right w:w="0" w:type="dxa"/>
          </w:tblCellMar>
        </w:tblPrEx>
        <w:trPr>
          <w:trHeight w:val="308" w:hRule="atLeast"/>
        </w:trPr>
        <w:tc>
          <w:tcPr>
            <w:tcW w:w="4760"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80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139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80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支出功能分类科目编码</w:t>
            </w:r>
          </w:p>
        </w:tc>
        <w:tc>
          <w:tcPr>
            <w:tcW w:w="3770"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80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0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70"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0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0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70"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0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0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308" w:hRule="atLeast"/>
        </w:trPr>
        <w:tc>
          <w:tcPr>
            <w:tcW w:w="330" w:type="dxa"/>
            <w:vMerge w:val="restart"/>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类</w:t>
            </w:r>
          </w:p>
        </w:tc>
        <w:tc>
          <w:tcPr>
            <w:tcW w:w="330"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款</w:t>
            </w:r>
          </w:p>
        </w:tc>
        <w:tc>
          <w:tcPr>
            <w:tcW w:w="330"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w:t>
            </w:r>
          </w:p>
        </w:tc>
        <w:tc>
          <w:tcPr>
            <w:tcW w:w="377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8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8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shd w:val="clear" w:color="auto" w:fill="auto"/>
          <w:tblLayout w:type="fixed"/>
          <w:tblCellMar>
            <w:top w:w="0" w:type="dxa"/>
            <w:left w:w="0" w:type="dxa"/>
            <w:bottom w:w="0" w:type="dxa"/>
            <w:right w:w="0" w:type="dxa"/>
          </w:tblCellMar>
        </w:tblPrEx>
        <w:trPr>
          <w:trHeight w:val="308" w:hRule="atLeast"/>
        </w:trPr>
        <w:tc>
          <w:tcPr>
            <w:tcW w:w="330" w:type="dxa"/>
            <w:vMerge w:val="continue"/>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30"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30"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7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6,617.93</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4,878.32</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1,739.61</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1,144.23</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818.35</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325.89</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1,145.23</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818.35</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325.89</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1,145.23</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818.35</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325.89</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4,080.97</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4,059.97</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普通教育</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4,080.97</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4,059.97</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小学教育</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2,875.76</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2,854.76</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2050203</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初中教育</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1,205.21</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1,205.21</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13.20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13.20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20826</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财政对基本养老保险基金的补助</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2082699</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财政对其他基本养老保险基金的补助</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计划生育事务</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2100717</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计划生育服务</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652.74</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652.74</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污染防治</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552.74</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552.74</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水体</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552.74</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552.74</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城乡社区环境卫生</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2120501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207.76</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207.76</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71.98</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71.98</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2130142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农村道路建设</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71.98</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71.98</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135.78</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135.78</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2130705</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对村民委员会和村党支部的补助</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65.78</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65.78</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2130706</w:t>
            </w:r>
          </w:p>
        </w:tc>
        <w:tc>
          <w:tcPr>
            <w:tcW w:w="3770" w:type="dxa"/>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对村集体经济组织的补助</w:t>
            </w:r>
          </w:p>
        </w:tc>
        <w:tc>
          <w:tcPr>
            <w:tcW w:w="1800" w:type="dxa"/>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70.000 </w:t>
            </w:r>
          </w:p>
        </w:tc>
        <w:tc>
          <w:tcPr>
            <w:tcW w:w="1395" w:type="dxa"/>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800" w:type="dxa"/>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70.000 </w:t>
            </w:r>
          </w:p>
        </w:tc>
      </w:tr>
    </w:tbl>
    <w:p>
      <w:r>
        <w:rPr>
          <w:rFonts w:hint="eastAsia" w:ascii="宋体" w:hAnsi="宋体" w:eastAsia="宋体" w:cs="宋体"/>
          <w:color w:val="000000"/>
          <w:kern w:val="0"/>
          <w:sz w:val="22"/>
          <w:lang w:bidi="ar"/>
        </w:rPr>
        <w:t>注：本表反映部门本年度各项支出情况。</w:t>
      </w:r>
      <w:r>
        <w:br w:type="page"/>
      </w:r>
    </w:p>
    <w:tbl>
      <w:tblPr>
        <w:tblStyle w:val="6"/>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36"/>
        <w:gridCol w:w="731"/>
        <w:gridCol w:w="691"/>
        <w:gridCol w:w="3043"/>
        <w:gridCol w:w="550"/>
        <w:gridCol w:w="1266"/>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w:t>
            </w:r>
            <w:r>
              <w:rPr>
                <w:rFonts w:hint="eastAsia" w:ascii="宋体" w:hAnsi="宋体" w:eastAsia="宋体" w:cs="宋体"/>
                <w:color w:val="000000"/>
                <w:kern w:val="0"/>
                <w:sz w:val="20"/>
                <w:szCs w:val="20"/>
                <w:lang w:val="en-US" w:eastAsia="zh-CN" w:bidi="ar"/>
              </w:rPr>
              <w:t>4</w:t>
            </w:r>
            <w:r>
              <w:rPr>
                <w:rFonts w:hint="eastAsia" w:ascii="宋体" w:hAnsi="宋体" w:eastAsia="宋体" w:cs="宋体"/>
                <w:color w:val="000000"/>
                <w:kern w:val="0"/>
                <w:sz w:val="20"/>
                <w:szCs w:val="20"/>
                <w:lang w:bidi="ar"/>
              </w:rPr>
              <w:t>表</w:t>
            </w:r>
          </w:p>
        </w:tc>
      </w:tr>
      <w:tr>
        <w:tblPrEx>
          <w:tblLayout w:type="fixed"/>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6617.93</w:t>
            </w: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1144.23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4080.97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13.20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15.00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652.74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504.02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207.76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6617.93</w:t>
            </w: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6617.93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0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12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p>
            <w:pPr>
              <w:widowControl/>
              <w:jc w:val="left"/>
              <w:textAlignment w:val="center"/>
              <w:rPr>
                <w:rFonts w:ascii="宋体" w:hAnsi="宋体" w:eastAsia="宋体" w:cs="宋体"/>
                <w:color w:val="000000"/>
                <w:kern w:val="0"/>
                <w:sz w:val="22"/>
                <w:lang w:bidi="ar"/>
              </w:rPr>
            </w:pPr>
          </w:p>
        </w:tc>
      </w:tr>
    </w:tbl>
    <w:p>
      <w:r>
        <w:br w:type="page"/>
      </w:r>
    </w:p>
    <w:tbl>
      <w:tblPr>
        <w:tblStyle w:val="6"/>
        <w:tblW w:w="9755" w:type="dxa"/>
        <w:tblInd w:w="0" w:type="dxa"/>
        <w:shd w:val="clear" w:color="auto" w:fill="auto"/>
        <w:tblLayout w:type="fixed"/>
        <w:tblCellMar>
          <w:top w:w="0" w:type="dxa"/>
          <w:left w:w="0" w:type="dxa"/>
          <w:bottom w:w="0" w:type="dxa"/>
          <w:right w:w="0" w:type="dxa"/>
        </w:tblCellMar>
      </w:tblPr>
      <w:tblGrid>
        <w:gridCol w:w="330"/>
        <w:gridCol w:w="330"/>
        <w:gridCol w:w="330"/>
        <w:gridCol w:w="3770"/>
        <w:gridCol w:w="1800"/>
        <w:gridCol w:w="1395"/>
        <w:gridCol w:w="1800"/>
      </w:tblGrid>
      <w:tr>
        <w:tblPrEx>
          <w:tblLayout w:type="fixed"/>
          <w:tblCellMar>
            <w:top w:w="0" w:type="dxa"/>
            <w:left w:w="0" w:type="dxa"/>
            <w:bottom w:w="0" w:type="dxa"/>
            <w:right w:w="0" w:type="dxa"/>
          </w:tblCellMar>
        </w:tblPrEx>
        <w:trPr>
          <w:trHeight w:val="375" w:hRule="atLeast"/>
        </w:trPr>
        <w:tc>
          <w:tcPr>
            <w:tcW w:w="990" w:type="dxa"/>
            <w:gridSpan w:val="3"/>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兴安镇</w:t>
            </w:r>
          </w:p>
        </w:tc>
        <w:tc>
          <w:tcPr>
            <w:tcW w:w="5570" w:type="dxa"/>
            <w:gridSpan w:val="2"/>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r>
              <w:rPr>
                <w:rFonts w:hint="eastAsia" w:ascii="黑体" w:hAnsi="宋体" w:eastAsia="黑体" w:cs="黑体"/>
                <w:color w:val="000000"/>
                <w:kern w:val="0"/>
                <w:sz w:val="32"/>
                <w:szCs w:val="32"/>
                <w:lang w:bidi="ar"/>
              </w:rPr>
              <w:t>一般公共预算财政拨款支出决算表</w:t>
            </w:r>
          </w:p>
        </w:tc>
        <w:tc>
          <w:tcPr>
            <w:tcW w:w="1395"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单位：万元</w:t>
            </w:r>
          </w:p>
        </w:tc>
        <w:tc>
          <w:tcPr>
            <w:tcW w:w="180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w:t>
            </w:r>
            <w:r>
              <w:rPr>
                <w:rStyle w:val="12"/>
                <w:rFonts w:eastAsia="宋体"/>
                <w:lang w:val="en-US" w:eastAsia="zh-CN" w:bidi="ar"/>
              </w:rPr>
              <w:t>0</w:t>
            </w:r>
            <w:r>
              <w:rPr>
                <w:rStyle w:val="12"/>
                <w:rFonts w:hint="eastAsia" w:eastAsia="宋体"/>
                <w:lang w:val="en-US" w:eastAsia="zh-CN" w:bidi="ar"/>
              </w:rPr>
              <w:t>5</w:t>
            </w:r>
            <w:r>
              <w:rPr>
                <w:rStyle w:val="13"/>
                <w:lang w:val="en-US" w:eastAsia="zh-CN" w:bidi="ar"/>
              </w:rPr>
              <w:t>表</w:t>
            </w:r>
          </w:p>
        </w:tc>
      </w:tr>
      <w:tr>
        <w:tblPrEx>
          <w:shd w:val="clear" w:color="auto" w:fill="auto"/>
          <w:tblLayout w:type="fixed"/>
          <w:tblCellMar>
            <w:top w:w="0" w:type="dxa"/>
            <w:left w:w="0" w:type="dxa"/>
            <w:bottom w:w="0" w:type="dxa"/>
            <w:right w:w="0" w:type="dxa"/>
          </w:tblCellMar>
        </w:tblPrEx>
        <w:trPr>
          <w:trHeight w:val="308" w:hRule="atLeast"/>
        </w:trPr>
        <w:tc>
          <w:tcPr>
            <w:tcW w:w="4760"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80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139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80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支出功能分类科目编码</w:t>
            </w:r>
          </w:p>
        </w:tc>
        <w:tc>
          <w:tcPr>
            <w:tcW w:w="3770"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80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0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70"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0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0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70"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0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0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308" w:hRule="atLeast"/>
        </w:trPr>
        <w:tc>
          <w:tcPr>
            <w:tcW w:w="330" w:type="dxa"/>
            <w:vMerge w:val="restart"/>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类</w:t>
            </w:r>
          </w:p>
        </w:tc>
        <w:tc>
          <w:tcPr>
            <w:tcW w:w="330"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款</w:t>
            </w:r>
          </w:p>
        </w:tc>
        <w:tc>
          <w:tcPr>
            <w:tcW w:w="330"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w:t>
            </w:r>
          </w:p>
        </w:tc>
        <w:tc>
          <w:tcPr>
            <w:tcW w:w="377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8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8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Layout w:type="fixed"/>
          <w:tblCellMar>
            <w:top w:w="0" w:type="dxa"/>
            <w:left w:w="0" w:type="dxa"/>
            <w:bottom w:w="0" w:type="dxa"/>
            <w:right w:w="0" w:type="dxa"/>
          </w:tblCellMar>
        </w:tblPrEx>
        <w:trPr>
          <w:trHeight w:val="308" w:hRule="atLeast"/>
        </w:trPr>
        <w:tc>
          <w:tcPr>
            <w:tcW w:w="330" w:type="dxa"/>
            <w:vMerge w:val="continue"/>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30"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30"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7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6,617.93</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4,878.32</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1,739.61</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1,144.23</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818.35</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325.89</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1,145.23</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818.35</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325.89</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1,145.23</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818.35</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325.89</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4,080.97</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4,059.97</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普通教育</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4,080.97</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4,059.97</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小学教育</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2,875.76</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2,854.76</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2050203</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初中教育</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1,205.21</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1,205.21</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13.20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13.20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20826</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财政对基本养老保险基金的补助</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2082699</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财政对其他基本养老保险基金的补助</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计划生育事务</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2100717</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计划生育服务</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652.74</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652.74</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污染防治</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552.74</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552.74</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水体</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552.74</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552.74</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城乡社区环境卫生</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2120501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504.02</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207.76</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207.76</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71.98</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71.98</w:t>
            </w:r>
          </w:p>
        </w:tc>
      </w:tr>
      <w:tr>
        <w:tblPrEx>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2130142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农村道路建设</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71.98</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71.98</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135.78</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135.78</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2130705</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对村民委员会和村党支部的补助</w:t>
            </w: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65.78</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65.78</w:t>
            </w:r>
          </w:p>
        </w:tc>
      </w:tr>
      <w:tr>
        <w:tblPrEx>
          <w:shd w:val="clear" w:color="auto" w:fill="auto"/>
          <w:tblLayout w:type="fixed"/>
          <w:tblCellMar>
            <w:top w:w="0" w:type="dxa"/>
            <w:left w:w="0" w:type="dxa"/>
            <w:bottom w:w="0" w:type="dxa"/>
            <w:right w:w="0" w:type="dxa"/>
          </w:tblCellMar>
        </w:tblPrEx>
        <w:trPr>
          <w:trHeight w:val="308" w:hRule="atLeast"/>
        </w:trPr>
        <w:tc>
          <w:tcPr>
            <w:tcW w:w="990" w:type="dxa"/>
            <w:gridSpan w:val="3"/>
            <w:tcBorders>
              <w:top w:val="nil"/>
              <w:left w:val="single" w:color="000000" w:sz="4" w:space="0"/>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2130706</w:t>
            </w:r>
          </w:p>
        </w:tc>
        <w:tc>
          <w:tcPr>
            <w:tcW w:w="3770" w:type="dxa"/>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对村集体经济组织的补助</w:t>
            </w:r>
          </w:p>
        </w:tc>
        <w:tc>
          <w:tcPr>
            <w:tcW w:w="1800" w:type="dxa"/>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395" w:type="dxa"/>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800" w:type="dxa"/>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r>
    </w:tbl>
    <w:p>
      <w:r>
        <w:rPr>
          <w:rFonts w:hint="eastAsia" w:ascii="宋体" w:hAnsi="宋体" w:eastAsia="宋体" w:cs="宋体"/>
          <w:color w:val="000000"/>
          <w:kern w:val="0"/>
          <w:sz w:val="22"/>
          <w:lang w:bidi="ar"/>
        </w:rPr>
        <w:t>注：本表反映部门本年度</w:t>
      </w:r>
      <w:r>
        <w:rPr>
          <w:rFonts w:hint="eastAsia" w:ascii="宋体" w:hAnsi="宋体" w:eastAsia="宋体" w:cs="宋体"/>
          <w:color w:val="000000"/>
          <w:kern w:val="0"/>
          <w:sz w:val="22"/>
          <w:lang w:val="en-US" w:eastAsia="zh-CN" w:bidi="ar"/>
        </w:rPr>
        <w:t>一般公共预算财政拨款</w:t>
      </w:r>
      <w:r>
        <w:rPr>
          <w:rFonts w:hint="eastAsia" w:ascii="宋体" w:hAnsi="宋体" w:eastAsia="宋体" w:cs="宋体"/>
          <w:color w:val="000000"/>
          <w:kern w:val="0"/>
          <w:sz w:val="22"/>
          <w:lang w:bidi="ar"/>
        </w:rPr>
        <w:t>支出情况。</w:t>
      </w:r>
      <w:r>
        <w:br w:type="page"/>
      </w:r>
    </w:p>
    <w:tbl>
      <w:tblPr>
        <w:tblStyle w:val="6"/>
        <w:tblW w:w="10000" w:type="dxa"/>
        <w:jc w:val="center"/>
        <w:tblInd w:w="0" w:type="dxa"/>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Layout w:type="fixed"/>
          <w:tblCellMar>
            <w:top w:w="0" w:type="dxa"/>
            <w:left w:w="0" w:type="dxa"/>
            <w:bottom w:w="0" w:type="dxa"/>
            <w:right w:w="0" w:type="dxa"/>
          </w:tblCellMar>
        </w:tblPrEx>
        <w:trPr>
          <w:trHeight w:val="527"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Layout w:type="fixed"/>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4592.50 </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158.66 </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2321.83 </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15.54 </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609.20 </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1.39 </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12.16 </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2.00 </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4.16</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0.26 </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385.76 </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4.16</w:t>
            </w: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418.99 </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25.50 </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66.65 </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22.74 </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322.32 </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53.64 </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16.14 </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38.01 </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0.68 </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363.93 </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2.95 </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122.99 </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0.50 </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0.47 </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0.50 </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84.7573.76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7.11 </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30.65 </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23.45 </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5.08 </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4.82 </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4.0784.52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0"/>
                <w:szCs w:val="20"/>
                <w:lang w:val="en-US" w:eastAsia="zh-CN"/>
              </w:rPr>
            </w:pPr>
            <w:r>
              <w:rPr>
                <w:rFonts w:hint="eastAsia" w:ascii="宋体" w:hAnsi="宋体" w:eastAsia="宋体" w:cs="宋体"/>
                <w:i w:val="0"/>
                <w:color w:val="000000"/>
                <w:kern w:val="0"/>
                <w:sz w:val="20"/>
                <w:szCs w:val="20"/>
                <w:u w:val="none"/>
                <w:lang w:val="en-US" w:eastAsia="zh-CN" w:bidi="ar"/>
              </w:rPr>
              <w:t xml:space="preserve">21.60 </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11.43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bl>
    <w:p>
      <w:r>
        <w:br w:type="page"/>
      </w:r>
    </w:p>
    <w:tbl>
      <w:tblPr>
        <w:tblStyle w:val="6"/>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5.40</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szCs w:val="22"/>
              </w:rPr>
            </w:pPr>
            <w:r>
              <w:rPr>
                <w:rFonts w:hint="eastAsia" w:ascii="宋体" w:hAnsi="宋体" w:eastAsia="宋体" w:cs="宋体"/>
                <w:b w:val="0"/>
                <w:bCs w:val="0"/>
                <w:sz w:val="22"/>
                <w:szCs w:val="22"/>
                <w:lang w:val="en-US" w:eastAsia="zh-CN"/>
              </w:rPr>
              <w:t>4.08</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szCs w:val="22"/>
                <w:lang w:val="en-US" w:eastAsia="zh-CN"/>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szCs w:val="22"/>
              </w:rPr>
            </w:pPr>
            <w:r>
              <w:rPr>
                <w:rFonts w:hint="eastAsia" w:ascii="宋体" w:hAnsi="宋体" w:eastAsia="宋体" w:cs="宋体"/>
                <w:b w:val="0"/>
                <w:bCs w:val="0"/>
                <w:sz w:val="22"/>
                <w:szCs w:val="22"/>
                <w:lang w:val="en-US" w:eastAsia="zh-CN"/>
              </w:rPr>
              <w:t>4.08</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szCs w:val="22"/>
                <w:lang w:val="en-US" w:eastAsia="zh-CN"/>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szCs w:val="22"/>
              </w:rPr>
            </w:pPr>
            <w:r>
              <w:rPr>
                <w:rFonts w:hint="eastAsia" w:ascii="宋体" w:hAnsi="宋体" w:eastAsia="宋体" w:cs="宋体"/>
                <w:b w:val="0"/>
                <w:bCs w:val="0"/>
                <w:sz w:val="22"/>
                <w:szCs w:val="22"/>
                <w:lang w:val="en-US" w:eastAsia="zh-CN"/>
              </w:rPr>
              <w:t>4.08</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Ind w:w="0" w:type="dxa"/>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lang w:eastAsia="zh-CN"/>
        </w:rPr>
        <w:t>备注：此项无发生，以空表列示</w:t>
      </w:r>
      <w:r>
        <w:br w:type="page"/>
      </w:r>
    </w:p>
    <w:tbl>
      <w:tblPr>
        <w:tblStyle w:val="6"/>
        <w:tblW w:w="9915" w:type="dxa"/>
        <w:jc w:val="center"/>
        <w:tblInd w:w="0" w:type="dxa"/>
        <w:tblLayout w:type="fixed"/>
        <w:tblCellMar>
          <w:top w:w="0" w:type="dxa"/>
          <w:left w:w="0" w:type="dxa"/>
          <w:bottom w:w="0" w:type="dxa"/>
          <w:right w:w="0" w:type="dxa"/>
        </w:tblCellMar>
      </w:tblPr>
      <w:tblGrid>
        <w:gridCol w:w="1288"/>
        <w:gridCol w:w="74"/>
        <w:gridCol w:w="74"/>
        <w:gridCol w:w="3798"/>
        <w:gridCol w:w="961"/>
        <w:gridCol w:w="1860"/>
        <w:gridCol w:w="186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lang w:eastAsia="zh-CN"/>
        </w:rPr>
        <w:t>备注：此项无发生，以空表列示</w:t>
      </w:r>
      <w:r>
        <w:br w:type="page"/>
      </w:r>
    </w:p>
    <w:tbl>
      <w:tblPr>
        <w:tblStyle w:val="6"/>
        <w:tblW w:w="100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70"/>
        <w:gridCol w:w="1710"/>
        <w:gridCol w:w="990"/>
        <w:gridCol w:w="1110"/>
        <w:gridCol w:w="750"/>
        <w:gridCol w:w="1515"/>
        <w:gridCol w:w="1515"/>
        <w:gridCol w:w="9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0050"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0050"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005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47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填报单位：</w:t>
            </w:r>
          </w:p>
        </w:tc>
        <w:tc>
          <w:tcPr>
            <w:tcW w:w="171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兴安镇人民政府</w:t>
            </w:r>
          </w:p>
        </w:tc>
        <w:tc>
          <w:tcPr>
            <w:tcW w:w="990"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110"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750"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515"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250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55" w:hRule="atLeast"/>
        </w:trPr>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一、基本情况</w:t>
            </w:r>
          </w:p>
        </w:tc>
        <w:tc>
          <w:tcPr>
            <w:tcW w:w="17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项目名称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307国道南侧改造绿化款</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实施（主管单位）</w:t>
            </w:r>
          </w:p>
        </w:tc>
        <w:tc>
          <w:tcPr>
            <w:tcW w:w="40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兴安镇人民政府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85"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二、预算执行</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情况</w:t>
            </w:r>
          </w:p>
        </w:tc>
        <w:tc>
          <w:tcPr>
            <w:tcW w:w="27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预算安排情况（调整后）</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资金到位情况</w:t>
            </w:r>
          </w:p>
        </w:tc>
        <w:tc>
          <w:tcPr>
            <w:tcW w:w="30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资金执行情况</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180.56</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到位数：</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180.56</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执行数：</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180.56</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其中：财政</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 xml:space="preserve">     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180.56</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其中：财政</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 xml:space="preserve">     资金</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180.56</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其中：财政</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 xml:space="preserve">     资金</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180.56</w:t>
            </w: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其他</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其他</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55"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三、目标完成</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情况</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78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0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对307南侧兴安村段实施改造、绿化美化，使农村村容村貌得到提升，工程已验收完工，资金拨付到村。</w:t>
            </w:r>
          </w:p>
        </w:tc>
        <w:tc>
          <w:tcPr>
            <w:tcW w:w="378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做好新农村建设，改善307南侧兴安段环境面貌，实施绿化亮化美化。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四、年度绩效指标完成情况</w:t>
            </w:r>
          </w:p>
        </w:tc>
        <w:tc>
          <w:tcPr>
            <w:tcW w:w="17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二级指标</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三级指标</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预期指标值</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实际完成值</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19"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产出指标</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（40分）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数量指标</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围挡墙米数</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1300</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2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浇筑地面平方数</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1700</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1478</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4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质量指标</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路面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c30混凝土路面</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c30混凝土路面</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时效指标</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工程按时完成率（%）</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2"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55"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预算执行率指标（10分）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执行率</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425"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社会效益</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指标</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做好新农村建设</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改善307南侧兴安段环境面貌，实施绿化亮化美化。</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改善307南侧兴安段环境面貌，实施绿化亮化美化。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99"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满意度指标</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（10分）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满意度</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指标</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759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总分</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200" w:hRule="atLeast"/>
        </w:trPr>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五、存在问题、原因及下一步整改措施</w:t>
            </w:r>
          </w:p>
        </w:tc>
        <w:tc>
          <w:tcPr>
            <w:tcW w:w="858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无</w:t>
            </w:r>
          </w:p>
        </w:tc>
      </w:tr>
    </w:tbl>
    <w:p/>
    <w:p/>
    <w:p/>
    <w:p/>
    <w:p/>
    <w:p/>
    <w:p/>
    <w:p/>
    <w:p/>
    <w:p/>
    <w:p/>
    <w:p/>
    <w:p/>
    <w:p/>
    <w:p/>
    <w:p/>
    <w:p/>
    <w:p/>
    <w:p/>
    <w:p/>
    <w:p/>
    <w:p/>
    <w:p/>
    <w:p/>
    <w:p/>
    <w:p/>
    <w:p/>
    <w:p/>
    <w:p/>
    <w:p/>
    <w:p/>
    <w:p/>
    <w:p/>
    <w:p/>
    <w:p/>
    <w:p/>
    <w:p/>
    <w:p/>
    <w:p/>
    <w:p/>
    <w:tbl>
      <w:tblPr>
        <w:tblStyle w:val="6"/>
        <w:tblW w:w="963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70"/>
        <w:gridCol w:w="1710"/>
        <w:gridCol w:w="990"/>
        <w:gridCol w:w="1315"/>
        <w:gridCol w:w="621"/>
        <w:gridCol w:w="1230"/>
        <w:gridCol w:w="1230"/>
        <w:gridCol w:w="10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630"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630"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963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47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填报单位：</w:t>
            </w:r>
          </w:p>
        </w:tc>
        <w:tc>
          <w:tcPr>
            <w:tcW w:w="171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兴安镇人民政府</w:t>
            </w:r>
          </w:p>
        </w:tc>
        <w:tc>
          <w:tcPr>
            <w:tcW w:w="990"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315"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621"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230"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2294"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55" w:hRule="atLeast"/>
        </w:trPr>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一、基本情况</w:t>
            </w:r>
          </w:p>
        </w:tc>
        <w:tc>
          <w:tcPr>
            <w:tcW w:w="17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项目名称</w:t>
            </w:r>
          </w:p>
        </w:tc>
        <w:tc>
          <w:tcPr>
            <w:tcW w:w="23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定魏线两侧（滹沱河大桥至307国道南侧）改造提升工程</w:t>
            </w:r>
          </w:p>
        </w:tc>
        <w:tc>
          <w:tcPr>
            <w:tcW w:w="6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实施（主管单位）</w:t>
            </w:r>
          </w:p>
        </w:tc>
        <w:tc>
          <w:tcPr>
            <w:tcW w:w="352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兴安镇人民政府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70"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二、预算执行</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情况</w:t>
            </w:r>
          </w:p>
        </w:tc>
        <w:tc>
          <w:tcPr>
            <w:tcW w:w="27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预算安排情况（调整后）</w:t>
            </w:r>
          </w:p>
        </w:tc>
        <w:tc>
          <w:tcPr>
            <w:tcW w:w="19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资金到位情况</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资金执行情况</w:t>
            </w:r>
          </w:p>
        </w:tc>
        <w:tc>
          <w:tcPr>
            <w:tcW w:w="10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到位数：</w:t>
            </w:r>
          </w:p>
        </w:tc>
        <w:tc>
          <w:tcPr>
            <w:tcW w:w="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执行数：</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106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其中：财政</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 xml:space="preserve">     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13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其中：财政</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 xml:space="preserve">     资金</w:t>
            </w:r>
          </w:p>
        </w:tc>
        <w:tc>
          <w:tcPr>
            <w:tcW w:w="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其中：财政资金</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10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其他</w:t>
            </w:r>
          </w:p>
        </w:tc>
        <w:tc>
          <w:tcPr>
            <w:tcW w:w="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其他</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0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70"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三、目标完成</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情况</w:t>
            </w:r>
          </w:p>
        </w:tc>
        <w:tc>
          <w:tcPr>
            <w:tcW w:w="401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年度预算目标</w:t>
            </w:r>
          </w:p>
        </w:tc>
        <w:tc>
          <w:tcPr>
            <w:tcW w:w="308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具体完成情况</w:t>
            </w:r>
          </w:p>
        </w:tc>
        <w:tc>
          <w:tcPr>
            <w:tcW w:w="10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20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401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改善定魏线相应路段沿线景观，绿化带，减少道路扬尘，改善空气质量，改善定魏线两侧环境面貌，提升整体形象。</w:t>
            </w:r>
          </w:p>
        </w:tc>
        <w:tc>
          <w:tcPr>
            <w:tcW w:w="30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定魏线两侧（滹沱河大桥至307国道南侧）项目分期实施，便道砖改造提升、绿化、外立面提升改造工程。</w:t>
            </w:r>
          </w:p>
        </w:tc>
        <w:tc>
          <w:tcPr>
            <w:tcW w:w="10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四、年度绩效指标完成情况</w:t>
            </w:r>
          </w:p>
        </w:tc>
        <w:tc>
          <w:tcPr>
            <w:tcW w:w="17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二级指标</w:t>
            </w:r>
          </w:p>
        </w:tc>
        <w:tc>
          <w:tcPr>
            <w:tcW w:w="19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三级指标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预期指标值</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实际完成值</w:t>
            </w:r>
          </w:p>
        </w:tc>
        <w:tc>
          <w:tcPr>
            <w:tcW w:w="10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19"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产出指标</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（40分）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数量指标</w:t>
            </w:r>
          </w:p>
        </w:tc>
        <w:tc>
          <w:tcPr>
            <w:tcW w:w="193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围挡墙米数</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3500</w:t>
            </w:r>
          </w:p>
        </w:tc>
        <w:tc>
          <w:tcPr>
            <w:tcW w:w="10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2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93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浇筑地面平方数</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24000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25000</w:t>
            </w:r>
          </w:p>
        </w:tc>
        <w:tc>
          <w:tcPr>
            <w:tcW w:w="10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6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质量指标</w:t>
            </w:r>
          </w:p>
        </w:tc>
        <w:tc>
          <w:tcPr>
            <w:tcW w:w="193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路面</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c30混凝土路面</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c30混凝土路面</w:t>
            </w:r>
          </w:p>
        </w:tc>
        <w:tc>
          <w:tcPr>
            <w:tcW w:w="10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6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时效指标</w:t>
            </w:r>
          </w:p>
        </w:tc>
        <w:tc>
          <w:tcPr>
            <w:tcW w:w="193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工程按时完成率（%）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35"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预算执行率指标（10分）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执行率</w:t>
            </w:r>
          </w:p>
        </w:tc>
        <w:tc>
          <w:tcPr>
            <w:tcW w:w="193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68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社会效益</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指标</w:t>
            </w:r>
          </w:p>
        </w:tc>
        <w:tc>
          <w:tcPr>
            <w:tcW w:w="193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做好环境提升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改善定魏线两侧环境面貌，实施绿化亮化美化</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改善定魏线两侧环境面貌，实施绿化亮化美化</w:t>
            </w:r>
          </w:p>
        </w:tc>
        <w:tc>
          <w:tcPr>
            <w:tcW w:w="10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9"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满意度指标</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（10分）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满意度</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指标</w:t>
            </w:r>
          </w:p>
        </w:tc>
        <w:tc>
          <w:tcPr>
            <w:tcW w:w="193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7096"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总分</w:t>
            </w:r>
          </w:p>
        </w:tc>
        <w:tc>
          <w:tcPr>
            <w:tcW w:w="10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170" w:hRule="atLeast"/>
        </w:trPr>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五、存在问题、原因及下一步整改措施</w:t>
            </w:r>
          </w:p>
        </w:tc>
        <w:tc>
          <w:tcPr>
            <w:tcW w:w="816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无</w:t>
            </w:r>
          </w:p>
        </w:tc>
      </w:tr>
    </w:tbl>
    <w:p/>
    <w:p/>
    <w:p/>
    <w:p/>
    <w:p/>
    <w:p/>
    <w:p/>
    <w:p/>
    <w:p/>
    <w:p/>
    <w:p/>
    <w:p/>
    <w:p/>
    <w:p/>
    <w:p/>
    <w:p/>
    <w:p/>
    <w:p/>
    <w:p/>
    <w:p/>
    <w:p/>
    <w:p/>
    <w:p/>
    <w:p/>
    <w:p/>
    <w:p/>
    <w:p/>
    <w:p/>
    <w:p/>
    <w:p/>
    <w:p/>
    <w:p/>
    <w:p/>
    <w:p/>
    <w:p/>
    <w:p/>
    <w:p/>
    <w:p/>
    <w:p/>
    <w:p/>
    <w:tbl>
      <w:tblPr>
        <w:tblStyle w:val="6"/>
        <w:tblW w:w="947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77"/>
        <w:gridCol w:w="1710"/>
        <w:gridCol w:w="990"/>
        <w:gridCol w:w="1140"/>
        <w:gridCol w:w="570"/>
        <w:gridCol w:w="1470"/>
        <w:gridCol w:w="1470"/>
        <w:gridCol w:w="55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479"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479"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9479"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1577"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填报单位：</w:t>
            </w:r>
          </w:p>
        </w:tc>
        <w:tc>
          <w:tcPr>
            <w:tcW w:w="171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兴安镇人民政府</w:t>
            </w:r>
          </w:p>
        </w:tc>
        <w:tc>
          <w:tcPr>
            <w:tcW w:w="990"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140"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570"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470"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202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70" w:hRule="atLeast"/>
        </w:trPr>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一、基本情况</w:t>
            </w:r>
          </w:p>
        </w:tc>
        <w:tc>
          <w:tcPr>
            <w:tcW w:w="17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项目名称</w:t>
            </w:r>
          </w:p>
        </w:tc>
        <w:tc>
          <w:tcPr>
            <w:tcW w:w="2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张村北街项目补助资金</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实施（主管单位）</w:t>
            </w:r>
          </w:p>
        </w:tc>
        <w:tc>
          <w:tcPr>
            <w:tcW w:w="34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兴安镇人民政府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85" w:hRule="atLeast"/>
        </w:trPr>
        <w:tc>
          <w:tcPr>
            <w:tcW w:w="15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二、预算执行</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情况</w:t>
            </w:r>
          </w:p>
        </w:tc>
        <w:tc>
          <w:tcPr>
            <w:tcW w:w="27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预算安排情况（调整后）</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资金到位情况</w:t>
            </w:r>
          </w:p>
        </w:tc>
        <w:tc>
          <w:tcPr>
            <w:tcW w:w="29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资金执行情况</w:t>
            </w: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5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70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到位数：</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70</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执行数：</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70</w:t>
            </w:r>
          </w:p>
        </w:tc>
        <w:tc>
          <w:tcPr>
            <w:tcW w:w="55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140" w:hRule="atLeast"/>
        </w:trPr>
        <w:tc>
          <w:tcPr>
            <w:tcW w:w="15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其中：财政</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 xml:space="preserve">     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70</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其中：财政</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 xml:space="preserve">     资金</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70</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其中：财政</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 xml:space="preserve">     资金</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70</w:t>
            </w:r>
          </w:p>
        </w:tc>
        <w:tc>
          <w:tcPr>
            <w:tcW w:w="5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15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其他</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其他</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5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70" w:hRule="atLeast"/>
        </w:trPr>
        <w:tc>
          <w:tcPr>
            <w:tcW w:w="15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三、目标完成</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情况</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年度预算目标</w:t>
            </w:r>
          </w:p>
        </w:tc>
        <w:tc>
          <w:tcPr>
            <w:tcW w:w="351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具体完成情况</w:t>
            </w: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280" w:hRule="atLeast"/>
        </w:trPr>
        <w:tc>
          <w:tcPr>
            <w:tcW w:w="15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为促进粮食购销行业的发展，对张村北街粮食收购加工烘干塔项目实施村级集体经济补助，尽快为农村粮食购销行业提供服务，使该项目尽快投入使用为村集体增收。</w:t>
            </w:r>
          </w:p>
        </w:tc>
        <w:tc>
          <w:tcPr>
            <w:tcW w:w="351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全面帮扶粮食市场收购，壮大集体经济，促进群众增收。</w:t>
            </w: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5" w:hRule="atLeast"/>
        </w:trPr>
        <w:tc>
          <w:tcPr>
            <w:tcW w:w="15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四、年度绩效指标完成情况</w:t>
            </w:r>
          </w:p>
        </w:tc>
        <w:tc>
          <w:tcPr>
            <w:tcW w:w="17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二级指标</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三级指标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预期指标值</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实际完成值</w:t>
            </w: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2" w:hRule="atLeast"/>
        </w:trPr>
        <w:tc>
          <w:tcPr>
            <w:tcW w:w="15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产出指标</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（45分）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数量指标</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项目补助到位率</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85%以上</w:t>
            </w:r>
          </w:p>
        </w:tc>
        <w:tc>
          <w:tcPr>
            <w:tcW w:w="147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85%以上</w:t>
            </w: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2" w:hRule="atLeast"/>
        </w:trPr>
        <w:tc>
          <w:tcPr>
            <w:tcW w:w="15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保障项目数量</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1 </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1 </w:t>
            </w: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2" w:hRule="atLeast"/>
        </w:trPr>
        <w:tc>
          <w:tcPr>
            <w:tcW w:w="15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质量指标</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工程质量达标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符合验收标准</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符合验收标准</w:t>
            </w: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2" w:hRule="atLeast"/>
        </w:trPr>
        <w:tc>
          <w:tcPr>
            <w:tcW w:w="15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预算执行率指标（20分）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执行率</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预算资金使用到位100%</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2" w:hRule="atLeast"/>
        </w:trPr>
        <w:tc>
          <w:tcPr>
            <w:tcW w:w="15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社会效益</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指标</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带动周边粮食市场发展</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达到</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到达</w:t>
            </w: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2" w:hRule="atLeast"/>
        </w:trPr>
        <w:tc>
          <w:tcPr>
            <w:tcW w:w="15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满意度指标</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（20分）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满意度</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指标</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群众满意度（%）</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95%</w:t>
            </w: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15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735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总分</w:t>
            </w:r>
          </w:p>
        </w:tc>
        <w:tc>
          <w:tcPr>
            <w:tcW w:w="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20" w:hRule="atLeast"/>
        </w:trPr>
        <w:tc>
          <w:tcPr>
            <w:tcW w:w="15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五、存在问题、原因及下一步整改措施</w:t>
            </w:r>
          </w:p>
        </w:tc>
        <w:tc>
          <w:tcPr>
            <w:tcW w:w="7902"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该项目主体已完工，项目运行监管应进一步加强，建议张村北街村委会，利用村两委成员及村民代表、村监会成员对项目的运行实施监控，并予以及时公示。</w:t>
            </w:r>
          </w:p>
        </w:tc>
      </w:tr>
    </w:tbl>
    <w:p/>
    <w:p/>
    <w:p/>
    <w:p/>
    <w:p/>
    <w:p/>
    <w:p/>
    <w:p/>
    <w:p/>
    <w:p/>
    <w:p/>
    <w:p/>
    <w:p/>
    <w:p/>
    <w:p/>
    <w:p/>
    <w:p/>
    <w:p/>
    <w:p/>
    <w:p/>
    <w:p/>
    <w:p/>
    <w:p/>
    <w:p/>
    <w:p/>
    <w:p/>
    <w:p/>
    <w:p/>
    <w:p/>
    <w:p/>
    <w:p/>
    <w:p/>
    <w:p/>
    <w:p/>
    <w:p/>
    <w:p/>
    <w:p/>
    <w:p/>
    <w:p/>
    <w:tbl>
      <w:tblPr>
        <w:tblStyle w:val="6"/>
        <w:tblW w:w="1070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45"/>
        <w:gridCol w:w="210"/>
        <w:gridCol w:w="1485"/>
        <w:gridCol w:w="240"/>
        <w:gridCol w:w="780"/>
        <w:gridCol w:w="210"/>
        <w:gridCol w:w="909"/>
        <w:gridCol w:w="261"/>
        <w:gridCol w:w="795"/>
        <w:gridCol w:w="147"/>
        <w:gridCol w:w="1216"/>
        <w:gridCol w:w="392"/>
        <w:gridCol w:w="1185"/>
        <w:gridCol w:w="16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10708" w:type="dxa"/>
            <w:gridSpan w:val="14"/>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10708" w:type="dxa"/>
            <w:gridSpan w:val="14"/>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0708" w:type="dxa"/>
            <w:gridSpan w:val="1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1245"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填报单位：</w:t>
            </w:r>
          </w:p>
        </w:tc>
        <w:tc>
          <w:tcPr>
            <w:tcW w:w="1935" w:type="dxa"/>
            <w:gridSpan w:val="3"/>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兴安镇人民政府</w:t>
            </w:r>
          </w:p>
        </w:tc>
        <w:tc>
          <w:tcPr>
            <w:tcW w:w="990" w:type="dxa"/>
            <w:gridSpan w:val="2"/>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170" w:type="dxa"/>
            <w:gridSpan w:val="2"/>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942" w:type="dxa"/>
            <w:gridSpan w:val="2"/>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608" w:type="dxa"/>
            <w:gridSpan w:val="2"/>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2818"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55"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一、基本情况</w:t>
            </w:r>
          </w:p>
        </w:tc>
        <w:tc>
          <w:tcPr>
            <w:tcW w:w="193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项目名称</w:t>
            </w:r>
          </w:p>
        </w:tc>
        <w:tc>
          <w:tcPr>
            <w:tcW w:w="216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经济开发区污水管网、泵站建设</w:t>
            </w:r>
          </w:p>
        </w:tc>
        <w:tc>
          <w:tcPr>
            <w:tcW w:w="9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实施（主管单位）</w:t>
            </w:r>
          </w:p>
        </w:tc>
        <w:tc>
          <w:tcPr>
            <w:tcW w:w="442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兴安镇人民政府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7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二、预算执行</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情况</w:t>
            </w:r>
          </w:p>
        </w:tc>
        <w:tc>
          <w:tcPr>
            <w:tcW w:w="2925"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预算安排情况（调整后）</w:t>
            </w:r>
          </w:p>
        </w:tc>
        <w:tc>
          <w:tcPr>
            <w:tcW w:w="211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资金到位情况</w:t>
            </w:r>
          </w:p>
        </w:tc>
        <w:tc>
          <w:tcPr>
            <w:tcW w:w="279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资金执行情况</w:t>
            </w:r>
          </w:p>
        </w:tc>
        <w:tc>
          <w:tcPr>
            <w:tcW w:w="16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93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预算数：</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552.74</w:t>
            </w:r>
          </w:p>
        </w:tc>
        <w:tc>
          <w:tcPr>
            <w:tcW w:w="11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到位数：</w:t>
            </w:r>
          </w:p>
        </w:tc>
        <w:tc>
          <w:tcPr>
            <w:tcW w:w="9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552.74</w:t>
            </w:r>
          </w:p>
        </w:tc>
        <w:tc>
          <w:tcPr>
            <w:tcW w:w="16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执行数：</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552.74</w:t>
            </w:r>
          </w:p>
        </w:tc>
        <w:tc>
          <w:tcPr>
            <w:tcW w:w="163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7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9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其中：财政</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 xml:space="preserve">     资金</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552.74</w:t>
            </w:r>
          </w:p>
        </w:tc>
        <w:tc>
          <w:tcPr>
            <w:tcW w:w="11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其中：财政</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 xml:space="preserve">     资金</w:t>
            </w:r>
          </w:p>
        </w:tc>
        <w:tc>
          <w:tcPr>
            <w:tcW w:w="9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552.74</w:t>
            </w:r>
          </w:p>
        </w:tc>
        <w:tc>
          <w:tcPr>
            <w:tcW w:w="160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其中：财政</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 xml:space="preserve">     资金</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552.74</w:t>
            </w:r>
          </w:p>
        </w:tc>
        <w:tc>
          <w:tcPr>
            <w:tcW w:w="16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93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其他</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1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其他</w:t>
            </w:r>
          </w:p>
        </w:tc>
        <w:tc>
          <w:tcPr>
            <w:tcW w:w="9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6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     其他</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eastAsia" w:ascii="宋体" w:hAnsi="宋体" w:eastAsia="宋体" w:cs="宋体"/>
                <w:i w:val="0"/>
                <w:color w:val="000000"/>
                <w:sz w:val="24"/>
                <w:szCs w:val="24"/>
                <w:u w:val="none"/>
              </w:rPr>
            </w:pPr>
          </w:p>
        </w:tc>
        <w:tc>
          <w:tcPr>
            <w:tcW w:w="16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7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三、目标完成</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情况</w:t>
            </w:r>
          </w:p>
        </w:tc>
        <w:tc>
          <w:tcPr>
            <w:tcW w:w="4095"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年度预算目标</w:t>
            </w:r>
          </w:p>
        </w:tc>
        <w:tc>
          <w:tcPr>
            <w:tcW w:w="3735"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具体完成情况</w:t>
            </w:r>
          </w:p>
        </w:tc>
        <w:tc>
          <w:tcPr>
            <w:tcW w:w="16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755"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409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治理环境污染，加强水体治理。承建方施工、竣工，并在质量保修期内承担工程质量保修责任，工程质量达到建设工程“合格”国家质量标准。承包方现已完工并财政投资评审中心评审总审定价款已出。</w:t>
            </w:r>
          </w:p>
        </w:tc>
        <w:tc>
          <w:tcPr>
            <w:tcW w:w="373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严格按照项目有关规定执行，按照合同约定，承建方施工、竣工，并在质量保修期内承担工程质量保修责任。承包方已于2018年完工并财政投资评审中心评审总审定价款已出。</w:t>
            </w:r>
          </w:p>
        </w:tc>
        <w:tc>
          <w:tcPr>
            <w:tcW w:w="16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2"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四、年度绩效指标完成情况</w:t>
            </w:r>
          </w:p>
        </w:tc>
        <w:tc>
          <w:tcPr>
            <w:tcW w:w="193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一级指标</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二级指标</w:t>
            </w:r>
          </w:p>
        </w:tc>
        <w:tc>
          <w:tcPr>
            <w:tcW w:w="211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三级指标</w:t>
            </w:r>
          </w:p>
        </w:tc>
        <w:tc>
          <w:tcPr>
            <w:tcW w:w="16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预期指标值</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实际完成值</w:t>
            </w:r>
          </w:p>
        </w:tc>
        <w:tc>
          <w:tcPr>
            <w:tcW w:w="16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2"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93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产出指标</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（40分）</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数量指标</w:t>
            </w:r>
          </w:p>
        </w:tc>
        <w:tc>
          <w:tcPr>
            <w:tcW w:w="211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治理污水能力治理率</w:t>
            </w:r>
          </w:p>
        </w:tc>
        <w:tc>
          <w:tcPr>
            <w:tcW w:w="160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80%以上</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6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02"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9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gridSpan w:val="2"/>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质量指标</w:t>
            </w:r>
          </w:p>
        </w:tc>
        <w:tc>
          <w:tcPr>
            <w:tcW w:w="211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重点污染治理完成率（%）</w:t>
            </w:r>
          </w:p>
        </w:tc>
        <w:tc>
          <w:tcPr>
            <w:tcW w:w="16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6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02"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9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时效指标</w:t>
            </w:r>
          </w:p>
        </w:tc>
        <w:tc>
          <w:tcPr>
            <w:tcW w:w="211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资金拨付及时率（%）</w:t>
            </w:r>
          </w:p>
        </w:tc>
        <w:tc>
          <w:tcPr>
            <w:tcW w:w="160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Style w:val="14"/>
                <w:lang w:val="en-US" w:eastAsia="zh-CN" w:bidi="ar"/>
              </w:rPr>
              <w:t>≥90%</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6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7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9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预算执行率指标（10分）</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执行率</w:t>
            </w:r>
          </w:p>
        </w:tc>
        <w:tc>
          <w:tcPr>
            <w:tcW w:w="211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6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6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2"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9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社会效益</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指标</w:t>
            </w:r>
          </w:p>
        </w:tc>
        <w:tc>
          <w:tcPr>
            <w:tcW w:w="211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重大环保事件及时发现率（%）</w:t>
            </w:r>
          </w:p>
        </w:tc>
        <w:tc>
          <w:tcPr>
            <w:tcW w:w="160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6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2"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9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满意度指标</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（10分）</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满意度</w:t>
            </w:r>
            <w:r>
              <w:rPr>
                <w:rFonts w:hint="eastAsia" w:ascii="宋体" w:hAnsi="宋体" w:eastAsia="宋体" w:cs="宋体"/>
                <w:i w:val="0"/>
                <w:color w:val="000000"/>
                <w:kern w:val="0"/>
                <w:sz w:val="24"/>
                <w:szCs w:val="24"/>
                <w:u w:val="none"/>
                <w:lang w:val="en-US" w:eastAsia="zh-CN" w:bidi="ar"/>
              </w:rPr>
              <w:br w:type="textWrapping"/>
            </w:r>
            <w:r>
              <w:rPr>
                <w:rFonts w:hint="eastAsia" w:ascii="宋体" w:hAnsi="宋体" w:eastAsia="宋体" w:cs="宋体"/>
                <w:i w:val="0"/>
                <w:color w:val="000000"/>
                <w:kern w:val="0"/>
                <w:sz w:val="24"/>
                <w:szCs w:val="24"/>
                <w:u w:val="none"/>
                <w:lang w:val="en-US" w:eastAsia="zh-CN" w:bidi="ar"/>
              </w:rPr>
              <w:t>指标</w:t>
            </w:r>
          </w:p>
        </w:tc>
        <w:tc>
          <w:tcPr>
            <w:tcW w:w="211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60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6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05"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7830" w:type="dxa"/>
            <w:gridSpan w:val="1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总分</w:t>
            </w:r>
          </w:p>
        </w:tc>
        <w:tc>
          <w:tcPr>
            <w:tcW w:w="16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11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五、存在问题、原因及下一步整改措施</w:t>
            </w:r>
          </w:p>
        </w:tc>
        <w:tc>
          <w:tcPr>
            <w:tcW w:w="9463"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gridAfter w:val="1"/>
          <w:wAfter w:w="1633" w:type="dxa"/>
          <w:trHeight w:val="270" w:hRule="atLeast"/>
        </w:trPr>
        <w:tc>
          <w:tcPr>
            <w:tcW w:w="9075" w:type="dxa"/>
            <w:gridSpan w:val="13"/>
            <w:vMerge w:val="restart"/>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gridAfter w:val="1"/>
          <w:wAfter w:w="1633" w:type="dxa"/>
          <w:trHeight w:val="270" w:hRule="atLeast"/>
        </w:trPr>
        <w:tc>
          <w:tcPr>
            <w:tcW w:w="9075" w:type="dxa"/>
            <w:gridSpan w:val="13"/>
            <w:vMerge w:val="continue"/>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gridAfter w:val="1"/>
          <w:wAfter w:w="1633" w:type="dxa"/>
          <w:trHeight w:val="300" w:hRule="atLeast"/>
        </w:trPr>
        <w:tc>
          <w:tcPr>
            <w:tcW w:w="9075" w:type="dxa"/>
            <w:gridSpan w:val="13"/>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Style w:val="15"/>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gridAfter w:val="1"/>
          <w:wAfter w:w="1633" w:type="dxa"/>
          <w:trHeight w:val="300" w:hRule="atLeast"/>
        </w:trPr>
        <w:tc>
          <w:tcPr>
            <w:tcW w:w="1455" w:type="dxa"/>
            <w:gridSpan w:val="2"/>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2505" w:type="dxa"/>
            <w:gridSpan w:val="3"/>
            <w:tcBorders>
              <w:top w:val="nil"/>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兴安镇人民政府</w:t>
            </w:r>
          </w:p>
        </w:tc>
        <w:tc>
          <w:tcPr>
            <w:tcW w:w="1119" w:type="dxa"/>
            <w:gridSpan w:val="2"/>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6" w:type="dxa"/>
            <w:gridSpan w:val="2"/>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63" w:type="dxa"/>
            <w:gridSpan w:val="2"/>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77" w:type="dxa"/>
            <w:gridSpan w:val="2"/>
            <w:tcBorders>
              <w:top w:val="nil"/>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gridAfter w:val="1"/>
          <w:wAfter w:w="1633" w:type="dxa"/>
          <w:trHeight w:val="585" w:hRule="atLeast"/>
        </w:trPr>
        <w:tc>
          <w:tcPr>
            <w:tcW w:w="14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362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兴安镇综合公用经费    </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94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兴安镇人民政府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After w:val="1"/>
          <w:wAfter w:w="1633" w:type="dxa"/>
          <w:trHeight w:val="720" w:hRule="atLeast"/>
        </w:trPr>
        <w:tc>
          <w:tcPr>
            <w:tcW w:w="14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5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7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After w:val="1"/>
          <w:wAfter w:w="1633" w:type="dxa"/>
          <w:trHeight w:val="525" w:hRule="atLeast"/>
        </w:trPr>
        <w:tc>
          <w:tcPr>
            <w:tcW w:w="14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103.6</w:t>
            </w:r>
          </w:p>
        </w:tc>
        <w:tc>
          <w:tcPr>
            <w:tcW w:w="11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103.6</w:t>
            </w:r>
          </w:p>
        </w:tc>
        <w:tc>
          <w:tcPr>
            <w:tcW w:w="13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103.6</w:t>
            </w:r>
          </w:p>
        </w:tc>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After w:val="1"/>
          <w:wAfter w:w="1633" w:type="dxa"/>
          <w:trHeight w:val="720" w:hRule="atLeast"/>
        </w:trPr>
        <w:tc>
          <w:tcPr>
            <w:tcW w:w="14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103.6</w:t>
            </w:r>
          </w:p>
        </w:tc>
        <w:tc>
          <w:tcPr>
            <w:tcW w:w="11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103.6</w:t>
            </w:r>
          </w:p>
        </w:tc>
        <w:tc>
          <w:tcPr>
            <w:tcW w:w="13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103.6</w:t>
            </w:r>
          </w:p>
        </w:tc>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After w:val="1"/>
          <w:wAfter w:w="1633" w:type="dxa"/>
          <w:trHeight w:val="405" w:hRule="atLeast"/>
        </w:trPr>
        <w:tc>
          <w:tcPr>
            <w:tcW w:w="14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gridAfter w:val="1"/>
          <w:wAfter w:w="1633" w:type="dxa"/>
          <w:trHeight w:val="540" w:hRule="atLeast"/>
        </w:trPr>
        <w:tc>
          <w:tcPr>
            <w:tcW w:w="14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62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8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gridAfter w:val="1"/>
          <w:wAfter w:w="1633" w:type="dxa"/>
          <w:trHeight w:val="1125" w:hRule="atLeast"/>
        </w:trPr>
        <w:tc>
          <w:tcPr>
            <w:tcW w:w="14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62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确保镇2019年度环保、土地、信访、创城、食品安全、安全生产、协税护税、社会综合治理、村级运行维护费等等工作顺利进行</w:t>
            </w:r>
          </w:p>
        </w:tc>
        <w:tc>
          <w:tcPr>
            <w:tcW w:w="28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保障镇各项工作经费，促进工作开展，提升镇各项工作水平，均已达到</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After w:val="1"/>
          <w:wAfter w:w="1633" w:type="dxa"/>
          <w:trHeight w:val="540" w:hRule="atLeast"/>
        </w:trPr>
        <w:tc>
          <w:tcPr>
            <w:tcW w:w="14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After w:val="1"/>
          <w:wAfter w:w="1633" w:type="dxa"/>
          <w:trHeight w:val="720" w:hRule="atLeast"/>
        </w:trPr>
        <w:tc>
          <w:tcPr>
            <w:tcW w:w="14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经费保障率</w:t>
            </w:r>
          </w:p>
        </w:tc>
        <w:tc>
          <w:tcPr>
            <w:tcW w:w="13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Style w:val="15"/>
                <w:lang w:val="en-US" w:eastAsia="zh-CN" w:bidi="ar"/>
              </w:rPr>
              <w:t>&gt;95</w:t>
            </w:r>
          </w:p>
        </w:tc>
        <w:tc>
          <w:tcPr>
            <w:tcW w:w="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gridAfter w:val="1"/>
          <w:wAfter w:w="1633" w:type="dxa"/>
          <w:trHeight w:val="720" w:hRule="atLeast"/>
        </w:trPr>
        <w:tc>
          <w:tcPr>
            <w:tcW w:w="14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经费拨付准确率</w:t>
            </w:r>
          </w:p>
        </w:tc>
        <w:tc>
          <w:tcPr>
            <w:tcW w:w="13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&gt;90</w:t>
            </w:r>
          </w:p>
        </w:tc>
        <w:tc>
          <w:tcPr>
            <w:tcW w:w="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gridAfter w:val="1"/>
          <w:wAfter w:w="1633" w:type="dxa"/>
          <w:trHeight w:val="495" w:hRule="atLeast"/>
        </w:trPr>
        <w:tc>
          <w:tcPr>
            <w:tcW w:w="14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经费拨付及时率</w:t>
            </w:r>
          </w:p>
        </w:tc>
        <w:tc>
          <w:tcPr>
            <w:tcW w:w="13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&gt;90</w:t>
            </w:r>
          </w:p>
        </w:tc>
        <w:tc>
          <w:tcPr>
            <w:tcW w:w="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gridAfter w:val="1"/>
          <w:wAfter w:w="1633" w:type="dxa"/>
          <w:trHeight w:val="720" w:hRule="atLeast"/>
        </w:trPr>
        <w:tc>
          <w:tcPr>
            <w:tcW w:w="14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是否按预算计划执行</w:t>
            </w:r>
          </w:p>
        </w:tc>
        <w:tc>
          <w:tcPr>
            <w:tcW w:w="13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12月全部完成</w:t>
            </w:r>
          </w:p>
        </w:tc>
        <w:tc>
          <w:tcPr>
            <w:tcW w:w="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After w:val="1"/>
          <w:wAfter w:w="1633" w:type="dxa"/>
          <w:trHeight w:val="720" w:hRule="atLeast"/>
        </w:trPr>
        <w:tc>
          <w:tcPr>
            <w:tcW w:w="14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85"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提升村民生活水平</w:t>
            </w:r>
          </w:p>
        </w:tc>
        <w:tc>
          <w:tcPr>
            <w:tcW w:w="13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生活水平改善</w:t>
            </w:r>
          </w:p>
        </w:tc>
        <w:tc>
          <w:tcPr>
            <w:tcW w:w="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gridAfter w:val="1"/>
          <w:wAfter w:w="1633" w:type="dxa"/>
          <w:trHeight w:val="720" w:hRule="atLeast"/>
        </w:trPr>
        <w:tc>
          <w:tcPr>
            <w:tcW w:w="14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8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0"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生态效益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改善生态环境</w:t>
            </w:r>
          </w:p>
        </w:tc>
        <w:tc>
          <w:tcPr>
            <w:tcW w:w="13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村庄环境提升</w:t>
            </w:r>
          </w:p>
        </w:tc>
        <w:tc>
          <w:tcPr>
            <w:tcW w:w="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gridAfter w:val="1"/>
          <w:wAfter w:w="1633" w:type="dxa"/>
          <w:trHeight w:val="720" w:hRule="atLeast"/>
        </w:trPr>
        <w:tc>
          <w:tcPr>
            <w:tcW w:w="14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各项工作得到群众、领导满意认可</w:t>
            </w:r>
          </w:p>
        </w:tc>
        <w:tc>
          <w:tcPr>
            <w:tcW w:w="13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称职</w:t>
            </w:r>
          </w:p>
        </w:tc>
        <w:tc>
          <w:tcPr>
            <w:tcW w:w="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After w:val="1"/>
          <w:wAfter w:w="1633" w:type="dxa"/>
          <w:trHeight w:val="405" w:hRule="atLeast"/>
        </w:trPr>
        <w:tc>
          <w:tcPr>
            <w:tcW w:w="14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35"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After w:val="1"/>
          <w:wAfter w:w="1633" w:type="dxa"/>
          <w:trHeight w:val="1005" w:hRule="atLeast"/>
        </w:trPr>
        <w:tc>
          <w:tcPr>
            <w:tcW w:w="14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620"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综合公用经费项目涵盖内容较多，需要进一步细化、量化。</w:t>
            </w:r>
          </w:p>
        </w:tc>
      </w:tr>
    </w:tbl>
    <w:p/>
    <w:sectPr>
      <w:headerReference r:id="rId29" w:type="first"/>
      <w:headerReference r:id="rId28" w:type="default"/>
      <w:footerReference r:id="rId30"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58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58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896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896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28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28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38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48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48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564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462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462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6672"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6672;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7696"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7696;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9744"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974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8720"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872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203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9203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9305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305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998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998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100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9100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69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69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79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79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07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807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17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17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F349219"/>
    <w:multiLevelType w:val="singleLevel"/>
    <w:tmpl w:val="DF349219"/>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685951B3"/>
    <w:multiLevelType w:val="singleLevel"/>
    <w:tmpl w:val="685951B3"/>
    <w:lvl w:ilvl="0" w:tentative="0">
      <w:start w:val="3"/>
      <w:numFmt w:val="decimal"/>
      <w:lvlText w:val="%1."/>
      <w:lvlJc w:val="left"/>
      <w:pPr>
        <w:tabs>
          <w:tab w:val="left" w:pos="312"/>
        </w:tabs>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5"/>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B2611"/>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9259B"/>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33F39F8"/>
    <w:rsid w:val="043F4079"/>
    <w:rsid w:val="05B00A30"/>
    <w:rsid w:val="07C13B7C"/>
    <w:rsid w:val="09616A75"/>
    <w:rsid w:val="0A892146"/>
    <w:rsid w:val="0B011416"/>
    <w:rsid w:val="0C171CAE"/>
    <w:rsid w:val="118D3A21"/>
    <w:rsid w:val="11C56FAC"/>
    <w:rsid w:val="14E5183A"/>
    <w:rsid w:val="15A71C3F"/>
    <w:rsid w:val="165A53DA"/>
    <w:rsid w:val="167B4161"/>
    <w:rsid w:val="1AE17492"/>
    <w:rsid w:val="1E9A4842"/>
    <w:rsid w:val="20667B81"/>
    <w:rsid w:val="23B109AB"/>
    <w:rsid w:val="26B9603B"/>
    <w:rsid w:val="271F1EC7"/>
    <w:rsid w:val="283F30B1"/>
    <w:rsid w:val="2A7A6C5B"/>
    <w:rsid w:val="2EEA54D7"/>
    <w:rsid w:val="2F79535C"/>
    <w:rsid w:val="31A74D6A"/>
    <w:rsid w:val="31C2036A"/>
    <w:rsid w:val="31E97542"/>
    <w:rsid w:val="320D02A5"/>
    <w:rsid w:val="348E566F"/>
    <w:rsid w:val="36FC134B"/>
    <w:rsid w:val="38DE6DE6"/>
    <w:rsid w:val="39EB2F67"/>
    <w:rsid w:val="3A226944"/>
    <w:rsid w:val="3A643DB0"/>
    <w:rsid w:val="3AEE6A48"/>
    <w:rsid w:val="3C1620AA"/>
    <w:rsid w:val="3D8F080F"/>
    <w:rsid w:val="3F69027F"/>
    <w:rsid w:val="422A08B6"/>
    <w:rsid w:val="44750C46"/>
    <w:rsid w:val="44CE1FA4"/>
    <w:rsid w:val="44DD0591"/>
    <w:rsid w:val="47176E0B"/>
    <w:rsid w:val="4809357E"/>
    <w:rsid w:val="487F73ED"/>
    <w:rsid w:val="4A347EAE"/>
    <w:rsid w:val="4F5B7EF5"/>
    <w:rsid w:val="4FE440FC"/>
    <w:rsid w:val="52600405"/>
    <w:rsid w:val="529B4319"/>
    <w:rsid w:val="556D0ABE"/>
    <w:rsid w:val="57773DD6"/>
    <w:rsid w:val="578B79AB"/>
    <w:rsid w:val="5C206585"/>
    <w:rsid w:val="5C5E69D2"/>
    <w:rsid w:val="5CCD3FD5"/>
    <w:rsid w:val="5D022735"/>
    <w:rsid w:val="5F990F97"/>
    <w:rsid w:val="61FA5F9D"/>
    <w:rsid w:val="62D5128F"/>
    <w:rsid w:val="635A1CCD"/>
    <w:rsid w:val="64CD6910"/>
    <w:rsid w:val="669D6C3E"/>
    <w:rsid w:val="6789158D"/>
    <w:rsid w:val="67D81BA4"/>
    <w:rsid w:val="6AAF1C96"/>
    <w:rsid w:val="6CA821C4"/>
    <w:rsid w:val="6F59602D"/>
    <w:rsid w:val="70624946"/>
    <w:rsid w:val="71CF4683"/>
    <w:rsid w:val="71F64193"/>
    <w:rsid w:val="724137A8"/>
    <w:rsid w:val="73543116"/>
    <w:rsid w:val="75681757"/>
    <w:rsid w:val="75A346A8"/>
    <w:rsid w:val="766E7607"/>
    <w:rsid w:val="79B9382C"/>
    <w:rsid w:val="7B043B76"/>
    <w:rsid w:val="7C041A6A"/>
    <w:rsid w:val="7CE60ECC"/>
    <w:rsid w:val="7CF45D2C"/>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2">
    <w:name w:val="font21"/>
    <w:basedOn w:val="8"/>
    <w:qFormat/>
    <w:uiPriority w:val="0"/>
    <w:rPr>
      <w:rFonts w:hint="default" w:ascii="Arial" w:hAnsi="Arial" w:cs="Arial"/>
      <w:color w:val="000000"/>
      <w:sz w:val="20"/>
      <w:szCs w:val="20"/>
      <w:u w:val="none"/>
    </w:rPr>
  </w:style>
  <w:style w:type="character" w:customStyle="1" w:styleId="13">
    <w:name w:val="font41"/>
    <w:basedOn w:val="8"/>
    <w:qFormat/>
    <w:uiPriority w:val="0"/>
    <w:rPr>
      <w:rFonts w:hint="eastAsia" w:ascii="宋体" w:hAnsi="宋体" w:eastAsia="宋体" w:cs="宋体"/>
      <w:color w:val="000000"/>
      <w:sz w:val="20"/>
      <w:szCs w:val="20"/>
      <w:u w:val="none"/>
    </w:rPr>
  </w:style>
  <w:style w:type="character" w:customStyle="1" w:styleId="14">
    <w:name w:val="font01"/>
    <w:basedOn w:val="8"/>
    <w:uiPriority w:val="0"/>
    <w:rPr>
      <w:rFonts w:hint="eastAsia" w:ascii="宋体" w:hAnsi="宋体" w:eastAsia="宋体" w:cs="宋体"/>
      <w:color w:val="000000"/>
      <w:sz w:val="22"/>
      <w:szCs w:val="22"/>
      <w:u w:val="none"/>
    </w:rPr>
  </w:style>
  <w:style w:type="character" w:customStyle="1" w:styleId="15">
    <w:name w:val="font11"/>
    <w:basedOn w:val="8"/>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1" Type="http://schemas.openxmlformats.org/officeDocument/2006/relationships/fontTable" Target="fontTable.xml"/><Relationship Id="rId40" Type="http://schemas.openxmlformats.org/officeDocument/2006/relationships/customXml" Target="../customXml/item2.xml"/><Relationship Id="rId4" Type="http://schemas.openxmlformats.org/officeDocument/2006/relationships/header" Target="header2.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chart" Target="charts/chart2.xml"/><Relationship Id="rId36" Type="http://schemas.openxmlformats.org/officeDocument/2006/relationships/image" Target="media/image4.emf"/><Relationship Id="rId35" Type="http://schemas.openxmlformats.org/officeDocument/2006/relationships/oleObject" Target="embeddings/oleObject1.bin"/><Relationship Id="rId34" Type="http://schemas.openxmlformats.org/officeDocument/2006/relationships/image" Target="media/image3.png"/><Relationship Id="rId33" Type="http://schemas.openxmlformats.org/officeDocument/2006/relationships/chart" Target="charts/chart1.xml"/><Relationship Id="rId32" Type="http://schemas.openxmlformats.org/officeDocument/2006/relationships/image" Target="media/image2.bmp"/><Relationship Id="rId31" Type="http://schemas.openxmlformats.org/officeDocument/2006/relationships/theme" Target="theme/theme1.xml"/><Relationship Id="rId30" Type="http://schemas.openxmlformats.org/officeDocument/2006/relationships/footer" Target="footer11.xml"/><Relationship Id="rId3" Type="http://schemas.openxmlformats.org/officeDocument/2006/relationships/header" Target="header1.xml"/><Relationship Id="rId29" Type="http://schemas.openxmlformats.org/officeDocument/2006/relationships/header" Target="header17.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footer" Target="footer10.xml"/><Relationship Id="rId23" Type="http://schemas.openxmlformats.org/officeDocument/2006/relationships/footer" Target="footer9.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4.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财政拨款收入</c:v>
                </c:pt>
              </c:strCache>
            </c:strRef>
          </c:tx>
          <c:spPr/>
          <c:explosion val="0"/>
          <c:dPt>
            <c:idx val="0"/>
            <c:bubble3D val="0"/>
            <c:spPr>
              <a:solidFill>
                <a:schemeClr val="accent1"/>
              </a:solidFill>
              <a:ln w="19050">
                <a:solidFill>
                  <a:schemeClr val="lt1"/>
                </a:solidFill>
              </a:ln>
              <a:effectLst/>
            </c:spPr>
          </c:dPt>
          <c:dLbls>
            <c:delete val="1"/>
          </c:dLbls>
          <c:cat>
            <c:strRef>
              <c:f>Sheet1!$A$2</c:f>
              <c:strCache>
                <c:ptCount val="1"/>
                <c:pt idx="0">
                  <c:v>年度收入</c:v>
                </c:pt>
              </c:strCache>
            </c:strRef>
          </c:cat>
          <c:val>
            <c:numRef>
              <c:f>Sheet1!$B$2</c:f>
              <c:numCache>
                <c:formatCode>0%</c:formatCode>
                <c:ptCount val="1"/>
                <c:pt idx="0">
                  <c:v>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支出结构</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Lbls>
            <c:delete val="1"/>
          </c:dLbls>
          <c:cat>
            <c:strRef>
              <c:f>Sheet1!$A$2:$A$8</c:f>
              <c:strCache>
                <c:ptCount val="7"/>
                <c:pt idx="0">
                  <c:v>一般公共服务</c:v>
                </c:pt>
                <c:pt idx="1">
                  <c:v>教育（类）支出</c:v>
                </c:pt>
                <c:pt idx="2">
                  <c:v>社会保障和就业</c:v>
                </c:pt>
                <c:pt idx="3">
                  <c:v>卫生健康</c:v>
                </c:pt>
                <c:pt idx="4">
                  <c:v>节能环保</c:v>
                </c:pt>
                <c:pt idx="5">
                  <c:v>城乡社区</c:v>
                </c:pt>
                <c:pt idx="6">
                  <c:v>农林水支出</c:v>
                </c:pt>
              </c:strCache>
            </c:strRef>
          </c:cat>
          <c:val>
            <c:numRef>
              <c:f>Sheet1!$B$2:$B$8</c:f>
              <c:numCache>
                <c:formatCode>0.00%</c:formatCode>
                <c:ptCount val="7"/>
                <c:pt idx="0">
                  <c:v>0.1729</c:v>
                </c:pt>
                <c:pt idx="1">
                  <c:v>0.6167</c:v>
                </c:pt>
                <c:pt idx="2">
                  <c:v>0.0001</c:v>
                </c:pt>
                <c:pt idx="3">
                  <c:v>0.0002</c:v>
                </c:pt>
                <c:pt idx="4">
                  <c:v>0.098</c:v>
                </c:pt>
                <c:pt idx="5">
                  <c:v>0.0762</c:v>
                </c:pt>
                <c:pt idx="6">
                  <c:v>0.0359</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4</TotalTime>
  <ScaleCrop>false</ScaleCrop>
  <LinksUpToDate>false</LinksUpToDate>
  <CharactersWithSpaces>11119</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cp:lastModifiedBy>
  <cp:lastPrinted>2020-07-30T02:37:00Z</cp:lastPrinted>
  <dcterms:modified xsi:type="dcterms:W3CDTF">2024-02-26T11:46:34Z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E25BB2BE63E3457995E2B1799FC11B61</vt:lpwstr>
  </property>
</Properties>
</file>