
<file path=[Content_Types].xml><?xml version="1.0" encoding="utf-8"?>
<Types xmlns="http://schemas.openxmlformats.org/package/2006/content-types">
  <Default Extension="xml" ContentType="application/xml"/>
  <Default Extension="bin" ContentType="application/vnd.openxmlformats-officedocument.oleObject"/>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47834B">
      <w:pPr>
        <w:keepNext w:val="0"/>
        <w:keepLines w:val="0"/>
        <w:pageBreakBefore w:val="0"/>
        <w:widowControl w:val="0"/>
        <w:kinsoku/>
        <w:wordWrap/>
        <w:overflowPunct/>
        <w:topLinePunct w:val="0"/>
        <w:bidi w:val="0"/>
        <w:adjustRightInd/>
        <w:snapToGrid w:val="0"/>
        <w:spacing w:line="560" w:lineRule="exact"/>
        <w:ind w:left="0" w:leftChars="0" w:right="0"/>
        <w:textAlignment w:val="auto"/>
        <w:outlineLvl w:val="9"/>
        <w:rPr>
          <w:rFonts w:ascii="仿宋" w:hAnsi="仿宋" w:eastAsia="仿宋" w:cs="仿宋"/>
          <w:kern w:val="0"/>
          <w:sz w:val="32"/>
          <w:szCs w:val="32"/>
        </w:rPr>
      </w:pPr>
      <w:r>
        <w:rPr>
          <w:rFonts w:hint="eastAsia" w:ascii="仿宋" w:hAnsi="仿宋" w:eastAsia="仿宋" w:cs="仿宋"/>
          <w:sz w:val="32"/>
          <w:szCs w:val="32"/>
        </w:rPr>
        <w:t>附件</w:t>
      </w:r>
      <w:r>
        <w:rPr>
          <w:rFonts w:hint="eastAsia" w:ascii="仿宋" w:hAnsi="仿宋" w:eastAsia="仿宋" w:cs="仿宋"/>
          <w:sz w:val="32"/>
          <w:szCs w:val="32"/>
          <w:lang w:val="en-US" w:eastAsia="zh-CN"/>
        </w:rPr>
        <w:t>4</w:t>
      </w:r>
    </w:p>
    <w:p w14:paraId="2AA54FB4">
      <w:pPr>
        <w:keepNext w:val="0"/>
        <w:keepLines w:val="0"/>
        <w:pageBreakBefore w:val="0"/>
        <w:widowControl w:val="0"/>
        <w:kinsoku/>
        <w:wordWrap/>
        <w:overflowPunct/>
        <w:topLinePunct w:val="0"/>
        <w:bidi w:val="0"/>
        <w:adjustRightInd/>
        <w:snapToGrid w:val="0"/>
        <w:spacing w:line="560" w:lineRule="exact"/>
        <w:ind w:left="0" w:leftChars="0" w:right="0"/>
        <w:jc w:val="center"/>
        <w:textAlignment w:val="auto"/>
        <w:outlineLvl w:val="9"/>
        <w:rPr>
          <w:rFonts w:hint="eastAsia" w:ascii="宋体" w:hAnsi="宋体" w:cs="宋体"/>
          <w:b/>
          <w:bCs/>
          <w:kern w:val="0"/>
          <w:sz w:val="44"/>
          <w:szCs w:val="44"/>
          <w:lang w:val="en-US" w:eastAsia="zh-CN"/>
        </w:rPr>
      </w:pPr>
      <w:r>
        <w:rPr>
          <w:rFonts w:hint="eastAsia" w:ascii="宋体" w:hAnsi="宋体" w:cs="宋体"/>
          <w:b/>
          <w:bCs/>
          <w:kern w:val="0"/>
          <w:sz w:val="44"/>
          <w:szCs w:val="44"/>
          <w:lang w:val="en-US" w:eastAsia="zh-CN"/>
        </w:rPr>
        <w:t>兴安镇人民政府</w:t>
      </w:r>
    </w:p>
    <w:p w14:paraId="3C21E1BD">
      <w:pPr>
        <w:keepNext w:val="0"/>
        <w:keepLines w:val="0"/>
        <w:pageBreakBefore w:val="0"/>
        <w:widowControl w:val="0"/>
        <w:kinsoku/>
        <w:wordWrap/>
        <w:overflowPunct/>
        <w:topLinePunct w:val="0"/>
        <w:bidi w:val="0"/>
        <w:adjustRightInd/>
        <w:snapToGrid w:val="0"/>
        <w:spacing w:line="560" w:lineRule="exact"/>
        <w:ind w:left="0" w:leftChars="0" w:right="0"/>
        <w:jc w:val="center"/>
        <w:textAlignment w:val="auto"/>
        <w:outlineLvl w:val="9"/>
        <w:rPr>
          <w:rFonts w:ascii="仿宋" w:hAnsi="仿宋" w:eastAsia="仿宋" w:cs="仿宋"/>
          <w:b/>
          <w:sz w:val="32"/>
          <w:szCs w:val="32"/>
        </w:rPr>
      </w:pPr>
      <w:r>
        <w:rPr>
          <w:rFonts w:hint="eastAsia" w:ascii="宋体" w:hAnsi="宋体" w:cs="宋体"/>
          <w:b/>
          <w:bCs/>
          <w:kern w:val="0"/>
          <w:sz w:val="44"/>
          <w:szCs w:val="44"/>
          <w:lang w:val="en-US" w:eastAsia="zh-CN"/>
        </w:rPr>
        <w:t>2022</w:t>
      </w:r>
      <w:r>
        <w:rPr>
          <w:rFonts w:hint="eastAsia" w:ascii="宋体" w:hAnsi="宋体" w:cs="宋体"/>
          <w:b/>
          <w:bCs/>
          <w:kern w:val="0"/>
          <w:sz w:val="44"/>
          <w:szCs w:val="44"/>
        </w:rPr>
        <w:t>年度</w:t>
      </w:r>
      <w:r>
        <w:rPr>
          <w:rFonts w:hint="eastAsia" w:ascii="宋体" w:hAnsi="宋体" w:cs="宋体"/>
          <w:b/>
          <w:bCs/>
          <w:kern w:val="0"/>
          <w:sz w:val="44"/>
          <w:szCs w:val="44"/>
          <w:lang w:eastAsia="zh-CN"/>
        </w:rPr>
        <w:t>整体支出</w:t>
      </w:r>
      <w:r>
        <w:rPr>
          <w:rFonts w:hint="eastAsia" w:ascii="宋体" w:hAnsi="宋体" w:cs="宋体"/>
          <w:b/>
          <w:bCs/>
          <w:sz w:val="44"/>
          <w:szCs w:val="44"/>
        </w:rPr>
        <w:t>绩效自评工作报告</w:t>
      </w:r>
    </w:p>
    <w:p w14:paraId="4A5CA88F">
      <w:pPr>
        <w:keepNext w:val="0"/>
        <w:keepLines w:val="0"/>
        <w:pageBreakBefore w:val="0"/>
        <w:widowControl w:val="0"/>
        <w:kinsoku/>
        <w:wordWrap/>
        <w:overflowPunct/>
        <w:topLinePunct w:val="0"/>
        <w:bidi w:val="0"/>
        <w:adjustRightInd/>
        <w:snapToGrid w:val="0"/>
        <w:spacing w:line="560" w:lineRule="exact"/>
        <w:ind w:left="0" w:leftChars="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3EEA8F00">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lang w:val="en-US" w:eastAsia="zh-CN"/>
        </w:rPr>
        <w:t>1、</w:t>
      </w:r>
      <w:r>
        <w:rPr>
          <w:rFonts w:hint="eastAsia" w:ascii="仿宋" w:hAnsi="仿宋" w:eastAsia="仿宋" w:cs="仿宋"/>
          <w:sz w:val="32"/>
          <w:szCs w:val="32"/>
          <w:highlight w:val="none"/>
        </w:rPr>
        <w:t>部门</w:t>
      </w:r>
      <w:r>
        <w:rPr>
          <w:rFonts w:hint="eastAsia" w:ascii="仿宋" w:hAnsi="仿宋" w:eastAsia="仿宋" w:cs="仿宋"/>
          <w:sz w:val="32"/>
          <w:szCs w:val="32"/>
          <w:highlight w:val="none"/>
          <w:lang w:eastAsia="zh-CN"/>
        </w:rPr>
        <w:t>概况：</w:t>
      </w:r>
    </w:p>
    <w:p w14:paraId="0C880BB7">
      <w:pPr>
        <w:keepNext w:val="0"/>
        <w:keepLines w:val="0"/>
        <w:pageBreakBefore w:val="0"/>
        <w:widowControl w:val="0"/>
        <w:kinsoku/>
        <w:wordWrap/>
        <w:overflowPunct/>
        <w:topLinePunct w:val="0"/>
        <w:autoSpaceDE/>
        <w:autoSpaceDN/>
        <w:bidi w:val="0"/>
        <w:adjustRightInd/>
        <w:spacing w:after="0" w:line="560" w:lineRule="exact"/>
        <w:ind w:firstLine="640" w:firstLineChars="200"/>
        <w:textAlignment w:val="auto"/>
        <w:rPr>
          <w:rFonts w:hint="eastAsia" w:ascii="仿宋_GB2312" w:hAnsi="Cambria" w:eastAsia="仿宋_GB2312" w:cs="ArialUnicodeMS"/>
          <w:b w:val="0"/>
          <w:bCs w:val="0"/>
          <w:kern w:val="0"/>
          <w:sz w:val="32"/>
          <w:szCs w:val="32"/>
          <w:lang w:eastAsia="zh-CN"/>
        </w:rPr>
      </w:pPr>
      <w:r>
        <w:rPr>
          <w:rFonts w:hint="eastAsia" w:ascii="仿宋_GB2312" w:hAnsi="Cambria" w:eastAsia="仿宋_GB2312" w:cs="ArialUnicodeMS"/>
          <w:b w:val="0"/>
          <w:bCs w:val="0"/>
          <w:kern w:val="0"/>
          <w:sz w:val="32"/>
          <w:szCs w:val="32"/>
          <w:lang w:val="en-US" w:eastAsia="zh-CN"/>
        </w:rPr>
        <w:t>2022</w:t>
      </w:r>
      <w:r>
        <w:rPr>
          <w:rFonts w:hint="eastAsia" w:ascii="仿宋_GB2312" w:hAnsi="Cambria" w:eastAsia="仿宋_GB2312" w:cs="ArialUnicodeMS"/>
          <w:b w:val="0"/>
          <w:bCs w:val="0"/>
          <w:kern w:val="0"/>
          <w:sz w:val="32"/>
          <w:szCs w:val="32"/>
        </w:rPr>
        <w:t>年度本部门具体情况如下</w:t>
      </w:r>
      <w:r>
        <w:rPr>
          <w:rFonts w:hint="eastAsia" w:ascii="仿宋_GB2312" w:hAnsi="Cambria" w:eastAsia="仿宋_GB2312" w:cs="ArialUnicodeMS"/>
          <w:b w:val="0"/>
          <w:bCs w:val="0"/>
          <w:kern w:val="0"/>
          <w:sz w:val="32"/>
          <w:szCs w:val="32"/>
          <w:lang w:eastAsia="zh-CN"/>
        </w:rPr>
        <w:t>：</w:t>
      </w:r>
    </w:p>
    <w:tbl>
      <w:tblPr>
        <w:tblStyle w:val="4"/>
        <w:tblpPr w:leftFromText="180" w:rightFromText="180" w:vertAnchor="text" w:horzAnchor="page" w:tblpXSpec="center" w:tblpY="10"/>
        <w:tblOverlap w:val="never"/>
        <w:tblW w:w="98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4"/>
        <w:gridCol w:w="5055"/>
        <w:gridCol w:w="2085"/>
        <w:gridCol w:w="1876"/>
      </w:tblGrid>
      <w:tr w14:paraId="184898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3" w:hRule="atLeast"/>
          <w:jc w:val="center"/>
        </w:trPr>
        <w:tc>
          <w:tcPr>
            <w:tcW w:w="834" w:type="dxa"/>
            <w:noWrap w:val="0"/>
            <w:vAlign w:val="center"/>
          </w:tcPr>
          <w:p w14:paraId="31901996">
            <w:pPr>
              <w:keepNext w:val="0"/>
              <w:keepLines w:val="0"/>
              <w:pageBreakBefore w:val="0"/>
              <w:widowControl w:val="0"/>
              <w:kinsoku/>
              <w:wordWrap/>
              <w:overflowPunct/>
              <w:topLinePunct w:val="0"/>
              <w:autoSpaceDE/>
              <w:autoSpaceDN/>
              <w:bidi w:val="0"/>
              <w:adjustRightInd/>
              <w:spacing w:after="0" w:line="560" w:lineRule="exact"/>
              <w:jc w:val="center"/>
              <w:textAlignment w:val="auto"/>
              <w:rPr>
                <w:rFonts w:ascii="仿宋_GB2312" w:hAnsi="Cambria" w:eastAsia="仿宋_GB2312" w:cs="ArialUnicodeMS"/>
                <w:b w:val="0"/>
                <w:bCs w:val="0"/>
                <w:kern w:val="0"/>
                <w:sz w:val="28"/>
                <w:szCs w:val="28"/>
              </w:rPr>
            </w:pPr>
            <w:r>
              <w:rPr>
                <w:rFonts w:hint="eastAsia" w:ascii="仿宋_GB2312" w:hAnsi="Cambria" w:eastAsia="仿宋_GB2312" w:cs="ArialUnicodeMS"/>
                <w:b w:val="0"/>
                <w:bCs w:val="0"/>
                <w:kern w:val="0"/>
                <w:sz w:val="28"/>
                <w:szCs w:val="28"/>
              </w:rPr>
              <w:t>序号</w:t>
            </w:r>
          </w:p>
        </w:tc>
        <w:tc>
          <w:tcPr>
            <w:tcW w:w="5055" w:type="dxa"/>
            <w:noWrap w:val="0"/>
            <w:vAlign w:val="center"/>
          </w:tcPr>
          <w:p w14:paraId="1BFE6306">
            <w:pPr>
              <w:keepNext w:val="0"/>
              <w:keepLines w:val="0"/>
              <w:pageBreakBefore w:val="0"/>
              <w:widowControl w:val="0"/>
              <w:kinsoku/>
              <w:wordWrap/>
              <w:overflowPunct/>
              <w:topLinePunct w:val="0"/>
              <w:autoSpaceDE/>
              <w:autoSpaceDN/>
              <w:bidi w:val="0"/>
              <w:adjustRightInd/>
              <w:spacing w:after="0" w:line="560" w:lineRule="exact"/>
              <w:jc w:val="center"/>
              <w:textAlignment w:val="auto"/>
              <w:rPr>
                <w:rFonts w:hint="eastAsia" w:ascii="仿宋_GB2312" w:hAnsi="Cambria" w:eastAsia="仿宋_GB2312" w:cs="ArialUnicodeMS"/>
                <w:b w:val="0"/>
                <w:bCs w:val="0"/>
                <w:kern w:val="0"/>
                <w:sz w:val="28"/>
                <w:szCs w:val="28"/>
              </w:rPr>
            </w:pPr>
            <w:r>
              <w:rPr>
                <w:rFonts w:hint="eastAsia" w:ascii="仿宋_GB2312" w:hAnsi="Cambria" w:eastAsia="仿宋_GB2312" w:cs="ArialUnicodeMS"/>
                <w:b w:val="0"/>
                <w:bCs w:val="0"/>
                <w:kern w:val="0"/>
                <w:sz w:val="28"/>
                <w:szCs w:val="28"/>
              </w:rPr>
              <w:t>单位名称</w:t>
            </w:r>
          </w:p>
        </w:tc>
        <w:tc>
          <w:tcPr>
            <w:tcW w:w="2085" w:type="dxa"/>
            <w:noWrap w:val="0"/>
            <w:vAlign w:val="center"/>
          </w:tcPr>
          <w:p w14:paraId="755FC693">
            <w:pPr>
              <w:keepNext w:val="0"/>
              <w:keepLines w:val="0"/>
              <w:pageBreakBefore w:val="0"/>
              <w:widowControl w:val="0"/>
              <w:kinsoku/>
              <w:wordWrap/>
              <w:overflowPunct/>
              <w:topLinePunct w:val="0"/>
              <w:autoSpaceDE/>
              <w:autoSpaceDN/>
              <w:bidi w:val="0"/>
              <w:adjustRightInd/>
              <w:spacing w:after="0" w:line="560" w:lineRule="exact"/>
              <w:jc w:val="center"/>
              <w:textAlignment w:val="auto"/>
              <w:rPr>
                <w:rFonts w:ascii="仿宋_GB2312" w:hAnsi="Cambria" w:eastAsia="仿宋_GB2312" w:cs="ArialUnicodeMS"/>
                <w:b w:val="0"/>
                <w:bCs w:val="0"/>
                <w:kern w:val="0"/>
                <w:sz w:val="28"/>
                <w:szCs w:val="28"/>
              </w:rPr>
            </w:pPr>
            <w:r>
              <w:rPr>
                <w:rFonts w:hint="eastAsia" w:ascii="仿宋_GB2312" w:hAnsi="Cambria" w:eastAsia="仿宋_GB2312" w:cs="ArialUnicodeMS"/>
                <w:b w:val="0"/>
                <w:bCs w:val="0"/>
                <w:kern w:val="0"/>
                <w:sz w:val="28"/>
                <w:szCs w:val="28"/>
              </w:rPr>
              <w:t>单位基本性质</w:t>
            </w:r>
          </w:p>
        </w:tc>
        <w:tc>
          <w:tcPr>
            <w:tcW w:w="1876" w:type="dxa"/>
            <w:noWrap w:val="0"/>
            <w:vAlign w:val="center"/>
          </w:tcPr>
          <w:p w14:paraId="5417253A">
            <w:pPr>
              <w:keepNext w:val="0"/>
              <w:keepLines w:val="0"/>
              <w:pageBreakBefore w:val="0"/>
              <w:widowControl w:val="0"/>
              <w:kinsoku/>
              <w:wordWrap/>
              <w:overflowPunct/>
              <w:topLinePunct w:val="0"/>
              <w:autoSpaceDE/>
              <w:autoSpaceDN/>
              <w:bidi w:val="0"/>
              <w:adjustRightInd/>
              <w:spacing w:after="0" w:line="560" w:lineRule="exact"/>
              <w:jc w:val="center"/>
              <w:textAlignment w:val="auto"/>
              <w:rPr>
                <w:rFonts w:ascii="仿宋_GB2312" w:hAnsi="Cambria" w:eastAsia="仿宋_GB2312" w:cs="ArialUnicodeMS"/>
                <w:b w:val="0"/>
                <w:bCs w:val="0"/>
                <w:kern w:val="0"/>
                <w:sz w:val="28"/>
                <w:szCs w:val="28"/>
              </w:rPr>
            </w:pPr>
            <w:r>
              <w:rPr>
                <w:rFonts w:hint="eastAsia" w:ascii="仿宋_GB2312" w:hAnsi="Cambria" w:eastAsia="仿宋_GB2312" w:cs="ArialUnicodeMS"/>
                <w:b w:val="0"/>
                <w:bCs w:val="0"/>
                <w:kern w:val="0"/>
                <w:sz w:val="28"/>
                <w:szCs w:val="28"/>
              </w:rPr>
              <w:t>经费形式</w:t>
            </w:r>
          </w:p>
        </w:tc>
      </w:tr>
      <w:tr w14:paraId="09DCE9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atLeast"/>
          <w:jc w:val="center"/>
        </w:trPr>
        <w:tc>
          <w:tcPr>
            <w:tcW w:w="834" w:type="dxa"/>
            <w:noWrap w:val="0"/>
            <w:vAlign w:val="top"/>
          </w:tcPr>
          <w:p w14:paraId="687DAB8E">
            <w:pPr>
              <w:keepNext w:val="0"/>
              <w:keepLines w:val="0"/>
              <w:pageBreakBefore w:val="0"/>
              <w:widowControl w:val="0"/>
              <w:kinsoku/>
              <w:wordWrap/>
              <w:overflowPunct/>
              <w:topLinePunct w:val="0"/>
              <w:autoSpaceDE/>
              <w:autoSpaceDN/>
              <w:bidi w:val="0"/>
              <w:adjustRightInd/>
              <w:spacing w:after="0" w:line="560" w:lineRule="exact"/>
              <w:jc w:val="center"/>
              <w:textAlignment w:val="auto"/>
              <w:rPr>
                <w:rFonts w:ascii="仿宋_GB2312" w:hAnsi="Cambria" w:eastAsia="仿宋_GB2312" w:cs="ArialUnicodeMS"/>
                <w:b w:val="0"/>
                <w:bCs w:val="0"/>
                <w:kern w:val="0"/>
                <w:sz w:val="28"/>
                <w:szCs w:val="28"/>
              </w:rPr>
            </w:pPr>
            <w:r>
              <w:rPr>
                <w:rFonts w:hint="eastAsia" w:ascii="仿宋_GB2312" w:hAnsi="Cambria" w:eastAsia="仿宋_GB2312" w:cs="ArialUnicodeMS"/>
                <w:b w:val="0"/>
                <w:bCs w:val="0"/>
                <w:kern w:val="0"/>
                <w:sz w:val="28"/>
                <w:szCs w:val="28"/>
              </w:rPr>
              <w:t>1</w:t>
            </w:r>
          </w:p>
        </w:tc>
        <w:tc>
          <w:tcPr>
            <w:tcW w:w="5055" w:type="dxa"/>
            <w:noWrap w:val="0"/>
            <w:vAlign w:val="top"/>
          </w:tcPr>
          <w:p w14:paraId="71516406">
            <w:pPr>
              <w:keepNext w:val="0"/>
              <w:keepLines w:val="0"/>
              <w:pageBreakBefore w:val="0"/>
              <w:widowControl w:val="0"/>
              <w:kinsoku/>
              <w:wordWrap/>
              <w:overflowPunct/>
              <w:topLinePunct w:val="0"/>
              <w:autoSpaceDE/>
              <w:autoSpaceDN/>
              <w:bidi w:val="0"/>
              <w:adjustRightInd/>
              <w:spacing w:after="0" w:line="560" w:lineRule="exact"/>
              <w:jc w:val="center"/>
              <w:textAlignment w:val="auto"/>
              <w:rPr>
                <w:rFonts w:hint="eastAsia" w:ascii="仿宋_GB2312" w:hAnsi="Cambria" w:eastAsia="仿宋_GB2312" w:cs="ArialUnicodeMS"/>
                <w:b w:val="0"/>
                <w:bCs w:val="0"/>
                <w:kern w:val="0"/>
                <w:sz w:val="28"/>
                <w:szCs w:val="28"/>
              </w:rPr>
            </w:pPr>
            <w:r>
              <w:rPr>
                <w:rFonts w:hint="eastAsia" w:ascii="仿宋_GB2312" w:hAnsi="Cambria" w:eastAsia="仿宋_GB2312" w:cs="ArialUnicodeMS"/>
                <w:b w:val="0"/>
                <w:bCs w:val="0"/>
                <w:kern w:val="0"/>
                <w:sz w:val="28"/>
                <w:szCs w:val="28"/>
                <w:lang w:eastAsia="zh-CN"/>
              </w:rPr>
              <w:t>石家庄市藁城区兴安镇人民政府</w:t>
            </w:r>
            <w:r>
              <w:rPr>
                <w:rFonts w:hint="eastAsia" w:ascii="仿宋_GB2312" w:hAnsi="Cambria" w:eastAsia="仿宋_GB2312" w:cs="ArialUnicodeMS"/>
                <w:b w:val="0"/>
                <w:bCs w:val="0"/>
                <w:kern w:val="0"/>
                <w:sz w:val="28"/>
                <w:szCs w:val="28"/>
              </w:rPr>
              <w:t>(</w:t>
            </w:r>
            <w:r>
              <w:rPr>
                <w:rFonts w:hint="eastAsia" w:ascii="仿宋_GB2312" w:hAnsi="Cambria" w:eastAsia="仿宋_GB2312" w:cs="ArialUnicodeMS"/>
                <w:b w:val="0"/>
                <w:bCs w:val="0"/>
                <w:kern w:val="0"/>
                <w:sz w:val="28"/>
                <w:szCs w:val="28"/>
                <w:lang w:eastAsia="zh-CN"/>
              </w:rPr>
              <w:t>机关</w:t>
            </w:r>
            <w:r>
              <w:rPr>
                <w:rFonts w:hint="eastAsia" w:ascii="仿宋_GB2312" w:hAnsi="Cambria" w:eastAsia="仿宋_GB2312" w:cs="ArialUnicodeMS"/>
                <w:b w:val="0"/>
                <w:bCs w:val="0"/>
                <w:kern w:val="0"/>
                <w:sz w:val="28"/>
                <w:szCs w:val="28"/>
              </w:rPr>
              <w:t>)</w:t>
            </w:r>
          </w:p>
        </w:tc>
        <w:tc>
          <w:tcPr>
            <w:tcW w:w="2085" w:type="dxa"/>
            <w:noWrap w:val="0"/>
            <w:vAlign w:val="top"/>
          </w:tcPr>
          <w:p w14:paraId="5A650E2C">
            <w:pPr>
              <w:keepNext w:val="0"/>
              <w:keepLines w:val="0"/>
              <w:pageBreakBefore w:val="0"/>
              <w:widowControl w:val="0"/>
              <w:kinsoku/>
              <w:wordWrap/>
              <w:overflowPunct/>
              <w:topLinePunct w:val="0"/>
              <w:autoSpaceDE/>
              <w:autoSpaceDN/>
              <w:bidi w:val="0"/>
              <w:adjustRightInd/>
              <w:spacing w:after="0" w:line="560" w:lineRule="exact"/>
              <w:jc w:val="center"/>
              <w:textAlignment w:val="auto"/>
              <w:rPr>
                <w:rFonts w:hint="eastAsia" w:ascii="仿宋_GB2312" w:hAnsi="Cambria" w:eastAsia="仿宋_GB2312" w:cs="ArialUnicodeMS"/>
                <w:b w:val="0"/>
                <w:bCs w:val="0"/>
                <w:kern w:val="0"/>
                <w:sz w:val="28"/>
                <w:szCs w:val="28"/>
                <w:lang w:eastAsia="zh-CN"/>
              </w:rPr>
            </w:pPr>
            <w:r>
              <w:rPr>
                <w:rFonts w:hint="eastAsia" w:ascii="仿宋_GB2312" w:hAnsi="Cambria" w:eastAsia="仿宋_GB2312" w:cs="ArialUnicodeMS"/>
                <w:b w:val="0"/>
                <w:bCs w:val="0"/>
                <w:kern w:val="0"/>
                <w:sz w:val="28"/>
                <w:szCs w:val="28"/>
                <w:lang w:eastAsia="zh-CN"/>
              </w:rPr>
              <w:t>行政单位</w:t>
            </w:r>
          </w:p>
        </w:tc>
        <w:tc>
          <w:tcPr>
            <w:tcW w:w="1876" w:type="dxa"/>
            <w:noWrap w:val="0"/>
            <w:vAlign w:val="top"/>
          </w:tcPr>
          <w:p w14:paraId="71669A50">
            <w:pPr>
              <w:keepNext w:val="0"/>
              <w:keepLines w:val="0"/>
              <w:pageBreakBefore w:val="0"/>
              <w:widowControl w:val="0"/>
              <w:kinsoku/>
              <w:wordWrap/>
              <w:overflowPunct/>
              <w:topLinePunct w:val="0"/>
              <w:autoSpaceDE/>
              <w:autoSpaceDN/>
              <w:bidi w:val="0"/>
              <w:adjustRightInd/>
              <w:spacing w:after="0" w:line="560" w:lineRule="exact"/>
              <w:jc w:val="center"/>
              <w:textAlignment w:val="auto"/>
              <w:rPr>
                <w:rFonts w:hint="eastAsia" w:ascii="仿宋_GB2312" w:hAnsi="Cambria" w:eastAsia="仿宋_GB2312" w:cs="ArialUnicodeMS"/>
                <w:b w:val="0"/>
                <w:bCs w:val="0"/>
                <w:kern w:val="0"/>
                <w:sz w:val="28"/>
                <w:szCs w:val="28"/>
                <w:lang w:eastAsia="zh-CN"/>
              </w:rPr>
            </w:pPr>
            <w:r>
              <w:rPr>
                <w:rFonts w:hint="eastAsia" w:ascii="仿宋_GB2312" w:hAnsi="Cambria" w:eastAsia="仿宋_GB2312" w:cs="ArialUnicodeMS"/>
                <w:b w:val="0"/>
                <w:bCs w:val="0"/>
                <w:kern w:val="0"/>
                <w:sz w:val="28"/>
                <w:szCs w:val="28"/>
                <w:lang w:eastAsia="zh-CN"/>
              </w:rPr>
              <w:t>财政拨款</w:t>
            </w:r>
          </w:p>
        </w:tc>
      </w:tr>
    </w:tbl>
    <w:p w14:paraId="392AFEA4">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 w:eastAsia="仿宋_GB2312"/>
          <w:sz w:val="32"/>
          <w:szCs w:val="32"/>
        </w:rPr>
      </w:pPr>
      <w:r>
        <w:rPr>
          <w:rFonts w:hint="eastAsia" w:ascii="仿宋_GB2312" w:hAnsi="仿宋" w:eastAsia="仿宋_GB2312"/>
          <w:b w:val="0"/>
          <w:bCs w:val="0"/>
          <w:sz w:val="32"/>
          <w:szCs w:val="32"/>
          <w:lang w:val="en-US" w:eastAsia="zh-CN"/>
        </w:rPr>
        <w:t>2022</w:t>
      </w:r>
      <w:r>
        <w:rPr>
          <w:rFonts w:hint="eastAsia" w:ascii="仿宋_GB2312" w:hAnsi="仿宋" w:eastAsia="仿宋_GB2312"/>
          <w:b w:val="0"/>
          <w:bCs w:val="0"/>
          <w:sz w:val="32"/>
          <w:szCs w:val="32"/>
          <w:lang w:eastAsia="zh-CN"/>
        </w:rPr>
        <w:t>年末本部门实有人数</w:t>
      </w:r>
      <w:r>
        <w:rPr>
          <w:rFonts w:hint="eastAsia" w:ascii="仿宋_GB2312" w:hAnsi="仿宋" w:eastAsia="仿宋_GB2312"/>
          <w:b w:val="0"/>
          <w:bCs w:val="0"/>
          <w:sz w:val="32"/>
          <w:szCs w:val="32"/>
          <w:lang w:val="en-US" w:eastAsia="zh-CN"/>
        </w:rPr>
        <w:t>63人，其中镇政府行政干部40名，事业人员23名，离退休人员14人。</w:t>
      </w:r>
    </w:p>
    <w:p w14:paraId="702EAC65">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default"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2、</w:t>
      </w:r>
      <w:r>
        <w:rPr>
          <w:rFonts w:hint="eastAsia" w:ascii="仿宋" w:hAnsi="仿宋" w:eastAsia="仿宋" w:cs="仿宋"/>
          <w:sz w:val="32"/>
          <w:szCs w:val="32"/>
          <w:highlight w:val="none"/>
          <w:lang w:eastAsia="zh-CN"/>
        </w:rPr>
        <w:t>部门基本职责：</w:t>
      </w:r>
    </w:p>
    <w:p w14:paraId="03089502">
      <w:pPr>
        <w:keepNext w:val="0"/>
        <w:keepLines w:val="0"/>
        <w:pageBreakBefore w:val="0"/>
        <w:widowControl w:val="0"/>
        <w:kinsoku/>
        <w:wordWrap/>
        <w:overflowPunct/>
        <w:topLinePunct w:val="0"/>
        <w:bidi w:val="0"/>
        <w:snapToGrid/>
        <w:spacing w:line="560" w:lineRule="exact"/>
        <w:ind w:firstLine="627" w:firstLineChars="196"/>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政务管理：依法依规履行机关日常管理职责，确保政府工作正常运行。做好各类突发事件的应急管理工作，确保遇突发事件能够及时有效应对。</w:t>
      </w:r>
    </w:p>
    <w:p w14:paraId="196DD7AD">
      <w:pPr>
        <w:keepNext w:val="0"/>
        <w:keepLines w:val="0"/>
        <w:pageBreakBefore w:val="0"/>
        <w:widowControl w:val="0"/>
        <w:kinsoku/>
        <w:wordWrap/>
        <w:overflowPunct/>
        <w:topLinePunct w:val="0"/>
        <w:bidi w:val="0"/>
        <w:snapToGrid/>
        <w:spacing w:line="560" w:lineRule="exact"/>
        <w:ind w:firstLine="640"/>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经济发展：制定经济发展规划，促进民营企业发展，招商引资，发展支柱产业。</w:t>
      </w:r>
    </w:p>
    <w:p w14:paraId="7B138FDB">
      <w:pPr>
        <w:keepNext w:val="0"/>
        <w:keepLines w:val="0"/>
        <w:pageBreakBefore w:val="0"/>
        <w:widowControl w:val="0"/>
        <w:kinsoku/>
        <w:wordWrap/>
        <w:overflowPunct/>
        <w:topLinePunct w:val="0"/>
        <w:bidi w:val="0"/>
        <w:snapToGrid/>
        <w:spacing w:line="560" w:lineRule="exact"/>
        <w:ind w:firstLine="640"/>
        <w:textAlignment w:val="auto"/>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rPr>
        <w:t>维护社会稳定和国家安全:提高社会综合治理能力，预防减少不稳定因素的发生，做好信访维稳工作，有效化解不稳定隐患、群体性事件和突发事件。</w:t>
      </w:r>
    </w:p>
    <w:p w14:paraId="63CF2FA4">
      <w:pPr>
        <w:keepNext w:val="0"/>
        <w:keepLines w:val="0"/>
        <w:pageBreakBefore w:val="0"/>
        <w:widowControl w:val="0"/>
        <w:kinsoku/>
        <w:wordWrap/>
        <w:overflowPunct/>
        <w:topLinePunct w:val="0"/>
        <w:bidi w:val="0"/>
        <w:snapToGrid/>
        <w:spacing w:line="560" w:lineRule="exact"/>
        <w:ind w:firstLine="640"/>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社会救助政策及管理：承担社会救助体系建设，负责农村居民最低生活保障、五保供养、医疗救助。</w:t>
      </w:r>
    </w:p>
    <w:p w14:paraId="5D3D522D">
      <w:pPr>
        <w:keepNext w:val="0"/>
        <w:keepLines w:val="0"/>
        <w:pageBreakBefore w:val="0"/>
        <w:widowControl w:val="0"/>
        <w:kinsoku/>
        <w:wordWrap/>
        <w:overflowPunct/>
        <w:topLinePunct w:val="0"/>
        <w:bidi w:val="0"/>
        <w:snapToGrid/>
        <w:spacing w:line="560" w:lineRule="exact"/>
        <w:ind w:firstLine="720" w:firstLineChars="225"/>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加强土地管理：依法依规监督土地使用，配合上级土管部门治理违规使用土地情况</w:t>
      </w:r>
    </w:p>
    <w:p w14:paraId="6561BA50">
      <w:pPr>
        <w:keepNext w:val="0"/>
        <w:keepLines w:val="0"/>
        <w:pageBreakBefore w:val="0"/>
        <w:widowControl w:val="0"/>
        <w:kinsoku/>
        <w:wordWrap/>
        <w:overflowPunct/>
        <w:topLinePunct w:val="0"/>
        <w:bidi w:val="0"/>
        <w:snapToGrid/>
        <w:spacing w:line="560" w:lineRule="exact"/>
        <w:ind w:firstLine="720" w:firstLineChars="225"/>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环境保护与治理：积极配合执法部门依法治理大气、水、土地等污染。</w:t>
      </w:r>
    </w:p>
    <w:p w14:paraId="5B3CF7E4">
      <w:pPr>
        <w:keepNext w:val="0"/>
        <w:keepLines w:val="0"/>
        <w:pageBreakBefore w:val="0"/>
        <w:widowControl w:val="0"/>
        <w:kinsoku/>
        <w:wordWrap/>
        <w:overflowPunct/>
        <w:topLinePunct w:val="0"/>
        <w:bidi w:val="0"/>
        <w:snapToGrid/>
        <w:spacing w:line="560" w:lineRule="exact"/>
        <w:ind w:firstLine="720" w:firstLineChars="225"/>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食品安全管理：配合执法部门依法进行食品安全管理对辖区内食品药品等进行监管。</w:t>
      </w:r>
    </w:p>
    <w:p w14:paraId="59DBC3E7">
      <w:pPr>
        <w:keepNext w:val="0"/>
        <w:keepLines w:val="0"/>
        <w:pageBreakBefore w:val="0"/>
        <w:widowControl w:val="0"/>
        <w:kinsoku/>
        <w:wordWrap/>
        <w:overflowPunct/>
        <w:topLinePunct w:val="0"/>
        <w:bidi w:val="0"/>
        <w:snapToGrid/>
        <w:spacing w:line="560" w:lineRule="exact"/>
        <w:ind w:firstLine="720" w:firstLineChars="225"/>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安全生产：创新和转变监管方式，构建长效机制，推动企业落实安全生产主体责任，提高企业安全生产管理水平，有效预防和减少各类生产安全事故的发生。</w:t>
      </w:r>
    </w:p>
    <w:p w14:paraId="616DE219">
      <w:pPr>
        <w:keepNext w:val="0"/>
        <w:keepLines w:val="0"/>
        <w:pageBreakBefore w:val="0"/>
        <w:widowControl w:val="0"/>
        <w:kinsoku/>
        <w:wordWrap/>
        <w:overflowPunct/>
        <w:topLinePunct w:val="0"/>
        <w:bidi w:val="0"/>
        <w:snapToGrid/>
        <w:spacing w:line="560" w:lineRule="exact"/>
        <w:ind w:firstLine="720" w:firstLineChars="225"/>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农村管理及综合改革：农村村容村貌维护提升，保障农村基层党支部和村委会正常运行及业务开展，全面推进农村综合改革提供组织保障</w:t>
      </w:r>
    </w:p>
    <w:p w14:paraId="79103652">
      <w:pPr>
        <w:keepNext w:val="0"/>
        <w:keepLines w:val="0"/>
        <w:pageBreakBefore w:val="0"/>
        <w:widowControl w:val="0"/>
        <w:kinsoku/>
        <w:wordWrap/>
        <w:overflowPunct/>
        <w:topLinePunct w:val="0"/>
        <w:bidi w:val="0"/>
        <w:snapToGrid/>
        <w:spacing w:line="560" w:lineRule="exact"/>
        <w:ind w:firstLine="720" w:firstLineChars="225"/>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农业生产：发挥农业科技支撑作用，通过新技术成果的展示，辐射带动全镇适宜区域的农业行业技术推广应用，加强对动植物疫病的控制，建设防灾、减灾体系。</w:t>
      </w:r>
    </w:p>
    <w:p w14:paraId="7DBC49EB">
      <w:pPr>
        <w:keepNext w:val="0"/>
        <w:keepLines w:val="0"/>
        <w:pageBreakBefore w:val="0"/>
        <w:widowControl w:val="0"/>
        <w:kinsoku/>
        <w:wordWrap/>
        <w:overflowPunct/>
        <w:topLinePunct w:val="0"/>
        <w:bidi w:val="0"/>
        <w:snapToGrid/>
        <w:spacing w:line="560" w:lineRule="exact"/>
        <w:ind w:firstLine="720" w:firstLineChars="225"/>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城镇建设：城乡公共设施建设、美丽乡村建设、创建文明城市，污水处理、垃圾处理、厕所改造、村庄绿化、危房改造、饮水安全、道路硬化、绿化、亮化等，农村面貌改造有效提升。</w:t>
      </w:r>
    </w:p>
    <w:p w14:paraId="368966B8">
      <w:pPr>
        <w:keepNext w:val="0"/>
        <w:keepLines w:val="0"/>
        <w:pageBreakBefore w:val="0"/>
        <w:widowControl w:val="0"/>
        <w:kinsoku/>
        <w:wordWrap/>
        <w:overflowPunct/>
        <w:topLinePunct w:val="0"/>
        <w:autoSpaceDE w:val="0"/>
        <w:autoSpaceDN w:val="0"/>
        <w:bidi w:val="0"/>
        <w:adjustRightInd w:val="0"/>
        <w:snapToGrid/>
        <w:spacing w:after="0" w:line="560" w:lineRule="exact"/>
        <w:ind w:firstLine="640" w:firstLineChars="200"/>
        <w:jc w:val="left"/>
        <w:textAlignment w:val="auto"/>
        <w:rPr>
          <w:rFonts w:hint="eastAsia" w:ascii="仿宋_GB2312" w:hAnsi="仿宋" w:eastAsia="仿宋_GB2312"/>
          <w:sz w:val="32"/>
          <w:szCs w:val="32"/>
        </w:rPr>
      </w:pPr>
      <w:r>
        <w:rPr>
          <w:rFonts w:hint="eastAsia" w:ascii="仿宋" w:hAnsi="仿宋" w:eastAsia="仿宋" w:cs="仿宋"/>
          <w:b w:val="0"/>
          <w:bCs w:val="0"/>
          <w:sz w:val="32"/>
          <w:szCs w:val="32"/>
        </w:rPr>
        <w:t>文教卫生：配合教育、科技、文体、卫生等部门搞好义务教育，</w:t>
      </w:r>
      <w:r>
        <w:rPr>
          <w:rFonts w:hint="eastAsia" w:ascii="仿宋" w:hAnsi="仿宋" w:eastAsia="仿宋" w:cs="仿宋"/>
          <w:b w:val="0"/>
          <w:bCs w:val="0"/>
          <w:sz w:val="32"/>
          <w:szCs w:val="32"/>
          <w:lang w:val="en-US" w:eastAsia="zh-CN"/>
        </w:rPr>
        <w:t>做好疫情防控工作，</w:t>
      </w:r>
      <w:r>
        <w:rPr>
          <w:rFonts w:hint="eastAsia" w:ascii="仿宋" w:hAnsi="仿宋" w:eastAsia="仿宋" w:cs="仿宋"/>
          <w:b w:val="0"/>
          <w:bCs w:val="0"/>
          <w:sz w:val="32"/>
          <w:szCs w:val="32"/>
        </w:rPr>
        <w:t>普及推广科学技术，做好计生服务宣传计划生育政策，丰富农村文化生活，推行合作医疗。</w:t>
      </w:r>
    </w:p>
    <w:p w14:paraId="64269F0D">
      <w:pPr>
        <w:keepNext w:val="0"/>
        <w:keepLines w:val="0"/>
        <w:pageBreakBefore w:val="0"/>
        <w:widowControl w:val="0"/>
        <w:numPr>
          <w:ilvl w:val="0"/>
          <w:numId w:val="1"/>
        </w:numPr>
        <w:kinsoku/>
        <w:wordWrap/>
        <w:overflowPunct/>
        <w:topLinePunct w:val="0"/>
        <w:bidi w:val="0"/>
        <w:adjustRightInd/>
        <w:snapToGrid w:val="0"/>
        <w:spacing w:line="560" w:lineRule="exact"/>
        <w:ind w:left="0" w:leftChars="0" w:right="0" w:firstLine="640" w:firstLineChars="200"/>
        <w:textAlignment w:val="auto"/>
        <w:outlineLvl w:val="9"/>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lang w:eastAsia="zh-CN"/>
        </w:rPr>
        <w:t>部门收支预决算</w:t>
      </w:r>
    </w:p>
    <w:p w14:paraId="5B0F637C">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 w:hAnsi="仿宋" w:eastAsia="仿宋" w:cs="仿宋"/>
          <w:sz w:val="32"/>
          <w:szCs w:val="32"/>
          <w:highlight w:val="yellow"/>
          <w:lang w:eastAsia="zh-CN"/>
        </w:rPr>
      </w:pPr>
      <w:r>
        <w:rPr>
          <w:rFonts w:hint="eastAsia" w:ascii="仿宋" w:hAnsi="仿宋" w:eastAsia="仿宋"/>
          <w:b w:val="0"/>
          <w:bCs w:val="0"/>
          <w:sz w:val="32"/>
          <w:szCs w:val="32"/>
          <w:lang w:val="en-US" w:eastAsia="zh-CN"/>
        </w:rPr>
        <w:t>2022</w:t>
      </w:r>
      <w:r>
        <w:rPr>
          <w:rFonts w:hint="eastAsia" w:ascii="仿宋" w:hAnsi="仿宋" w:eastAsia="仿宋"/>
          <w:b w:val="0"/>
          <w:bCs w:val="0"/>
          <w:sz w:val="32"/>
          <w:szCs w:val="32"/>
        </w:rPr>
        <w:t>年</w:t>
      </w:r>
      <w:r>
        <w:rPr>
          <w:rFonts w:hint="eastAsia" w:ascii="仿宋" w:hAnsi="仿宋" w:eastAsia="仿宋"/>
          <w:b w:val="0"/>
          <w:bCs w:val="0"/>
          <w:sz w:val="32"/>
          <w:szCs w:val="32"/>
          <w:lang w:val="en-US" w:eastAsia="zh-CN"/>
        </w:rPr>
        <w:t>本镇</w:t>
      </w:r>
      <w:r>
        <w:rPr>
          <w:rFonts w:hint="eastAsia" w:ascii="仿宋" w:hAnsi="仿宋" w:eastAsia="仿宋"/>
          <w:b w:val="0"/>
          <w:bCs w:val="0"/>
          <w:sz w:val="32"/>
          <w:szCs w:val="32"/>
        </w:rPr>
        <w:t>预算安排</w:t>
      </w:r>
      <w:r>
        <w:rPr>
          <w:rFonts w:hint="eastAsia" w:ascii="仿宋" w:hAnsi="仿宋" w:eastAsia="仿宋"/>
          <w:b w:val="0"/>
          <w:bCs w:val="0"/>
          <w:sz w:val="32"/>
          <w:szCs w:val="32"/>
          <w:lang w:val="en-US" w:eastAsia="zh-CN"/>
        </w:rPr>
        <w:t>3170.67万元，决算支出3169.83</w:t>
      </w:r>
      <w:r>
        <w:rPr>
          <w:rFonts w:hint="eastAsia" w:ascii="仿宋" w:hAnsi="仿宋" w:eastAsia="仿宋"/>
          <w:b w:val="0"/>
          <w:bCs w:val="0"/>
          <w:sz w:val="32"/>
          <w:szCs w:val="32"/>
        </w:rPr>
        <w:t>万元，</w:t>
      </w:r>
      <w:r>
        <w:rPr>
          <w:rFonts w:hint="eastAsia" w:ascii="仿宋" w:hAnsi="仿宋" w:eastAsia="仿宋"/>
          <w:b w:val="0"/>
          <w:bCs w:val="0"/>
          <w:sz w:val="32"/>
          <w:szCs w:val="32"/>
          <w:lang w:eastAsia="zh-CN"/>
        </w:rPr>
        <w:t>其</w:t>
      </w:r>
      <w:r>
        <w:rPr>
          <w:rFonts w:hint="eastAsia" w:ascii="仿宋" w:hAnsi="仿宋" w:eastAsia="仿宋"/>
          <w:b w:val="0"/>
          <w:bCs w:val="0"/>
          <w:sz w:val="32"/>
          <w:szCs w:val="32"/>
        </w:rPr>
        <w:t>中基本</w:t>
      </w:r>
      <w:r>
        <w:rPr>
          <w:rFonts w:hint="eastAsia" w:ascii="仿宋" w:hAnsi="仿宋" w:eastAsia="仿宋"/>
          <w:b w:val="0"/>
          <w:bCs w:val="0"/>
          <w:sz w:val="32"/>
          <w:szCs w:val="32"/>
          <w:lang w:eastAsia="zh-CN"/>
        </w:rPr>
        <w:t>支出</w:t>
      </w:r>
      <w:r>
        <w:rPr>
          <w:rFonts w:hint="eastAsia" w:ascii="仿宋" w:hAnsi="仿宋" w:eastAsia="仿宋"/>
          <w:b w:val="0"/>
          <w:bCs w:val="0"/>
          <w:sz w:val="32"/>
          <w:szCs w:val="32"/>
          <w:lang w:val="en-US" w:eastAsia="zh-CN"/>
        </w:rPr>
        <w:t>1274.59</w:t>
      </w:r>
      <w:r>
        <w:rPr>
          <w:rFonts w:hint="eastAsia" w:ascii="仿宋" w:hAnsi="仿宋" w:eastAsia="仿宋"/>
          <w:b w:val="0"/>
          <w:bCs w:val="0"/>
          <w:sz w:val="32"/>
          <w:szCs w:val="32"/>
        </w:rPr>
        <w:t>万元，包括人员经费</w:t>
      </w:r>
      <w:r>
        <w:rPr>
          <w:rFonts w:hint="eastAsia" w:ascii="仿宋_GB2312" w:hAnsi="仿宋" w:eastAsia="仿宋_GB2312"/>
          <w:b w:val="0"/>
          <w:bCs w:val="0"/>
          <w:sz w:val="32"/>
          <w:szCs w:val="32"/>
          <w:lang w:val="en-US" w:eastAsia="zh-CN"/>
        </w:rPr>
        <w:t>1090.27</w:t>
      </w:r>
      <w:r>
        <w:rPr>
          <w:rFonts w:hint="eastAsia" w:ascii="仿宋" w:hAnsi="仿宋" w:eastAsia="仿宋"/>
          <w:b w:val="0"/>
          <w:bCs w:val="0"/>
          <w:sz w:val="32"/>
          <w:szCs w:val="32"/>
        </w:rPr>
        <w:t>万元和日常公用经费</w:t>
      </w:r>
      <w:r>
        <w:rPr>
          <w:rFonts w:hint="eastAsia" w:ascii="仿宋_GB2312" w:hAnsi="仿宋" w:eastAsia="仿宋_GB2312"/>
          <w:b w:val="0"/>
          <w:bCs w:val="0"/>
          <w:sz w:val="32"/>
          <w:szCs w:val="32"/>
          <w:lang w:val="en-US" w:eastAsia="zh-CN"/>
        </w:rPr>
        <w:t>184.32</w:t>
      </w:r>
      <w:r>
        <w:rPr>
          <w:rFonts w:hint="eastAsia" w:ascii="仿宋" w:hAnsi="仿宋" w:eastAsia="仿宋"/>
          <w:b w:val="0"/>
          <w:bCs w:val="0"/>
          <w:sz w:val="32"/>
          <w:szCs w:val="32"/>
        </w:rPr>
        <w:t>万元</w:t>
      </w:r>
      <w:r>
        <w:rPr>
          <w:rFonts w:hint="eastAsia" w:ascii="仿宋" w:hAnsi="仿宋" w:eastAsia="仿宋"/>
          <w:b w:val="0"/>
          <w:bCs w:val="0"/>
          <w:sz w:val="32"/>
          <w:szCs w:val="32"/>
          <w:lang w:eastAsia="zh-CN"/>
        </w:rPr>
        <w:t>，</w:t>
      </w:r>
      <w:r>
        <w:rPr>
          <w:rFonts w:hint="eastAsia" w:ascii="仿宋" w:hAnsi="仿宋" w:eastAsia="仿宋"/>
          <w:b w:val="0"/>
          <w:bCs w:val="0"/>
          <w:sz w:val="32"/>
          <w:szCs w:val="32"/>
        </w:rPr>
        <w:t>项目支出</w:t>
      </w:r>
      <w:r>
        <w:rPr>
          <w:rFonts w:hint="eastAsia" w:ascii="仿宋" w:hAnsi="仿宋" w:eastAsia="仿宋"/>
          <w:b w:val="0"/>
          <w:bCs w:val="0"/>
          <w:sz w:val="32"/>
          <w:szCs w:val="32"/>
          <w:lang w:val="en-US" w:eastAsia="zh-CN"/>
        </w:rPr>
        <w:t>1895.23</w:t>
      </w:r>
      <w:r>
        <w:rPr>
          <w:rFonts w:hint="eastAsia" w:ascii="仿宋" w:hAnsi="仿宋" w:eastAsia="仿宋"/>
          <w:b w:val="0"/>
          <w:bCs w:val="0"/>
          <w:sz w:val="32"/>
          <w:szCs w:val="32"/>
        </w:rPr>
        <w:t>万元</w:t>
      </w:r>
      <w:r>
        <w:rPr>
          <w:rFonts w:hint="eastAsia" w:ascii="仿宋" w:hAnsi="仿宋" w:eastAsia="仿宋"/>
          <w:b w:val="0"/>
          <w:bCs w:val="0"/>
          <w:sz w:val="32"/>
          <w:szCs w:val="32"/>
          <w:lang w:eastAsia="zh-CN"/>
        </w:rPr>
        <w:t>，其中基本建设类项目</w:t>
      </w:r>
      <w:r>
        <w:rPr>
          <w:rFonts w:hint="eastAsia" w:ascii="仿宋" w:hAnsi="仿宋" w:eastAsia="仿宋"/>
          <w:b w:val="0"/>
          <w:bCs w:val="0"/>
          <w:sz w:val="32"/>
          <w:szCs w:val="32"/>
          <w:lang w:val="en-US" w:eastAsia="zh-CN"/>
        </w:rPr>
        <w:t>539万元</w:t>
      </w:r>
      <w:r>
        <w:rPr>
          <w:rFonts w:hint="eastAsia" w:ascii="仿宋" w:hAnsi="仿宋" w:eastAsia="仿宋"/>
          <w:b w:val="0"/>
          <w:bCs w:val="0"/>
          <w:sz w:val="32"/>
          <w:szCs w:val="32"/>
          <w:lang w:eastAsia="zh-CN"/>
        </w:rPr>
        <w:t>。</w:t>
      </w:r>
      <w:r>
        <w:rPr>
          <w:rFonts w:hint="eastAsia" w:ascii="仿宋" w:hAnsi="仿宋" w:eastAsia="仿宋"/>
          <w:b w:val="0"/>
          <w:bCs w:val="0"/>
          <w:sz w:val="32"/>
          <w:szCs w:val="32"/>
          <w:lang w:eastAsia="zh-CN"/>
        </w:rPr>
        <w:object>
          <v:shape id="_x0000_i1025" o:spt="75" type="#_x0000_t75" style="height:0.05pt;width:0.05pt;" o:ole="t" filled="f" stroked="f" coordsize="21600,21600">
            <v:path/>
            <v:fill on="f" focussize="0,0"/>
            <v:stroke on="f"/>
            <v:imagedata o:title=""/>
            <o:lock v:ext="edit" aspectratio="t"/>
            <w10:wrap type="none"/>
            <w10:anchorlock/>
          </v:shape>
          <o:OLEObject Type="Embed" ProgID="Excel.Chart.8" ShapeID="_x0000_i1025" DrawAspect="Content" ObjectID="_1468075725" r:id="rId6">
            <o:LockedField>false</o:LockedField>
          </o:OLEObject>
        </w:object>
      </w:r>
      <w:r>
        <w:rPr>
          <w:rFonts w:hint="eastAsia" w:ascii="仿宋" w:hAnsi="仿宋" w:eastAsia="仿宋"/>
          <w:b w:val="0"/>
          <w:bCs w:val="0"/>
          <w:sz w:val="32"/>
          <w:szCs w:val="32"/>
          <w:lang w:eastAsia="zh-CN"/>
        </w:rPr>
        <w:object>
          <v:shape id="_x0000_i1026" o:spt="75" type="#_x0000_t75" style="height:0.05pt;width:0.05pt;" o:ole="t" filled="f" stroked="f" coordsize="21600,21600">
            <v:path/>
            <v:fill on="f" focussize="0,0"/>
            <v:stroke on="f"/>
            <v:imagedata o:title=""/>
            <o:lock v:ext="edit" aspectratio="t"/>
            <w10:wrap type="none"/>
            <w10:anchorlock/>
          </v:shape>
          <o:OLEObject Type="Embed" ProgID="Excel.Chart.8" ShapeID="_x0000_i1026" DrawAspect="Content" ObjectID="_1468075726" r:id="rId7">
            <o:LockedField>false</o:LockedField>
          </o:OLEObject>
        </w:object>
      </w:r>
    </w:p>
    <w:p w14:paraId="7A9AE18A">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default" w:ascii="仿宋" w:hAnsi="仿宋" w:eastAsia="仿宋" w:cs="仿宋"/>
          <w:sz w:val="32"/>
          <w:szCs w:val="32"/>
          <w:highlight w:val="none"/>
          <w:lang w:val="en-US" w:eastAsia="zh-CN"/>
        </w:rPr>
      </w:pPr>
      <w:r>
        <w:rPr>
          <w:rFonts w:hint="eastAsia" w:ascii="仿宋" w:hAnsi="仿宋" w:eastAsia="仿宋" w:cs="仿宋"/>
          <w:sz w:val="32"/>
          <w:szCs w:val="32"/>
          <w:highlight w:val="none"/>
          <w:lang w:eastAsia="zh-CN"/>
        </w:rPr>
        <w:t>部门整体支出绩效目标</w:t>
      </w:r>
      <w:r>
        <w:rPr>
          <w:rFonts w:hint="eastAsia" w:ascii="仿宋" w:hAnsi="仿宋" w:eastAsia="仿宋" w:cs="仿宋"/>
          <w:sz w:val="32"/>
          <w:szCs w:val="32"/>
          <w:highlight w:val="none"/>
          <w:lang w:val="en-US" w:eastAsia="zh-CN"/>
        </w:rPr>
        <w:t>情况</w:t>
      </w:r>
    </w:p>
    <w:p w14:paraId="21470554">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仿宋" w:hAnsi="仿宋" w:eastAsia="仿宋" w:cs="Times New Roman"/>
          <w:b w:val="0"/>
          <w:bCs w:val="0"/>
          <w:sz w:val="32"/>
          <w:szCs w:val="32"/>
          <w:lang w:val="en-US" w:eastAsia="zh-CN"/>
        </w:rPr>
      </w:pPr>
      <w:r>
        <w:rPr>
          <w:rFonts w:hint="default" w:ascii="仿宋" w:hAnsi="仿宋" w:eastAsia="仿宋" w:cs="Times New Roman"/>
          <w:b w:val="0"/>
          <w:bCs w:val="0"/>
          <w:sz w:val="32"/>
          <w:szCs w:val="32"/>
          <w:lang w:val="en-US" w:eastAsia="zh-CN"/>
        </w:rPr>
        <w:t>坚持以习近平新时代中国特色社会主义思想为指导，全面贯彻党的</w:t>
      </w:r>
      <w:r>
        <w:rPr>
          <w:rFonts w:hint="eastAsia" w:ascii="仿宋" w:hAnsi="仿宋" w:eastAsia="仿宋" w:cs="Times New Roman"/>
          <w:b w:val="0"/>
          <w:bCs w:val="0"/>
          <w:sz w:val="32"/>
          <w:szCs w:val="32"/>
          <w:lang w:val="en-US" w:eastAsia="zh-CN"/>
        </w:rPr>
        <w:t>二十</w:t>
      </w:r>
      <w:r>
        <w:rPr>
          <w:rFonts w:hint="default" w:ascii="仿宋" w:hAnsi="仿宋" w:eastAsia="仿宋" w:cs="Times New Roman"/>
          <w:b w:val="0"/>
          <w:bCs w:val="0"/>
          <w:sz w:val="32"/>
          <w:szCs w:val="32"/>
          <w:lang w:val="en-US" w:eastAsia="zh-CN"/>
        </w:rPr>
        <w:t>大精神和认真贯彻落实省、市、区一系列决策部署。镇党委全面领导本镇的工作和基层社会治理，支持和保证行政组织，经济组织和群众自治组织充分行驶职权。镇人大加强基层政权，推进基层民主法治建设和政治文明建设。镇政府依法行驶行政职权，宣传贯彻党的路线方针政策和党员代表大会的决议，讨论和决定本镇经济建设、政治建设、文化建设、社会建设、生态文明建设和党的建设以及乡村振兴中的重大问题。</w:t>
      </w:r>
    </w:p>
    <w:p w14:paraId="351F01AC">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 w:hAnsi="仿宋" w:eastAsia="仿宋" w:cs="仿宋"/>
          <w:sz w:val="32"/>
          <w:szCs w:val="32"/>
          <w:lang w:eastAsia="zh-CN"/>
        </w:rPr>
      </w:pPr>
      <w:r>
        <w:rPr>
          <w:rFonts w:hint="default" w:ascii="仿宋" w:hAnsi="仿宋" w:eastAsia="仿宋" w:cs="Times New Roman"/>
          <w:b w:val="0"/>
          <w:bCs w:val="0"/>
          <w:sz w:val="32"/>
          <w:szCs w:val="32"/>
          <w:lang w:val="en-US" w:eastAsia="zh-CN"/>
        </w:rPr>
        <w:t>全镇各部门团结带领全镇广大干部群众攻坚克难、砥砺奋进，坚持稳中求进、稳中求新、稳中求高，坚持深化改革、扩大开放，切实增强机遇意识、忧患意识、责任意识，统筹推进项目建设、乡村振兴、绿色发展、效能革命等重点工作，推动全镇高质量发展。</w:t>
      </w:r>
    </w:p>
    <w:p w14:paraId="2499A848">
      <w:pPr>
        <w:keepNext w:val="0"/>
        <w:keepLines w:val="0"/>
        <w:pageBreakBefore w:val="0"/>
        <w:widowControl w:val="0"/>
        <w:kinsoku/>
        <w:wordWrap/>
        <w:overflowPunct/>
        <w:topLinePunct w:val="0"/>
        <w:bidi w:val="0"/>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二、绩效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1E964473">
      <w:pPr>
        <w:keepNext w:val="0"/>
        <w:keepLines w:val="0"/>
        <w:pageBreakBefore w:val="0"/>
        <w:widowControl w:val="0"/>
        <w:kinsoku/>
        <w:wordWrap/>
        <w:overflowPunct/>
        <w:topLinePunct w:val="0"/>
        <w:bidi w:val="0"/>
        <w:snapToGrid/>
        <w:spacing w:line="560" w:lineRule="exact"/>
        <w:ind w:firstLine="720"/>
        <w:textAlignment w:val="auto"/>
        <w:rPr>
          <w:rFonts w:hint="eastAsia" w:ascii="仿宋_GB2312" w:hAnsi="仿宋" w:eastAsia="仿宋_GB2312"/>
          <w:sz w:val="32"/>
          <w:szCs w:val="32"/>
        </w:rPr>
      </w:pPr>
      <w:r>
        <w:rPr>
          <w:rFonts w:hint="eastAsia" w:ascii="仿宋_GB2312" w:hAnsi="仿宋" w:eastAsia="仿宋_GB2312"/>
          <w:sz w:val="32"/>
          <w:szCs w:val="32"/>
        </w:rPr>
        <w:t>1、成立预算绩效评价小组。为保证绩效评价工作顺利开展，石家庄市藁城区兴安镇人民政府成立了绩效评价</w:t>
      </w:r>
      <w:r>
        <w:rPr>
          <w:rFonts w:hint="eastAsia" w:ascii="仿宋_GB2312" w:hAnsi="仿宋" w:eastAsia="仿宋_GB2312"/>
          <w:sz w:val="32"/>
          <w:szCs w:val="32"/>
          <w:lang w:val="en-US" w:eastAsia="zh-CN"/>
        </w:rPr>
        <w:t>领导</w:t>
      </w:r>
      <w:r>
        <w:rPr>
          <w:rFonts w:hint="eastAsia" w:ascii="仿宋_GB2312" w:hAnsi="仿宋" w:eastAsia="仿宋_GB2312"/>
          <w:sz w:val="32"/>
          <w:szCs w:val="32"/>
        </w:rPr>
        <w:t>小组，负责绩效评价的组织管理等工作。</w:t>
      </w:r>
    </w:p>
    <w:p w14:paraId="67F279C8">
      <w:pPr>
        <w:keepNext w:val="0"/>
        <w:keepLines w:val="0"/>
        <w:pageBreakBefore w:val="0"/>
        <w:widowControl w:val="0"/>
        <w:kinsoku/>
        <w:wordWrap/>
        <w:overflowPunct/>
        <w:topLinePunct w:val="0"/>
        <w:bidi w:val="0"/>
        <w:snapToGrid/>
        <w:spacing w:line="560" w:lineRule="exact"/>
        <w:ind w:firstLine="720"/>
        <w:textAlignment w:val="auto"/>
        <w:rPr>
          <w:rFonts w:hint="eastAsia" w:ascii="仿宋_GB2312" w:hAnsi="仿宋" w:eastAsia="仿宋_GB2312"/>
          <w:sz w:val="32"/>
          <w:szCs w:val="32"/>
        </w:rPr>
      </w:pPr>
      <w:r>
        <w:rPr>
          <w:rFonts w:hint="eastAsia" w:ascii="仿宋_GB2312" w:hAnsi="仿宋" w:eastAsia="仿宋_GB2312"/>
          <w:sz w:val="32"/>
          <w:szCs w:val="32"/>
        </w:rPr>
        <w:t>2、组织开展自评。石家庄市藁城区兴安镇人民政府按照要求整理相关数据和资料，对部门综合绩效情况进行自我评价，由绩效评价领导小组牵头，组织机关各科室对</w:t>
      </w:r>
      <w:r>
        <w:rPr>
          <w:rFonts w:hint="eastAsia" w:ascii="仿宋_GB2312" w:hAnsi="仿宋" w:eastAsia="仿宋_GB2312"/>
          <w:sz w:val="32"/>
          <w:szCs w:val="32"/>
          <w:lang w:val="en-US" w:eastAsia="zh-CN"/>
        </w:rPr>
        <w:t>2022</w:t>
      </w:r>
      <w:r>
        <w:rPr>
          <w:rFonts w:hint="eastAsia" w:ascii="仿宋_GB2312" w:hAnsi="仿宋" w:eastAsia="仿宋_GB2312"/>
          <w:sz w:val="32"/>
          <w:szCs w:val="32"/>
        </w:rPr>
        <w:t>年所有与本部门相关的财政支出项目开展了自评，逐个项目填报了《区级部门预算项目自评表》，并撰写《</w:t>
      </w:r>
      <w:r>
        <w:rPr>
          <w:rFonts w:hint="eastAsia" w:ascii="仿宋_GB2312" w:hAnsi="仿宋" w:eastAsia="仿宋_GB2312"/>
          <w:sz w:val="32"/>
          <w:szCs w:val="32"/>
          <w:lang w:val="en-US" w:eastAsia="zh-CN"/>
        </w:rPr>
        <w:t>2022</w:t>
      </w:r>
      <w:r>
        <w:rPr>
          <w:rFonts w:hint="eastAsia" w:ascii="仿宋_GB2312" w:hAnsi="仿宋" w:eastAsia="仿宋_GB2312"/>
          <w:sz w:val="32"/>
          <w:szCs w:val="32"/>
        </w:rPr>
        <w:t>部门年度绩效自评工作报告》。</w:t>
      </w:r>
    </w:p>
    <w:p w14:paraId="2FD12BCE">
      <w:pPr>
        <w:keepNext w:val="0"/>
        <w:keepLines w:val="0"/>
        <w:pageBreakBefore w:val="0"/>
        <w:widowControl w:val="0"/>
        <w:kinsoku/>
        <w:wordWrap/>
        <w:overflowPunct/>
        <w:topLinePunct w:val="0"/>
        <w:autoSpaceDE w:val="0"/>
        <w:autoSpaceDN w:val="0"/>
        <w:bidi w:val="0"/>
        <w:adjustRightInd w:val="0"/>
        <w:snapToGrid/>
        <w:spacing w:line="560" w:lineRule="exact"/>
        <w:ind w:firstLine="640" w:firstLineChars="200"/>
        <w:textAlignment w:val="auto"/>
        <w:rPr>
          <w:rFonts w:hint="eastAsia" w:ascii="仿宋" w:hAnsi="仿宋" w:eastAsia="仿宋" w:cs="仿宋"/>
          <w:sz w:val="32"/>
          <w:szCs w:val="32"/>
          <w:lang w:eastAsia="zh-CN"/>
        </w:rPr>
      </w:pPr>
      <w:r>
        <w:rPr>
          <w:rFonts w:hint="eastAsia" w:ascii="仿宋_GB2312" w:hAnsi="仿宋" w:eastAsia="仿宋_GB2312"/>
          <w:sz w:val="32"/>
          <w:szCs w:val="32"/>
        </w:rPr>
        <w:t>3、石家庄市藁城区兴安镇人民政府执行财经制度和管理规定，按时完成预算执行进度，严格控制、合理利用各项经费，按要求进行预算管理。</w:t>
      </w:r>
    </w:p>
    <w:p w14:paraId="0F7264E8">
      <w:pPr>
        <w:keepNext w:val="0"/>
        <w:keepLines w:val="0"/>
        <w:pageBreakBefore w:val="0"/>
        <w:widowControl w:val="0"/>
        <w:numPr>
          <w:ilvl w:val="0"/>
          <w:numId w:val="2"/>
        </w:numPr>
        <w:kinsoku/>
        <w:wordWrap/>
        <w:overflowPunct/>
        <w:topLinePunct w:val="0"/>
        <w:bidi w:val="0"/>
        <w:adjustRightInd/>
        <w:snapToGrid w:val="0"/>
        <w:spacing w:line="560" w:lineRule="exact"/>
        <w:ind w:left="-10" w:leftChars="0" w:right="0" w:firstLine="640" w:firstLineChars="0"/>
        <w:textAlignment w:val="auto"/>
        <w:outlineLvl w:val="9"/>
        <w:rPr>
          <w:rFonts w:hint="eastAsia" w:ascii="仿宋" w:hAnsi="仿宋" w:eastAsia="仿宋" w:cs="仿宋"/>
          <w:sz w:val="32"/>
          <w:szCs w:val="32"/>
          <w:lang w:eastAsia="zh-CN"/>
        </w:rPr>
      </w:pPr>
      <w:r>
        <w:rPr>
          <w:rFonts w:hint="eastAsia" w:ascii="黑体" w:hAnsi="黑体" w:eastAsia="黑体" w:cs="黑体"/>
          <w:sz w:val="32"/>
          <w:szCs w:val="32"/>
          <w:lang w:eastAsia="zh-CN"/>
        </w:rPr>
        <w:t>部门整体支出绩效目标实现情况及指标分析</w:t>
      </w:r>
    </w:p>
    <w:p w14:paraId="41B50E4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兴安镇2022年拆违拆建、土地治理与恢复、城乡社区环境综合整治、环境保护及卫生清理资金、基础设施建设及维修改造费、路域环境改造提升资金、社会综合治理（综治、联防人员劳务费、律师费等）、占地补偿、拆迁补偿费等30个项目调整预算金额2618.87万元。</w:t>
      </w:r>
    </w:p>
    <w:p w14:paraId="63C543E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 w:eastAsia="仿宋_GB2312"/>
          <w:sz w:val="32"/>
          <w:szCs w:val="32"/>
          <w:lang w:val="en-US" w:eastAsia="zh-CN"/>
        </w:rPr>
      </w:pPr>
      <w:r>
        <w:rPr>
          <w:rFonts w:hint="eastAsia" w:ascii="仿宋_GB2312" w:hAnsi="仿宋" w:eastAsia="仿宋_GB2312"/>
          <w:sz w:val="32"/>
          <w:szCs w:val="32"/>
          <w:lang w:val="en-US" w:eastAsia="zh-CN"/>
        </w:rPr>
        <w:t>项目实施单位为兴安镇人民政府，本着环境整治与治理、城乡面貌改造、村级运行、保障生产安全、维护社会稳定、防止环境污染、清理违法占地等工作中产生的人力、物力支出，确保我镇各项工作顺利进行，主要资金来源为财政预算拨款。</w:t>
      </w:r>
    </w:p>
    <w:p w14:paraId="41227E4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eastAsia="zh-CN"/>
        </w:rPr>
      </w:pPr>
      <w:r>
        <w:rPr>
          <w:rFonts w:hint="eastAsia" w:ascii="仿宋_GB2312" w:hAnsi="仿宋" w:eastAsia="仿宋_GB2312"/>
          <w:sz w:val="32"/>
          <w:szCs w:val="32"/>
        </w:rPr>
        <w:t>我镇将上述资金细化，根据预算管理的要求，结合我单位实际情况，制定了切实可行、可量化、可考评的年度目标，并依据财政制定的相关财经制度、政府采购法规及行政会计制度，在严格实行专款专用的前提下进行了实时监控、全程监督。单位领导十分重视专项资金的使用，按财政相关要求资金项目进展情况良好。</w:t>
      </w:r>
      <w:r>
        <w:rPr>
          <w:rFonts w:hint="eastAsia" w:ascii="仿宋_GB2312" w:hAnsi="仿宋" w:eastAsia="仿宋_GB2312"/>
          <w:sz w:val="32"/>
          <w:szCs w:val="32"/>
          <w:lang w:val="en-US" w:eastAsia="zh-CN"/>
        </w:rPr>
        <w:t>截至</w:t>
      </w:r>
      <w:bookmarkStart w:id="0" w:name="_GoBack"/>
      <w:bookmarkEnd w:id="0"/>
      <w:r>
        <w:rPr>
          <w:rFonts w:hint="eastAsia" w:ascii="仿宋_GB2312" w:hAnsi="仿宋" w:eastAsia="仿宋_GB2312"/>
          <w:sz w:val="32"/>
          <w:szCs w:val="32"/>
          <w:lang w:eastAsia="zh-CN"/>
        </w:rPr>
        <w:t>202</w:t>
      </w:r>
      <w:r>
        <w:rPr>
          <w:rFonts w:hint="eastAsia" w:ascii="仿宋_GB2312" w:hAnsi="仿宋" w:eastAsia="仿宋_GB2312"/>
          <w:sz w:val="32"/>
          <w:szCs w:val="32"/>
          <w:lang w:val="en-US" w:eastAsia="zh-CN"/>
        </w:rPr>
        <w:t>2</w:t>
      </w:r>
      <w:r>
        <w:rPr>
          <w:rFonts w:hint="eastAsia" w:ascii="仿宋_GB2312" w:hAnsi="仿宋" w:eastAsia="仿宋_GB2312"/>
          <w:sz w:val="32"/>
          <w:szCs w:val="32"/>
        </w:rPr>
        <w:t>年12月底，单位尚未发现有挪用、挤占专项资金的情况，</w:t>
      </w:r>
      <w:r>
        <w:rPr>
          <w:rFonts w:hint="eastAsia" w:ascii="仿宋_GB2312" w:hAnsi="仿宋" w:eastAsia="仿宋_GB2312"/>
          <w:sz w:val="32"/>
          <w:szCs w:val="32"/>
          <w:lang w:val="en-US" w:eastAsia="zh-CN"/>
        </w:rPr>
        <w:t>每</w:t>
      </w:r>
      <w:r>
        <w:rPr>
          <w:rFonts w:hint="eastAsia" w:ascii="仿宋_GB2312" w:hAnsi="仿宋" w:eastAsia="仿宋_GB2312"/>
          <w:sz w:val="32"/>
          <w:szCs w:val="32"/>
        </w:rPr>
        <w:t>个项目资金使用率</w:t>
      </w:r>
      <w:r>
        <w:rPr>
          <w:rFonts w:hint="eastAsia" w:ascii="仿宋_GB2312" w:hAnsi="仿宋" w:eastAsia="仿宋_GB2312"/>
          <w:sz w:val="32"/>
          <w:szCs w:val="32"/>
          <w:lang w:val="en-US" w:eastAsia="zh-CN"/>
        </w:rPr>
        <w:t>均</w:t>
      </w:r>
      <w:r>
        <w:rPr>
          <w:rFonts w:hint="eastAsia" w:ascii="仿宋_GB2312" w:hAnsi="仿宋" w:eastAsia="仿宋_GB2312"/>
          <w:sz w:val="32"/>
          <w:szCs w:val="32"/>
        </w:rPr>
        <w:t>达到100%。</w:t>
      </w:r>
    </w:p>
    <w:p w14:paraId="00CA5B9F">
      <w:pPr>
        <w:keepNext w:val="0"/>
        <w:keepLines w:val="0"/>
        <w:pageBreakBefore w:val="0"/>
        <w:widowControl w:val="0"/>
        <w:numPr>
          <w:ilvl w:val="0"/>
          <w:numId w:val="2"/>
        </w:numPr>
        <w:kinsoku/>
        <w:wordWrap/>
        <w:overflowPunct/>
        <w:topLinePunct w:val="0"/>
        <w:bidi w:val="0"/>
        <w:adjustRightInd/>
        <w:snapToGrid w:val="0"/>
        <w:spacing w:line="560" w:lineRule="exact"/>
        <w:ind w:left="-10" w:leftChars="0" w:right="0" w:firstLine="640" w:firstLineChars="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评价结论和评价等级</w:t>
      </w:r>
    </w:p>
    <w:p w14:paraId="6C607855">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拆违拆建、土地治理与恢复项目，2022年度完成土地治理与恢复，支付拆违建机械费用，达到19个村的土地治理与恢复需要，经费保障率达90%，成本在可控制范围内，完成生态效益指标，完成率100%。</w:t>
      </w:r>
    </w:p>
    <w:p w14:paraId="1F16252C">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default" w:ascii="仿宋" w:hAnsi="仿宋" w:eastAsia="仿宋" w:cs="仿宋"/>
          <w:sz w:val="32"/>
          <w:szCs w:val="32"/>
          <w:highlight w:val="none"/>
          <w:lang w:val="en-US" w:eastAsia="zh-CN"/>
        </w:rPr>
      </w:pPr>
      <w:r>
        <w:rPr>
          <w:rFonts w:hint="default" w:ascii="仿宋" w:hAnsi="仿宋" w:eastAsia="仿宋" w:cs="仿宋"/>
          <w:sz w:val="32"/>
          <w:szCs w:val="32"/>
          <w:highlight w:val="none"/>
          <w:lang w:val="en-US" w:eastAsia="zh-CN"/>
        </w:rPr>
        <w:t>城乡社区环境综合整治资金</w:t>
      </w:r>
      <w:r>
        <w:rPr>
          <w:rFonts w:hint="eastAsia" w:ascii="仿宋" w:hAnsi="仿宋" w:eastAsia="仿宋" w:cs="仿宋"/>
          <w:sz w:val="32"/>
          <w:szCs w:val="32"/>
          <w:highlight w:val="none"/>
          <w:lang w:val="en-US" w:eastAsia="zh-CN"/>
        </w:rPr>
        <w:t>，2022年度</w:t>
      </w:r>
      <w:r>
        <w:rPr>
          <w:rFonts w:hint="default" w:ascii="仿宋" w:hAnsi="仿宋" w:eastAsia="仿宋" w:cs="仿宋"/>
          <w:sz w:val="32"/>
          <w:szCs w:val="32"/>
          <w:highlight w:val="none"/>
          <w:lang w:val="en-US" w:eastAsia="zh-CN"/>
        </w:rPr>
        <w:t>用于城乡社区环境卫生的开支；减轻环境污染，改善村容村貌</w:t>
      </w:r>
      <w:r>
        <w:rPr>
          <w:rFonts w:hint="eastAsia" w:ascii="仿宋" w:hAnsi="仿宋" w:eastAsia="仿宋" w:cs="仿宋"/>
          <w:sz w:val="32"/>
          <w:szCs w:val="32"/>
          <w:highlight w:val="none"/>
          <w:lang w:val="en-US" w:eastAsia="zh-CN"/>
        </w:rPr>
        <w:t>，达到19个村村容村貌的改善数量，完成率100%，</w:t>
      </w:r>
    </w:p>
    <w:p w14:paraId="3E68C746">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default" w:ascii="仿宋" w:hAnsi="仿宋" w:eastAsia="仿宋" w:cs="仿宋"/>
          <w:sz w:val="32"/>
          <w:szCs w:val="32"/>
          <w:highlight w:val="none"/>
          <w:lang w:val="en-US" w:eastAsia="zh-CN"/>
        </w:rPr>
      </w:pPr>
      <w:r>
        <w:rPr>
          <w:rFonts w:hint="default" w:ascii="仿宋" w:hAnsi="仿宋" w:eastAsia="仿宋" w:cs="仿宋"/>
          <w:sz w:val="32"/>
          <w:szCs w:val="32"/>
          <w:highlight w:val="none"/>
          <w:lang w:val="en-US" w:eastAsia="zh-CN"/>
        </w:rPr>
        <w:t>村级补助经费</w:t>
      </w:r>
      <w:r>
        <w:rPr>
          <w:rFonts w:hint="eastAsia" w:ascii="仿宋" w:hAnsi="仿宋" w:eastAsia="仿宋" w:cs="仿宋"/>
          <w:sz w:val="32"/>
          <w:szCs w:val="32"/>
          <w:highlight w:val="none"/>
          <w:lang w:val="en-US" w:eastAsia="zh-CN"/>
        </w:rPr>
        <w:t>项目，2022年度用于19个村新农村建设全面推进农村工作事务，保障村级运行补助及活动经费及其他美丽乡村建设转移支付补助，农田设施、道路铁路、饮水工程等新农村建设补助支出业务经费，推进农村综合改革完成，农村基础设施建设，完成率100%。</w:t>
      </w:r>
    </w:p>
    <w:p w14:paraId="12676F54">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default"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党组织活动经费，2022年度用于报刊征订、党组织活动的其他业务经费，征订报刊9种，完成率100%。</w:t>
      </w:r>
    </w:p>
    <w:p w14:paraId="4F47AAF6">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default" w:ascii="仿宋" w:hAnsi="仿宋" w:eastAsia="仿宋" w:cs="仿宋"/>
          <w:sz w:val="32"/>
          <w:szCs w:val="32"/>
          <w:highlight w:val="none"/>
          <w:lang w:val="en-US" w:eastAsia="zh-CN"/>
        </w:rPr>
      </w:pPr>
      <w:r>
        <w:rPr>
          <w:rFonts w:hint="default" w:ascii="仿宋" w:hAnsi="仿宋" w:eastAsia="仿宋" w:cs="仿宋"/>
          <w:sz w:val="32"/>
          <w:szCs w:val="32"/>
          <w:highlight w:val="none"/>
          <w:lang w:val="en-US" w:eastAsia="zh-CN"/>
        </w:rPr>
        <w:t>环境保护及卫生清理资金</w:t>
      </w:r>
      <w:r>
        <w:rPr>
          <w:rFonts w:hint="eastAsia" w:ascii="仿宋" w:hAnsi="仿宋" w:eastAsia="仿宋" w:cs="仿宋"/>
          <w:sz w:val="32"/>
          <w:szCs w:val="32"/>
          <w:highlight w:val="none"/>
          <w:lang w:val="en-US" w:eastAsia="zh-CN"/>
        </w:rPr>
        <w:t>，2022年度主要用于兴安镇域内环境保护及清理卫生，及时清理村内农业环境，完成生态效益要求，完成率100%。</w:t>
      </w:r>
    </w:p>
    <w:p w14:paraId="4388155D">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default" w:ascii="仿宋" w:hAnsi="仿宋" w:eastAsia="仿宋" w:cs="仿宋"/>
          <w:sz w:val="32"/>
          <w:szCs w:val="32"/>
          <w:highlight w:val="none"/>
          <w:lang w:val="en-US" w:eastAsia="zh-CN"/>
        </w:rPr>
      </w:pPr>
      <w:r>
        <w:rPr>
          <w:rFonts w:hint="default" w:ascii="仿宋" w:hAnsi="仿宋" w:eastAsia="仿宋" w:cs="仿宋"/>
          <w:sz w:val="32"/>
          <w:szCs w:val="32"/>
          <w:highlight w:val="none"/>
          <w:lang w:val="en-US" w:eastAsia="zh-CN"/>
        </w:rPr>
        <w:t>机关后勤运转经费（综合工作经费）（运转保障）</w:t>
      </w:r>
      <w:r>
        <w:rPr>
          <w:rFonts w:hint="eastAsia" w:ascii="仿宋" w:hAnsi="仿宋" w:eastAsia="仿宋" w:cs="仿宋"/>
          <w:sz w:val="32"/>
          <w:szCs w:val="32"/>
          <w:highlight w:val="none"/>
          <w:lang w:val="en-US" w:eastAsia="zh-CN"/>
        </w:rPr>
        <w:t>项目，2022年度用于食堂各类物品伙食费及大院维修维护开支，保障大院环境整洁、正常运行，完成率100%。</w:t>
      </w:r>
    </w:p>
    <w:p w14:paraId="36C08CFE">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 w:hAnsi="仿宋" w:eastAsia="仿宋_GB2312" w:cs="仿宋"/>
          <w:sz w:val="32"/>
          <w:szCs w:val="32"/>
          <w:lang w:val="en-US" w:eastAsia="zh-CN"/>
        </w:rPr>
      </w:pPr>
      <w:r>
        <w:rPr>
          <w:rFonts w:hint="default" w:ascii="仿宋" w:hAnsi="仿宋" w:eastAsia="仿宋" w:cs="仿宋"/>
          <w:sz w:val="32"/>
          <w:szCs w:val="32"/>
          <w:highlight w:val="none"/>
          <w:lang w:val="en-US" w:eastAsia="zh-CN"/>
        </w:rPr>
        <w:t>基础设施建设及维修改造费</w:t>
      </w:r>
      <w:r>
        <w:rPr>
          <w:rFonts w:hint="eastAsia" w:ascii="仿宋" w:hAnsi="仿宋" w:eastAsia="仿宋" w:cs="仿宋"/>
          <w:sz w:val="32"/>
          <w:szCs w:val="32"/>
          <w:highlight w:val="none"/>
          <w:lang w:val="en-US" w:eastAsia="zh-CN"/>
        </w:rPr>
        <w:t>，2022年度用于</w:t>
      </w:r>
      <w:r>
        <w:rPr>
          <w:rFonts w:hint="default" w:ascii="仿宋" w:hAnsi="仿宋" w:eastAsia="仿宋" w:cs="仿宋"/>
          <w:sz w:val="32"/>
          <w:szCs w:val="32"/>
          <w:highlight w:val="none"/>
          <w:lang w:val="en-US" w:eastAsia="zh-CN"/>
        </w:rPr>
        <w:t>辖区内基础建设、维修改造</w:t>
      </w:r>
      <w:r>
        <w:rPr>
          <w:rFonts w:hint="eastAsia" w:ascii="仿宋" w:hAnsi="仿宋" w:eastAsia="仿宋" w:cs="仿宋"/>
          <w:sz w:val="32"/>
          <w:szCs w:val="32"/>
          <w:highlight w:val="none"/>
          <w:lang w:val="en-US" w:eastAsia="zh-CN"/>
        </w:rPr>
        <w:t>，资金拨付及时，资金成本得到良好控制，完成率100%。</w:t>
      </w:r>
    </w:p>
    <w:p w14:paraId="33BB57AB">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 w:hAnsi="仿宋" w:eastAsia="仿宋_GB2312" w:cs="仿宋"/>
          <w:sz w:val="32"/>
          <w:szCs w:val="32"/>
          <w:lang w:val="en-US" w:eastAsia="zh-CN"/>
        </w:rPr>
      </w:pPr>
      <w:r>
        <w:rPr>
          <w:rFonts w:hint="eastAsia" w:ascii="仿宋" w:hAnsi="仿宋" w:eastAsia="仿宋_GB2312" w:cs="仿宋"/>
          <w:sz w:val="32"/>
          <w:szCs w:val="32"/>
          <w:lang w:val="en-US" w:eastAsia="zh-CN"/>
        </w:rPr>
        <w:t>计划生育独生子女父母奖金,2022年度用于计划生育目标责任奖励、独生子女父母奖励等，用以维护独生子女群体的稳定，完成率100%。</w:t>
      </w:r>
    </w:p>
    <w:p w14:paraId="60A280E4">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 w:hAnsi="仿宋" w:eastAsia="仿宋_GB2312" w:cs="仿宋"/>
          <w:sz w:val="32"/>
          <w:szCs w:val="32"/>
          <w:lang w:val="en-US" w:eastAsia="zh-CN"/>
        </w:rPr>
      </w:pPr>
      <w:r>
        <w:rPr>
          <w:rFonts w:hint="eastAsia" w:ascii="仿宋" w:hAnsi="仿宋" w:eastAsia="仿宋_GB2312" w:cs="仿宋"/>
          <w:sz w:val="32"/>
          <w:szCs w:val="32"/>
          <w:lang w:val="en-US" w:eastAsia="zh-CN"/>
        </w:rPr>
        <w:t>路域环境改造提升资金，2022年度完成兴柳线、定魏线、307沿线提升改造整治工程，道路改造完成率达到预期目标，实现环境提升目的，完成率100%。</w:t>
      </w:r>
    </w:p>
    <w:p w14:paraId="617D07C1">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 w:hAnsi="仿宋" w:eastAsia="仿宋_GB2312" w:cs="仿宋"/>
          <w:sz w:val="32"/>
          <w:szCs w:val="32"/>
          <w:lang w:val="en-US" w:eastAsia="zh-CN"/>
        </w:rPr>
      </w:pPr>
      <w:r>
        <w:rPr>
          <w:rFonts w:hint="eastAsia" w:ascii="仿宋" w:hAnsi="仿宋" w:eastAsia="仿宋_GB2312" w:cs="仿宋"/>
          <w:sz w:val="32"/>
          <w:szCs w:val="32"/>
          <w:lang w:val="en-US" w:eastAsia="zh-CN"/>
        </w:rPr>
        <w:t>农村文化建设资金，2022年度用于提升农村文化水平，丰富村民文化生活，达到村内文化水平提升效果，完善农村文化建设，完成率100%。</w:t>
      </w:r>
    </w:p>
    <w:p w14:paraId="2090CE4B">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 w:hAnsi="仿宋" w:eastAsia="仿宋_GB2312" w:cs="仿宋"/>
          <w:sz w:val="32"/>
          <w:szCs w:val="32"/>
          <w:lang w:val="en-US" w:eastAsia="zh-CN"/>
        </w:rPr>
      </w:pPr>
      <w:r>
        <w:rPr>
          <w:rFonts w:hint="eastAsia" w:ascii="仿宋" w:hAnsi="仿宋" w:eastAsia="仿宋_GB2312" w:cs="仿宋"/>
          <w:sz w:val="32"/>
          <w:szCs w:val="32"/>
          <w:lang w:val="en-US" w:eastAsia="zh-CN"/>
        </w:rPr>
        <w:t>社会综合治理（综治、联防人员劳务费、律师费等），2022年度用于联防队员、门岗人员的开支，社会综合治理及律师费；保障劳务费按时发放，维护社会稳定，完成率100%。</w:t>
      </w:r>
    </w:p>
    <w:p w14:paraId="21C7853E">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 w:hAnsi="仿宋" w:eastAsia="仿宋_GB2312" w:cs="仿宋"/>
          <w:sz w:val="32"/>
          <w:szCs w:val="32"/>
          <w:lang w:val="en-US" w:eastAsia="zh-CN"/>
        </w:rPr>
      </w:pPr>
      <w:r>
        <w:rPr>
          <w:rFonts w:hint="eastAsia" w:ascii="仿宋" w:hAnsi="仿宋" w:eastAsia="仿宋_GB2312" w:cs="仿宋"/>
          <w:sz w:val="32"/>
          <w:szCs w:val="32"/>
          <w:lang w:val="en-US" w:eastAsia="zh-CN"/>
        </w:rPr>
        <w:t>维护社会稳定及国家安全，2022年度用于维护社会稳定、国家安全的开支，保障村稳定水平，减少越级访、非访次数，完成率100%。</w:t>
      </w:r>
    </w:p>
    <w:p w14:paraId="78F53B37">
      <w:pPr>
        <w:keepNext w:val="0"/>
        <w:keepLines w:val="0"/>
        <w:pageBreakBefore w:val="0"/>
        <w:widowControl w:val="0"/>
        <w:numPr>
          <w:ilvl w:val="0"/>
          <w:numId w:val="3"/>
        </w:numPr>
        <w:tabs>
          <w:tab w:val="left" w:pos="2470"/>
        </w:tabs>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 w:hAnsi="仿宋" w:eastAsia="仿宋_GB2312" w:cs="仿宋"/>
          <w:sz w:val="32"/>
          <w:szCs w:val="32"/>
          <w:lang w:val="en-US" w:eastAsia="zh-CN"/>
        </w:rPr>
      </w:pPr>
      <w:r>
        <w:rPr>
          <w:rFonts w:hint="eastAsia" w:ascii="仿宋" w:hAnsi="仿宋" w:eastAsia="仿宋_GB2312" w:cs="仿宋"/>
          <w:sz w:val="32"/>
          <w:szCs w:val="32"/>
          <w:lang w:val="en-US" w:eastAsia="zh-CN"/>
        </w:rPr>
        <w:t>慰问、补助、奖励经费，2022年度完善救助补充体系，推动相关救助制度,做到应救全救保障边缘户，及其他临时困难群体的生活，救助符合条件对象，保障困难群体受益，完成率100%。</w:t>
      </w:r>
    </w:p>
    <w:p w14:paraId="2F5DADF4">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文教卫生及疫情防控经费，2022年度主要用于疫情防控支出，学区文教建设支出，卫生系统建设支出，购置疫情防控用品，维护疫情稳定，完成率100%。</w:t>
      </w:r>
    </w:p>
    <w:p w14:paraId="6BD9203D">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default" w:ascii="仿宋_GB2312" w:hAnsi="仿宋" w:eastAsia="仿宋_GB2312"/>
          <w:sz w:val="32"/>
          <w:szCs w:val="32"/>
          <w:lang w:val="en-US" w:eastAsia="zh-CN"/>
        </w:rPr>
      </w:pPr>
      <w:r>
        <w:rPr>
          <w:rFonts w:hint="default" w:ascii="仿宋_GB2312" w:hAnsi="仿宋" w:eastAsia="仿宋_GB2312"/>
          <w:sz w:val="32"/>
          <w:szCs w:val="32"/>
          <w:lang w:val="en-US" w:eastAsia="zh-CN"/>
        </w:rPr>
        <w:t>信访维稳、安全生产、食品安全（综合工作经费）</w:t>
      </w:r>
      <w:r>
        <w:rPr>
          <w:rFonts w:hint="eastAsia" w:ascii="仿宋_GB2312" w:hAnsi="仿宋" w:eastAsia="仿宋_GB2312"/>
          <w:sz w:val="32"/>
          <w:szCs w:val="32"/>
          <w:lang w:val="en-US" w:eastAsia="zh-CN"/>
        </w:rPr>
        <w:t>，2022年度保障镇安全生产、食品安全工作经费；促进机关工作开展，提升镇办公各项工作水平，保障工作正常运转，完成率100%。</w:t>
      </w:r>
    </w:p>
    <w:p w14:paraId="5BFA2C84">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default" w:ascii="仿宋_GB2312" w:hAnsi="仿宋" w:eastAsia="仿宋_GB2312"/>
          <w:sz w:val="32"/>
          <w:szCs w:val="32"/>
          <w:lang w:val="en-US" w:eastAsia="zh-CN"/>
        </w:rPr>
      </w:pPr>
      <w:r>
        <w:rPr>
          <w:rFonts w:hint="default" w:ascii="仿宋_GB2312" w:hAnsi="仿宋" w:eastAsia="仿宋_GB2312"/>
          <w:sz w:val="32"/>
          <w:szCs w:val="32"/>
          <w:lang w:val="en-US" w:eastAsia="zh-CN"/>
        </w:rPr>
        <w:t>兴安镇2022年春节期间迎检、环境整治费用专项资金</w:t>
      </w:r>
      <w:r>
        <w:rPr>
          <w:rFonts w:hint="eastAsia" w:ascii="仿宋_GB2312" w:hAnsi="仿宋" w:eastAsia="仿宋_GB2312"/>
          <w:sz w:val="32"/>
          <w:szCs w:val="32"/>
          <w:lang w:val="en-US" w:eastAsia="zh-CN"/>
        </w:rPr>
        <w:t>，2022年度用于镇域环境整治，春节期间迎检费用，提升园区环境，保障迎检工作顺利完成，完成率100%。</w:t>
      </w:r>
    </w:p>
    <w:p w14:paraId="5466703D">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default" w:ascii="仿宋_GB2312" w:hAnsi="仿宋" w:eastAsia="仿宋_GB2312"/>
          <w:sz w:val="32"/>
          <w:szCs w:val="32"/>
          <w:lang w:val="en-US" w:eastAsia="zh-CN"/>
        </w:rPr>
      </w:pPr>
      <w:r>
        <w:rPr>
          <w:rFonts w:hint="default" w:ascii="仿宋_GB2312" w:hAnsi="仿宋" w:eastAsia="仿宋_GB2312"/>
          <w:sz w:val="32"/>
          <w:szCs w:val="32"/>
          <w:lang w:val="en-US" w:eastAsia="zh-CN"/>
        </w:rPr>
        <w:t>兴柳线沿线整治经费</w:t>
      </w:r>
      <w:r>
        <w:rPr>
          <w:rFonts w:hint="eastAsia" w:ascii="仿宋_GB2312" w:hAnsi="仿宋" w:eastAsia="仿宋_GB2312"/>
          <w:sz w:val="32"/>
          <w:szCs w:val="32"/>
          <w:lang w:val="en-US" w:eastAsia="zh-CN"/>
        </w:rPr>
        <w:t>，2022年度用于兴柳线沿线环境整治，提升人居环境水平，提升沿线村村容村貌，改善农村环境质量，完成率100%。</w:t>
      </w:r>
    </w:p>
    <w:p w14:paraId="01394343">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default" w:ascii="仿宋_GB2312" w:hAnsi="仿宋" w:eastAsia="仿宋_GB2312"/>
          <w:sz w:val="32"/>
          <w:szCs w:val="32"/>
          <w:lang w:val="en-US" w:eastAsia="zh-CN"/>
        </w:rPr>
      </w:pPr>
      <w:r>
        <w:rPr>
          <w:rFonts w:hint="default" w:ascii="仿宋_GB2312" w:hAnsi="仿宋" w:eastAsia="仿宋_GB2312"/>
          <w:sz w:val="32"/>
          <w:szCs w:val="32"/>
          <w:lang w:val="en-US" w:eastAsia="zh-CN"/>
        </w:rPr>
        <w:t>学区工会费</w:t>
      </w:r>
      <w:r>
        <w:rPr>
          <w:rFonts w:hint="eastAsia" w:ascii="仿宋_GB2312" w:hAnsi="仿宋" w:eastAsia="仿宋_GB2312"/>
          <w:sz w:val="32"/>
          <w:szCs w:val="32"/>
          <w:lang w:val="en-US" w:eastAsia="zh-CN"/>
        </w:rPr>
        <w:t>，2022年度用于上交学区工会费，及时缴纳工会费用，保障资金缴纳及时，提升工会服务满意度，完成率100%。</w:t>
      </w:r>
    </w:p>
    <w:p w14:paraId="0486E0AF">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default" w:ascii="仿宋_GB2312" w:hAnsi="仿宋" w:eastAsia="仿宋_GB2312"/>
          <w:sz w:val="32"/>
          <w:szCs w:val="32"/>
          <w:lang w:val="en-US" w:eastAsia="zh-CN"/>
        </w:rPr>
      </w:pPr>
      <w:r>
        <w:rPr>
          <w:rFonts w:hint="default" w:ascii="仿宋_GB2312" w:hAnsi="仿宋" w:eastAsia="仿宋_GB2312"/>
          <w:sz w:val="32"/>
          <w:szCs w:val="32"/>
          <w:lang w:val="en-US" w:eastAsia="zh-CN"/>
        </w:rPr>
        <w:t>疫情防控隔离点底商补偿</w:t>
      </w:r>
      <w:r>
        <w:rPr>
          <w:rFonts w:hint="eastAsia" w:ascii="仿宋_GB2312" w:hAnsi="仿宋" w:eastAsia="仿宋_GB2312"/>
          <w:sz w:val="32"/>
          <w:szCs w:val="32"/>
          <w:lang w:val="en-US" w:eastAsia="zh-CN"/>
        </w:rPr>
        <w:t>，2022年度用于疫情防控隔离点底商日租金补偿，保障疫情隔离防控点的正常运行，维护疫情稳定，完成率100%。</w:t>
      </w:r>
    </w:p>
    <w:p w14:paraId="3AA0D42A">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default" w:ascii="仿宋_GB2312" w:hAnsi="仿宋" w:eastAsia="仿宋_GB2312"/>
          <w:sz w:val="32"/>
          <w:szCs w:val="32"/>
          <w:lang w:val="en-US" w:eastAsia="zh-CN"/>
        </w:rPr>
      </w:pPr>
      <w:r>
        <w:rPr>
          <w:rFonts w:hint="default" w:ascii="仿宋_GB2312" w:hAnsi="仿宋" w:eastAsia="仿宋_GB2312"/>
          <w:sz w:val="32"/>
          <w:szCs w:val="32"/>
          <w:lang w:val="en-US" w:eastAsia="zh-CN"/>
        </w:rPr>
        <w:t>占地补偿、拆迁补偿费</w:t>
      </w:r>
      <w:r>
        <w:rPr>
          <w:rFonts w:hint="eastAsia" w:ascii="仿宋_GB2312" w:hAnsi="仿宋" w:eastAsia="仿宋_GB2312"/>
          <w:sz w:val="32"/>
          <w:szCs w:val="32"/>
          <w:lang w:val="en-US" w:eastAsia="zh-CN"/>
        </w:rPr>
        <w:t>，2022年度用于占地补偿、拆迁补偿的支出，保障违建拆除，道路扩建等工程可顺利完工，保障占地群体收益，完成率100%。</w:t>
      </w:r>
    </w:p>
    <w:p w14:paraId="6FB0C660">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default" w:ascii="仿宋_GB2312" w:hAnsi="仿宋" w:eastAsia="仿宋_GB2312"/>
          <w:sz w:val="32"/>
          <w:szCs w:val="32"/>
          <w:lang w:val="en-US" w:eastAsia="zh-CN"/>
        </w:rPr>
      </w:pPr>
      <w:r>
        <w:rPr>
          <w:rFonts w:hint="default" w:ascii="仿宋_GB2312" w:hAnsi="仿宋" w:eastAsia="仿宋_GB2312"/>
          <w:sz w:val="32"/>
          <w:szCs w:val="32"/>
          <w:lang w:val="en-US" w:eastAsia="zh-CN"/>
        </w:rPr>
        <w:t>镇政府工会费</w:t>
      </w:r>
      <w:r>
        <w:rPr>
          <w:rFonts w:hint="eastAsia" w:ascii="仿宋_GB2312" w:hAnsi="仿宋" w:eastAsia="仿宋_GB2312"/>
          <w:sz w:val="32"/>
          <w:szCs w:val="32"/>
          <w:lang w:val="en-US" w:eastAsia="zh-CN"/>
        </w:rPr>
        <w:t>，2022年度用于上交镇政府工会费，及时缴纳工会费用，保障资金缴纳及时，提升工会服务满意度，完成率100%。</w:t>
      </w:r>
    </w:p>
    <w:p w14:paraId="32C1DC0A">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eastAsia" w:ascii="仿宋" w:hAnsi="仿宋" w:eastAsia="仿宋_GB2312" w:cs="仿宋"/>
          <w:sz w:val="32"/>
          <w:szCs w:val="32"/>
          <w:lang w:val="en-US" w:eastAsia="zh-CN"/>
        </w:rPr>
      </w:pPr>
      <w:r>
        <w:rPr>
          <w:rFonts w:hint="default" w:ascii="仿宋_GB2312" w:hAnsi="仿宋" w:eastAsia="仿宋_GB2312"/>
          <w:sz w:val="32"/>
          <w:szCs w:val="32"/>
          <w:lang w:val="en-US" w:eastAsia="zh-CN"/>
        </w:rPr>
        <w:t>石财农【2021】88号关于提前下达2022年中央农村改革转移支付预算</w:t>
      </w:r>
      <w:r>
        <w:rPr>
          <w:rFonts w:hint="eastAsia" w:ascii="仿宋_GB2312" w:hAnsi="仿宋" w:eastAsia="仿宋_GB2312"/>
          <w:sz w:val="32"/>
          <w:szCs w:val="32"/>
          <w:lang w:val="en-US" w:eastAsia="zh-CN"/>
        </w:rPr>
        <w:t>，2022年度</w:t>
      </w:r>
      <w:r>
        <w:rPr>
          <w:rFonts w:hint="default" w:ascii="仿宋_GB2312" w:hAnsi="仿宋" w:eastAsia="仿宋_GB2312"/>
          <w:sz w:val="32"/>
          <w:szCs w:val="32"/>
          <w:lang w:val="en-US" w:eastAsia="zh-CN"/>
        </w:rPr>
        <w:t>用于农村一事一议支出，改善农村村容村貌</w:t>
      </w:r>
      <w:r>
        <w:rPr>
          <w:rFonts w:hint="eastAsia" w:ascii="仿宋_GB2312" w:hAnsi="仿宋" w:eastAsia="仿宋_GB2312"/>
          <w:sz w:val="32"/>
          <w:szCs w:val="32"/>
          <w:lang w:val="en-US" w:eastAsia="zh-CN"/>
        </w:rPr>
        <w:t>，按照预算项目执行，工程验收合格，提升农村环境，完成率100%。</w:t>
      </w:r>
    </w:p>
    <w:p w14:paraId="13615C72">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eastAsia" w:ascii="仿宋" w:hAnsi="仿宋" w:eastAsia="仿宋_GB2312" w:cs="仿宋"/>
          <w:sz w:val="32"/>
          <w:szCs w:val="32"/>
          <w:lang w:val="en-US" w:eastAsia="zh-CN"/>
        </w:rPr>
      </w:pPr>
      <w:r>
        <w:rPr>
          <w:rFonts w:hint="eastAsia" w:ascii="仿宋" w:hAnsi="仿宋" w:eastAsia="仿宋_GB2312" w:cs="仿宋"/>
          <w:sz w:val="32"/>
          <w:szCs w:val="32"/>
          <w:lang w:val="en-US" w:eastAsia="zh-CN"/>
        </w:rPr>
        <w:t>石财农【2022】58号2022年中央农村综合改革转移支付预算，2022年度用于改善村容村貌，提高人居环境水平，按照预算项目执行，工程验收合格，农村环境改善，完成率100%。</w:t>
      </w:r>
    </w:p>
    <w:p w14:paraId="1F0CDF17">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eastAsia" w:ascii="仿宋_GB2312" w:hAnsi="仿宋" w:eastAsia="仿宋_GB2312"/>
          <w:sz w:val="32"/>
          <w:szCs w:val="32"/>
        </w:rPr>
      </w:pPr>
      <w:r>
        <w:rPr>
          <w:rFonts w:hint="eastAsia" w:ascii="仿宋" w:hAnsi="仿宋" w:eastAsia="仿宋_GB2312" w:cs="仿宋"/>
          <w:sz w:val="32"/>
          <w:szCs w:val="32"/>
          <w:lang w:val="en-US" w:eastAsia="zh-CN"/>
        </w:rPr>
        <w:t>藁人居办字[2022]3号全区农村人居环境整治和路域环境整治观摩评比活动奖励资金，2022年度提升人居环境及路域环境，改善城乡社区居住条件，环境提升数量达到要求，提升村的环境质量，对环境污染防治产生积极影响，完成率100%。</w:t>
      </w:r>
    </w:p>
    <w:p w14:paraId="7D420BF9">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eastAsia" w:ascii="仿宋_GB2312" w:hAnsi="仿宋" w:eastAsia="仿宋_GB2312"/>
          <w:sz w:val="32"/>
          <w:szCs w:val="32"/>
        </w:rPr>
      </w:pPr>
      <w:r>
        <w:rPr>
          <w:rFonts w:hint="eastAsia" w:ascii="仿宋_GB2312" w:hAnsi="仿宋" w:eastAsia="仿宋_GB2312"/>
          <w:sz w:val="32"/>
          <w:szCs w:val="32"/>
        </w:rPr>
        <w:t>藁人居办字25号全区农村人居环境和路域环境整治观摩奖励资金</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2022年度</w:t>
      </w:r>
      <w:r>
        <w:rPr>
          <w:rFonts w:hint="eastAsia" w:ascii="仿宋_GB2312" w:hAnsi="仿宋" w:eastAsia="仿宋_GB2312"/>
          <w:sz w:val="32"/>
          <w:szCs w:val="32"/>
          <w:lang w:eastAsia="zh-CN"/>
        </w:rPr>
        <w:t>用于提升人居环境，打造环境优美村庄，</w:t>
      </w:r>
      <w:r>
        <w:rPr>
          <w:rFonts w:hint="eastAsia" w:ascii="仿宋" w:hAnsi="仿宋" w:eastAsia="仿宋_GB2312" w:cs="仿宋"/>
          <w:sz w:val="32"/>
          <w:szCs w:val="32"/>
          <w:lang w:val="en-US" w:eastAsia="zh-CN"/>
        </w:rPr>
        <w:t>改善城乡社区居住条件，环境提升数量达到要求，提升村的环境质量，对环境污染防治产生积极影响，完成率100%。</w:t>
      </w:r>
    </w:p>
    <w:p w14:paraId="76FA2F9F">
      <w:pPr>
        <w:keepNext w:val="0"/>
        <w:keepLines w:val="0"/>
        <w:pageBreakBefore w:val="0"/>
        <w:widowControl w:val="0"/>
        <w:numPr>
          <w:ilvl w:val="0"/>
          <w:numId w:val="3"/>
        </w:numPr>
        <w:tabs>
          <w:tab w:val="left" w:pos="3703"/>
        </w:tabs>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eastAsia" w:ascii="仿宋_GB2312" w:hAnsi="仿宋" w:eastAsia="仿宋_GB2312"/>
          <w:sz w:val="32"/>
          <w:szCs w:val="32"/>
        </w:rPr>
      </w:pPr>
      <w:r>
        <w:rPr>
          <w:rFonts w:hint="eastAsia" w:ascii="仿宋_GB2312" w:hAnsi="仿宋" w:eastAsia="仿宋_GB2312"/>
          <w:sz w:val="32"/>
          <w:szCs w:val="32"/>
        </w:rPr>
        <w:t>改厕资金</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2022年度用于</w:t>
      </w:r>
      <w:r>
        <w:rPr>
          <w:rFonts w:hint="eastAsia" w:ascii="仿宋_GB2312" w:hAnsi="仿宋" w:eastAsia="仿宋_GB2312"/>
          <w:sz w:val="32"/>
          <w:szCs w:val="32"/>
          <w:lang w:eastAsia="zh-CN"/>
        </w:rPr>
        <w:t>人居环境提升，厕所条件改善，</w:t>
      </w:r>
      <w:r>
        <w:rPr>
          <w:rFonts w:hint="eastAsia" w:ascii="仿宋_GB2312" w:hAnsi="仿宋" w:eastAsia="仿宋_GB2312"/>
          <w:sz w:val="32"/>
          <w:szCs w:val="32"/>
          <w:lang w:val="en-US" w:eastAsia="zh-CN"/>
        </w:rPr>
        <w:t>改善提高农村人居厕所条件，达到改厕完成率要求，保障改厕合格率，完成率100%。</w:t>
      </w:r>
    </w:p>
    <w:p w14:paraId="076ACB04">
      <w:pPr>
        <w:keepNext w:val="0"/>
        <w:keepLines w:val="0"/>
        <w:pageBreakBefore w:val="0"/>
        <w:widowControl w:val="0"/>
        <w:numPr>
          <w:ilvl w:val="0"/>
          <w:numId w:val="3"/>
        </w:numPr>
        <w:tabs>
          <w:tab w:val="left" w:pos="3703"/>
        </w:tabs>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eastAsia" w:ascii="仿宋_GB2312" w:hAnsi="仿宋" w:eastAsia="仿宋_GB2312"/>
          <w:sz w:val="32"/>
          <w:szCs w:val="32"/>
        </w:rPr>
      </w:pPr>
      <w:r>
        <w:rPr>
          <w:rFonts w:hint="eastAsia" w:ascii="仿宋_GB2312" w:hAnsi="仿宋" w:eastAsia="仿宋_GB2312"/>
          <w:sz w:val="32"/>
          <w:szCs w:val="32"/>
        </w:rPr>
        <w:t>拨付原经贸系统关闭企业下放回乡的合同工副业工涉军人员生活补贴（2022年）</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2022年度通过发放原经贸系统关闭企业下放回乡的合同工、副业工涉军人员生活补贴，村稳定水平提升，保障涉军人员补助发放及时到位，维护好荣军人员稳定水平，完成率100%。</w:t>
      </w:r>
    </w:p>
    <w:p w14:paraId="0210F864">
      <w:pPr>
        <w:keepNext w:val="0"/>
        <w:keepLines w:val="0"/>
        <w:pageBreakBefore w:val="0"/>
        <w:widowControl w:val="0"/>
        <w:numPr>
          <w:ilvl w:val="0"/>
          <w:numId w:val="3"/>
        </w:numPr>
        <w:tabs>
          <w:tab w:val="left" w:pos="3703"/>
        </w:tabs>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eastAsia" w:ascii="仿宋_GB2312" w:hAnsi="仿宋" w:eastAsia="仿宋_GB2312"/>
          <w:sz w:val="32"/>
          <w:szCs w:val="32"/>
        </w:rPr>
      </w:pPr>
      <w:r>
        <w:rPr>
          <w:rFonts w:hint="eastAsia" w:ascii="仿宋_GB2312" w:hAnsi="仿宋" w:eastAsia="仿宋_GB2312"/>
          <w:sz w:val="32"/>
          <w:szCs w:val="32"/>
        </w:rPr>
        <w:t>页岩砖企业转型升级奖补资金（兴安镇）</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2022年度支出为0，结余资金上缴财政。</w:t>
      </w:r>
    </w:p>
    <w:p w14:paraId="5FA9AD58">
      <w:pPr>
        <w:keepNext w:val="0"/>
        <w:keepLines w:val="0"/>
        <w:pageBreakBefore w:val="0"/>
        <w:widowControl w:val="0"/>
        <w:numPr>
          <w:ilvl w:val="0"/>
          <w:numId w:val="3"/>
        </w:numPr>
        <w:tabs>
          <w:tab w:val="left" w:pos="3703"/>
        </w:tabs>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eastAsia" w:ascii="仿宋_GB2312" w:hAnsi="仿宋" w:eastAsia="仿宋_GB2312"/>
          <w:sz w:val="32"/>
          <w:szCs w:val="32"/>
        </w:rPr>
      </w:pPr>
      <w:r>
        <w:rPr>
          <w:rFonts w:hint="eastAsia" w:ascii="仿宋_GB2312" w:hAnsi="仿宋" w:eastAsia="仿宋_GB2312"/>
          <w:sz w:val="32"/>
          <w:szCs w:val="32"/>
        </w:rPr>
        <w:t>兴安村高标准基本农田内栽植树木移除费用</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2022年度支出为0，结余资金上缴财政。</w:t>
      </w:r>
    </w:p>
    <w:p w14:paraId="6921669E">
      <w:pPr>
        <w:keepNext w:val="0"/>
        <w:keepLines w:val="0"/>
        <w:pageBreakBefore w:val="0"/>
        <w:widowControl w:val="0"/>
        <w:numPr>
          <w:ilvl w:val="0"/>
          <w:numId w:val="3"/>
        </w:numPr>
        <w:tabs>
          <w:tab w:val="left" w:pos="3703"/>
        </w:tabs>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eastAsia" w:ascii="仿宋_GB2312" w:hAnsi="仿宋" w:eastAsia="仿宋_GB2312"/>
          <w:sz w:val="32"/>
          <w:szCs w:val="32"/>
        </w:rPr>
      </w:pPr>
      <w:r>
        <w:rPr>
          <w:rFonts w:hint="eastAsia" w:ascii="仿宋_GB2312" w:hAnsi="仿宋" w:eastAsia="仿宋_GB2312"/>
          <w:sz w:val="32"/>
          <w:szCs w:val="32"/>
        </w:rPr>
        <w:t>退还藁城区[2018]014号地块代征区片价</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2022年度支出为0，结余资金上缴财政。</w:t>
      </w:r>
    </w:p>
    <w:p w14:paraId="05CFECB8">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 w:hAnsi="仿宋" w:eastAsia="仿宋_GB2312" w:cs="仿宋"/>
          <w:sz w:val="32"/>
          <w:szCs w:val="32"/>
          <w:lang w:val="en-US" w:eastAsia="zh-CN"/>
        </w:rPr>
      </w:pPr>
      <w:r>
        <w:rPr>
          <w:rFonts w:hint="eastAsia" w:ascii="仿宋_GB2312" w:hAnsi="仿宋" w:eastAsia="仿宋_GB2312"/>
          <w:sz w:val="32"/>
          <w:szCs w:val="32"/>
        </w:rPr>
        <w:t>根据项目执行情况和项目绩效情况，兴安镇年度项目绩效评价得分为95分，评价等级优秀。</w:t>
      </w:r>
    </w:p>
    <w:p w14:paraId="6A397F29">
      <w:pPr>
        <w:keepNext w:val="0"/>
        <w:keepLines w:val="0"/>
        <w:pageBreakBefore w:val="0"/>
        <w:widowControl w:val="0"/>
        <w:kinsoku/>
        <w:wordWrap/>
        <w:overflowPunct/>
        <w:topLinePunct w:val="0"/>
        <w:bidi w:val="0"/>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b w:val="0"/>
          <w:bCs w:val="0"/>
          <w:sz w:val="32"/>
          <w:szCs w:val="32"/>
          <w:lang w:eastAsia="zh-CN"/>
        </w:rPr>
        <w:t>五</w:t>
      </w:r>
      <w:r>
        <w:rPr>
          <w:rFonts w:hint="eastAsia" w:ascii="黑体" w:hAnsi="黑体" w:eastAsia="黑体" w:cs="黑体"/>
          <w:b w:val="0"/>
          <w:bCs w:val="0"/>
          <w:sz w:val="32"/>
          <w:szCs w:val="32"/>
        </w:rPr>
        <w:t>、整改措</w:t>
      </w:r>
      <w:r>
        <w:rPr>
          <w:rFonts w:hint="eastAsia" w:ascii="黑体" w:hAnsi="黑体" w:eastAsia="黑体" w:cs="黑体"/>
          <w:sz w:val="32"/>
          <w:szCs w:val="32"/>
        </w:rPr>
        <w:t>施及结果应用</w:t>
      </w:r>
    </w:p>
    <w:p w14:paraId="12F691D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部分项目存在支出不及时现象，实际</w:t>
      </w:r>
      <w:r>
        <w:rPr>
          <w:rFonts w:hint="eastAsia" w:ascii="仿宋_GB2312" w:eastAsia="仿宋_GB2312"/>
          <w:sz w:val="32"/>
          <w:szCs w:val="32"/>
        </w:rPr>
        <w:t>的情况</w:t>
      </w:r>
      <w:r>
        <w:rPr>
          <w:rFonts w:hint="eastAsia" w:ascii="仿宋_GB2312" w:eastAsia="仿宋_GB2312"/>
          <w:sz w:val="32"/>
          <w:szCs w:val="32"/>
          <w:lang w:val="en-US" w:eastAsia="zh-CN"/>
        </w:rPr>
        <w:t>与年初预算略有</w:t>
      </w:r>
      <w:r>
        <w:rPr>
          <w:rFonts w:hint="eastAsia" w:ascii="仿宋_GB2312" w:eastAsia="仿宋_GB2312"/>
          <w:sz w:val="32"/>
          <w:szCs w:val="32"/>
        </w:rPr>
        <w:t>有</w:t>
      </w:r>
      <w:r>
        <w:rPr>
          <w:rFonts w:hint="eastAsia" w:ascii="仿宋_GB2312" w:eastAsia="仿宋_GB2312"/>
          <w:sz w:val="32"/>
          <w:szCs w:val="32"/>
          <w:lang w:val="en-US" w:eastAsia="zh-CN"/>
        </w:rPr>
        <w:t>差异</w:t>
      </w:r>
      <w:r>
        <w:rPr>
          <w:rFonts w:hint="eastAsia" w:ascii="仿宋_GB2312" w:eastAsia="仿宋_GB2312"/>
          <w:sz w:val="32"/>
          <w:szCs w:val="32"/>
        </w:rPr>
        <w:t>，所以在项目</w:t>
      </w:r>
      <w:r>
        <w:rPr>
          <w:rFonts w:hint="eastAsia" w:ascii="仿宋_GB2312" w:eastAsia="仿宋_GB2312"/>
          <w:sz w:val="32"/>
          <w:szCs w:val="32"/>
          <w:lang w:val="en-US" w:eastAsia="zh-CN"/>
        </w:rPr>
        <w:t>支出</w:t>
      </w:r>
      <w:r>
        <w:rPr>
          <w:rFonts w:hint="eastAsia" w:ascii="仿宋_GB2312" w:eastAsia="仿宋_GB2312"/>
          <w:sz w:val="32"/>
          <w:szCs w:val="32"/>
        </w:rPr>
        <w:t>方面</w:t>
      </w:r>
      <w:r>
        <w:rPr>
          <w:rFonts w:hint="eastAsia" w:ascii="仿宋_GB2312" w:eastAsia="仿宋_GB2312"/>
          <w:sz w:val="32"/>
          <w:szCs w:val="32"/>
          <w:lang w:val="en-US" w:eastAsia="zh-CN"/>
        </w:rPr>
        <w:t>与年初绩效要求</w:t>
      </w:r>
      <w:r>
        <w:rPr>
          <w:rFonts w:hint="eastAsia" w:ascii="仿宋_GB2312" w:eastAsia="仿宋_GB2312"/>
          <w:sz w:val="32"/>
          <w:szCs w:val="32"/>
        </w:rPr>
        <w:t>有出入情况</w:t>
      </w:r>
      <w:r>
        <w:rPr>
          <w:rFonts w:hint="eastAsia" w:ascii="仿宋_GB2312" w:eastAsia="仿宋_GB2312"/>
          <w:sz w:val="32"/>
          <w:szCs w:val="32"/>
          <w:lang w:val="en-US" w:eastAsia="zh-CN"/>
        </w:rPr>
        <w:t>。</w:t>
      </w:r>
    </w:p>
    <w:p w14:paraId="5449A3A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_GB2312" w:eastAsia="仿宋_GB2312"/>
          <w:sz w:val="32"/>
          <w:szCs w:val="32"/>
        </w:rPr>
        <w:t>改进措施：及时与</w:t>
      </w:r>
      <w:r>
        <w:rPr>
          <w:rFonts w:hint="eastAsia" w:ascii="仿宋_GB2312" w:eastAsia="仿宋_GB2312"/>
          <w:sz w:val="32"/>
          <w:szCs w:val="32"/>
          <w:lang w:val="en-US" w:eastAsia="zh-CN"/>
        </w:rPr>
        <w:t>各部门</w:t>
      </w:r>
      <w:r>
        <w:rPr>
          <w:rFonts w:hint="eastAsia" w:ascii="仿宋_GB2312" w:eastAsia="仿宋_GB2312"/>
          <w:sz w:val="32"/>
          <w:szCs w:val="32"/>
        </w:rPr>
        <w:t>沟通，根据不同情况合理列支支出项目</w:t>
      </w:r>
      <w:r>
        <w:rPr>
          <w:rFonts w:hint="eastAsia" w:ascii="仿宋_GB2312" w:eastAsia="仿宋_GB2312"/>
          <w:sz w:val="32"/>
          <w:szCs w:val="32"/>
          <w:lang w:eastAsia="zh-CN"/>
        </w:rPr>
        <w:t>，</w:t>
      </w:r>
      <w:r>
        <w:rPr>
          <w:rFonts w:hint="eastAsia" w:ascii="仿宋" w:hAnsi="仿宋" w:eastAsia="仿宋" w:cs="仿宋"/>
          <w:kern w:val="0"/>
          <w:sz w:val="32"/>
          <w:szCs w:val="32"/>
          <w:lang w:val="zh-CN"/>
        </w:rPr>
        <w:t>提高绩效目标设置质量</w:t>
      </w:r>
      <w:r>
        <w:rPr>
          <w:rFonts w:hint="eastAsia" w:ascii="仿宋_GB2312" w:eastAsia="仿宋_GB2312"/>
          <w:sz w:val="32"/>
          <w:szCs w:val="32"/>
        </w:rPr>
        <w:t>。</w:t>
      </w:r>
    </w:p>
    <w:p w14:paraId="2273B864">
      <w:pPr>
        <w:keepNext w:val="0"/>
        <w:keepLines w:val="0"/>
        <w:pageBreakBefore w:val="0"/>
        <w:widowControl w:val="0"/>
        <w:kinsoku/>
        <w:wordWrap/>
        <w:overflowPunct/>
        <w:topLinePunct w:val="0"/>
        <w:bidi w:val="0"/>
        <w:adjustRightInd/>
        <w:snapToGrid w:val="0"/>
        <w:spacing w:line="560" w:lineRule="exact"/>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六、评价工作组人员名单及签字</w:t>
      </w:r>
    </w:p>
    <w:tbl>
      <w:tblPr>
        <w:tblStyle w:val="4"/>
        <w:tblW w:w="84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8"/>
        <w:gridCol w:w="1440"/>
        <w:gridCol w:w="2082"/>
        <w:gridCol w:w="2027"/>
        <w:gridCol w:w="1723"/>
      </w:tblGrid>
      <w:tr w14:paraId="6FBB39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2" w:hRule="atLeast"/>
          <w:jc w:val="center"/>
        </w:trPr>
        <w:tc>
          <w:tcPr>
            <w:tcW w:w="1188" w:type="dxa"/>
            <w:noWrap w:val="0"/>
            <w:vAlign w:val="center"/>
          </w:tcPr>
          <w:p w14:paraId="6C78966C">
            <w:pPr>
              <w:keepNext w:val="0"/>
              <w:keepLines w:val="0"/>
              <w:pageBreakBefore w:val="0"/>
              <w:widowControl w:val="0"/>
              <w:kinsoku/>
              <w:wordWrap/>
              <w:overflowPunct/>
              <w:topLinePunct w:val="0"/>
              <w:bidi w:val="0"/>
              <w:spacing w:line="560" w:lineRule="exact"/>
              <w:jc w:val="center"/>
              <w:textAlignment w:val="auto"/>
              <w:rPr>
                <w:rFonts w:hint="eastAsia" w:ascii="仿宋_GB2312" w:hAnsi="仿宋" w:eastAsia="仿宋_GB2312"/>
                <w:b/>
                <w:bCs/>
                <w:sz w:val="32"/>
                <w:szCs w:val="32"/>
              </w:rPr>
            </w:pPr>
            <w:r>
              <w:rPr>
                <w:rFonts w:hint="eastAsia" w:ascii="仿宋_GB2312" w:hAnsi="仿宋" w:eastAsia="仿宋_GB2312"/>
                <w:b/>
                <w:bCs/>
                <w:sz w:val="32"/>
                <w:szCs w:val="32"/>
              </w:rPr>
              <w:t>序号</w:t>
            </w:r>
          </w:p>
        </w:tc>
        <w:tc>
          <w:tcPr>
            <w:tcW w:w="1440" w:type="dxa"/>
            <w:noWrap w:val="0"/>
            <w:vAlign w:val="center"/>
          </w:tcPr>
          <w:p w14:paraId="5824823B">
            <w:pPr>
              <w:keepNext w:val="0"/>
              <w:keepLines w:val="0"/>
              <w:pageBreakBefore w:val="0"/>
              <w:widowControl w:val="0"/>
              <w:kinsoku/>
              <w:wordWrap/>
              <w:overflowPunct/>
              <w:topLinePunct w:val="0"/>
              <w:bidi w:val="0"/>
              <w:spacing w:line="560" w:lineRule="exact"/>
              <w:jc w:val="center"/>
              <w:textAlignment w:val="auto"/>
              <w:rPr>
                <w:rFonts w:hint="eastAsia" w:ascii="仿宋_GB2312" w:hAnsi="仿宋" w:eastAsia="仿宋_GB2312"/>
                <w:b/>
                <w:bCs/>
                <w:sz w:val="32"/>
                <w:szCs w:val="32"/>
              </w:rPr>
            </w:pPr>
            <w:r>
              <w:rPr>
                <w:rFonts w:hint="eastAsia" w:ascii="仿宋_GB2312" w:hAnsi="仿宋" w:eastAsia="仿宋_GB2312"/>
                <w:b/>
                <w:bCs/>
                <w:sz w:val="32"/>
                <w:szCs w:val="32"/>
              </w:rPr>
              <w:t>姓名</w:t>
            </w:r>
          </w:p>
        </w:tc>
        <w:tc>
          <w:tcPr>
            <w:tcW w:w="2082" w:type="dxa"/>
            <w:noWrap w:val="0"/>
            <w:vAlign w:val="center"/>
          </w:tcPr>
          <w:p w14:paraId="0D6F8FC5">
            <w:pPr>
              <w:keepNext w:val="0"/>
              <w:keepLines w:val="0"/>
              <w:pageBreakBefore w:val="0"/>
              <w:widowControl w:val="0"/>
              <w:kinsoku/>
              <w:wordWrap/>
              <w:overflowPunct/>
              <w:topLinePunct w:val="0"/>
              <w:bidi w:val="0"/>
              <w:spacing w:line="560" w:lineRule="exact"/>
              <w:jc w:val="center"/>
              <w:textAlignment w:val="auto"/>
              <w:rPr>
                <w:rFonts w:hint="eastAsia" w:ascii="仿宋_GB2312" w:hAnsi="仿宋" w:eastAsia="仿宋_GB2312"/>
                <w:b/>
                <w:bCs/>
                <w:sz w:val="32"/>
                <w:szCs w:val="32"/>
              </w:rPr>
            </w:pPr>
            <w:r>
              <w:rPr>
                <w:rFonts w:hint="eastAsia" w:ascii="仿宋_GB2312" w:hAnsi="仿宋" w:eastAsia="仿宋_GB2312"/>
                <w:b/>
                <w:bCs/>
                <w:sz w:val="32"/>
                <w:szCs w:val="32"/>
              </w:rPr>
              <w:t>职务</w:t>
            </w:r>
          </w:p>
        </w:tc>
        <w:tc>
          <w:tcPr>
            <w:tcW w:w="2027" w:type="dxa"/>
            <w:noWrap w:val="0"/>
            <w:vAlign w:val="center"/>
          </w:tcPr>
          <w:p w14:paraId="338BDEE9">
            <w:pPr>
              <w:keepNext w:val="0"/>
              <w:keepLines w:val="0"/>
              <w:pageBreakBefore w:val="0"/>
              <w:widowControl w:val="0"/>
              <w:kinsoku/>
              <w:wordWrap/>
              <w:overflowPunct/>
              <w:topLinePunct w:val="0"/>
              <w:bidi w:val="0"/>
              <w:spacing w:line="560" w:lineRule="exact"/>
              <w:jc w:val="center"/>
              <w:textAlignment w:val="auto"/>
              <w:rPr>
                <w:rFonts w:hint="eastAsia" w:ascii="仿宋_GB2312" w:hAnsi="仿宋" w:eastAsia="仿宋_GB2312"/>
                <w:b/>
                <w:bCs/>
                <w:sz w:val="32"/>
                <w:szCs w:val="32"/>
              </w:rPr>
            </w:pPr>
            <w:r>
              <w:rPr>
                <w:rFonts w:hint="eastAsia" w:ascii="仿宋_GB2312" w:hAnsi="仿宋" w:eastAsia="仿宋_GB2312"/>
                <w:b/>
                <w:bCs/>
                <w:sz w:val="32"/>
                <w:szCs w:val="32"/>
              </w:rPr>
              <w:t>工作单位</w:t>
            </w:r>
          </w:p>
        </w:tc>
        <w:tc>
          <w:tcPr>
            <w:tcW w:w="1723" w:type="dxa"/>
            <w:noWrap w:val="0"/>
            <w:vAlign w:val="center"/>
          </w:tcPr>
          <w:p w14:paraId="71D1A556">
            <w:pPr>
              <w:keepNext w:val="0"/>
              <w:keepLines w:val="0"/>
              <w:pageBreakBefore w:val="0"/>
              <w:widowControl w:val="0"/>
              <w:kinsoku/>
              <w:wordWrap/>
              <w:overflowPunct/>
              <w:topLinePunct w:val="0"/>
              <w:bidi w:val="0"/>
              <w:spacing w:line="560" w:lineRule="exact"/>
              <w:jc w:val="center"/>
              <w:textAlignment w:val="auto"/>
              <w:rPr>
                <w:rFonts w:hint="eastAsia" w:ascii="仿宋_GB2312" w:hAnsi="仿宋" w:eastAsia="仿宋_GB2312"/>
                <w:b/>
                <w:bCs/>
                <w:sz w:val="32"/>
                <w:szCs w:val="32"/>
              </w:rPr>
            </w:pPr>
            <w:r>
              <w:rPr>
                <w:rFonts w:hint="eastAsia" w:ascii="仿宋_GB2312" w:hAnsi="仿宋" w:eastAsia="仿宋_GB2312"/>
                <w:b/>
                <w:bCs/>
                <w:sz w:val="32"/>
                <w:szCs w:val="32"/>
              </w:rPr>
              <w:t>签字</w:t>
            </w:r>
          </w:p>
        </w:tc>
      </w:tr>
      <w:tr w14:paraId="5DAA5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9" w:hRule="atLeast"/>
          <w:jc w:val="center"/>
        </w:trPr>
        <w:tc>
          <w:tcPr>
            <w:tcW w:w="1188" w:type="dxa"/>
            <w:noWrap w:val="0"/>
            <w:vAlign w:val="center"/>
          </w:tcPr>
          <w:p w14:paraId="7470455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eastAsia="仿宋_GB2312"/>
                <w:sz w:val="32"/>
                <w:szCs w:val="32"/>
              </w:rPr>
            </w:pPr>
            <w:r>
              <w:rPr>
                <w:rFonts w:hint="eastAsia" w:ascii="仿宋_GB2312" w:eastAsia="仿宋_GB2312"/>
                <w:sz w:val="32"/>
                <w:szCs w:val="32"/>
              </w:rPr>
              <w:t>1</w:t>
            </w:r>
          </w:p>
        </w:tc>
        <w:tc>
          <w:tcPr>
            <w:tcW w:w="1440" w:type="dxa"/>
            <w:noWrap w:val="0"/>
            <w:vAlign w:val="center"/>
          </w:tcPr>
          <w:p w14:paraId="2E1880C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eastAsia="仿宋_GB2312"/>
                <w:sz w:val="32"/>
                <w:szCs w:val="32"/>
              </w:rPr>
            </w:pPr>
            <w:r>
              <w:rPr>
                <w:rFonts w:hint="eastAsia" w:ascii="仿宋_GB2312" w:eastAsia="仿宋_GB2312"/>
                <w:sz w:val="32"/>
                <w:szCs w:val="32"/>
              </w:rPr>
              <w:t>蔡立彬</w:t>
            </w:r>
          </w:p>
        </w:tc>
        <w:tc>
          <w:tcPr>
            <w:tcW w:w="2082" w:type="dxa"/>
            <w:noWrap w:val="0"/>
            <w:vAlign w:val="center"/>
          </w:tcPr>
          <w:p w14:paraId="1219372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eastAsia="仿宋_GB2312"/>
                <w:sz w:val="32"/>
                <w:szCs w:val="32"/>
              </w:rPr>
            </w:pPr>
            <w:r>
              <w:rPr>
                <w:rFonts w:hint="eastAsia" w:ascii="仿宋_GB2312" w:eastAsia="仿宋_GB2312"/>
                <w:sz w:val="32"/>
                <w:szCs w:val="32"/>
              </w:rPr>
              <w:t>党委书记</w:t>
            </w:r>
          </w:p>
        </w:tc>
        <w:tc>
          <w:tcPr>
            <w:tcW w:w="2027" w:type="dxa"/>
            <w:noWrap w:val="0"/>
            <w:vAlign w:val="center"/>
          </w:tcPr>
          <w:p w14:paraId="6852FFF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eastAsia="仿宋_GB2312"/>
                <w:sz w:val="32"/>
                <w:szCs w:val="32"/>
              </w:rPr>
            </w:pPr>
            <w:r>
              <w:rPr>
                <w:rFonts w:hint="eastAsia" w:ascii="仿宋_GB2312" w:eastAsia="仿宋_GB2312"/>
                <w:sz w:val="32"/>
                <w:szCs w:val="32"/>
              </w:rPr>
              <w:t>兴安镇政府</w:t>
            </w:r>
          </w:p>
        </w:tc>
        <w:tc>
          <w:tcPr>
            <w:tcW w:w="1723" w:type="dxa"/>
            <w:noWrap w:val="0"/>
            <w:vAlign w:val="center"/>
          </w:tcPr>
          <w:p w14:paraId="2B319F8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eastAsia="仿宋_GB2312"/>
                <w:sz w:val="32"/>
                <w:szCs w:val="32"/>
              </w:rPr>
            </w:pPr>
          </w:p>
        </w:tc>
      </w:tr>
      <w:tr w14:paraId="6D5930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2" w:hRule="atLeast"/>
          <w:jc w:val="center"/>
        </w:trPr>
        <w:tc>
          <w:tcPr>
            <w:tcW w:w="1188" w:type="dxa"/>
            <w:noWrap w:val="0"/>
            <w:vAlign w:val="center"/>
          </w:tcPr>
          <w:p w14:paraId="78A0F40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eastAsia="仿宋_GB2312"/>
                <w:sz w:val="32"/>
                <w:szCs w:val="32"/>
              </w:rPr>
            </w:pPr>
            <w:r>
              <w:rPr>
                <w:rFonts w:hint="eastAsia" w:ascii="仿宋_GB2312" w:eastAsia="仿宋_GB2312"/>
                <w:sz w:val="32"/>
                <w:szCs w:val="32"/>
              </w:rPr>
              <w:t>2</w:t>
            </w:r>
          </w:p>
        </w:tc>
        <w:tc>
          <w:tcPr>
            <w:tcW w:w="1440" w:type="dxa"/>
            <w:noWrap w:val="0"/>
            <w:vAlign w:val="center"/>
          </w:tcPr>
          <w:p w14:paraId="6477877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eastAsia="仿宋_GB2312"/>
                <w:sz w:val="32"/>
                <w:szCs w:val="32"/>
              </w:rPr>
            </w:pPr>
            <w:r>
              <w:rPr>
                <w:rFonts w:hint="eastAsia" w:ascii="仿宋_GB2312" w:eastAsia="仿宋_GB2312"/>
                <w:sz w:val="32"/>
                <w:szCs w:val="32"/>
              </w:rPr>
              <w:t>何世冲</w:t>
            </w:r>
          </w:p>
        </w:tc>
        <w:tc>
          <w:tcPr>
            <w:tcW w:w="2082" w:type="dxa"/>
            <w:noWrap w:val="0"/>
            <w:vAlign w:val="center"/>
          </w:tcPr>
          <w:p w14:paraId="51DE18D7">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eastAsia="仿宋_GB2312"/>
                <w:sz w:val="32"/>
                <w:szCs w:val="32"/>
              </w:rPr>
            </w:pPr>
            <w:r>
              <w:rPr>
                <w:rFonts w:hint="eastAsia" w:ascii="仿宋_GB2312" w:eastAsia="仿宋_GB2312"/>
                <w:sz w:val="32"/>
                <w:szCs w:val="32"/>
              </w:rPr>
              <w:t>镇长</w:t>
            </w:r>
          </w:p>
        </w:tc>
        <w:tc>
          <w:tcPr>
            <w:tcW w:w="2027" w:type="dxa"/>
            <w:noWrap w:val="0"/>
            <w:vAlign w:val="center"/>
          </w:tcPr>
          <w:p w14:paraId="14DE376C">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eastAsia="仿宋_GB2312"/>
                <w:sz w:val="32"/>
                <w:szCs w:val="32"/>
              </w:rPr>
            </w:pPr>
            <w:r>
              <w:rPr>
                <w:rFonts w:hint="eastAsia" w:ascii="仿宋_GB2312" w:eastAsia="仿宋_GB2312"/>
                <w:sz w:val="32"/>
                <w:szCs w:val="32"/>
              </w:rPr>
              <w:t>兴安镇政府</w:t>
            </w:r>
          </w:p>
        </w:tc>
        <w:tc>
          <w:tcPr>
            <w:tcW w:w="1723" w:type="dxa"/>
            <w:noWrap w:val="0"/>
            <w:vAlign w:val="center"/>
          </w:tcPr>
          <w:p w14:paraId="2E0B1DE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eastAsia="仿宋_GB2312"/>
                <w:sz w:val="32"/>
                <w:szCs w:val="32"/>
              </w:rPr>
            </w:pPr>
          </w:p>
        </w:tc>
      </w:tr>
      <w:tr w14:paraId="4E705D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9" w:hRule="atLeast"/>
          <w:jc w:val="center"/>
        </w:trPr>
        <w:tc>
          <w:tcPr>
            <w:tcW w:w="1188" w:type="dxa"/>
            <w:noWrap w:val="0"/>
            <w:vAlign w:val="center"/>
          </w:tcPr>
          <w:p w14:paraId="0292974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eastAsia="仿宋_GB2312"/>
                <w:sz w:val="32"/>
                <w:szCs w:val="32"/>
              </w:rPr>
            </w:pPr>
            <w:r>
              <w:rPr>
                <w:rFonts w:hint="eastAsia" w:ascii="仿宋_GB2312" w:eastAsia="仿宋_GB2312"/>
                <w:sz w:val="32"/>
                <w:szCs w:val="32"/>
              </w:rPr>
              <w:t>3</w:t>
            </w:r>
          </w:p>
        </w:tc>
        <w:tc>
          <w:tcPr>
            <w:tcW w:w="1440" w:type="dxa"/>
            <w:noWrap w:val="0"/>
            <w:vAlign w:val="center"/>
          </w:tcPr>
          <w:p w14:paraId="022E9EE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马紫萱</w:t>
            </w:r>
          </w:p>
        </w:tc>
        <w:tc>
          <w:tcPr>
            <w:tcW w:w="2082" w:type="dxa"/>
            <w:noWrap w:val="0"/>
            <w:vAlign w:val="center"/>
          </w:tcPr>
          <w:p w14:paraId="30D6928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eastAsia="仿宋_GB2312"/>
                <w:sz w:val="32"/>
                <w:szCs w:val="32"/>
                <w:lang w:val="en-US" w:eastAsia="zh-CN"/>
              </w:rPr>
            </w:pPr>
            <w:r>
              <w:rPr>
                <w:rFonts w:hint="eastAsia" w:ascii="仿宋_GB2312" w:eastAsia="仿宋_GB2312"/>
                <w:sz w:val="32"/>
                <w:szCs w:val="32"/>
              </w:rPr>
              <w:t>财政所</w:t>
            </w:r>
            <w:r>
              <w:rPr>
                <w:rFonts w:hint="eastAsia" w:ascii="仿宋_GB2312" w:eastAsia="仿宋_GB2312"/>
                <w:sz w:val="32"/>
                <w:szCs w:val="32"/>
                <w:lang w:val="en-US" w:eastAsia="zh-CN"/>
              </w:rPr>
              <w:t>会计</w:t>
            </w:r>
          </w:p>
        </w:tc>
        <w:tc>
          <w:tcPr>
            <w:tcW w:w="2027" w:type="dxa"/>
            <w:noWrap w:val="0"/>
            <w:vAlign w:val="center"/>
          </w:tcPr>
          <w:p w14:paraId="223C0F3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eastAsia="仿宋_GB2312"/>
                <w:sz w:val="32"/>
                <w:szCs w:val="32"/>
              </w:rPr>
            </w:pPr>
            <w:r>
              <w:rPr>
                <w:rFonts w:hint="eastAsia" w:ascii="仿宋_GB2312" w:eastAsia="仿宋_GB2312"/>
                <w:sz w:val="32"/>
                <w:szCs w:val="32"/>
              </w:rPr>
              <w:t>兴安镇政府</w:t>
            </w:r>
          </w:p>
        </w:tc>
        <w:tc>
          <w:tcPr>
            <w:tcW w:w="1723" w:type="dxa"/>
            <w:noWrap w:val="0"/>
            <w:vAlign w:val="center"/>
          </w:tcPr>
          <w:p w14:paraId="5396BBE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center"/>
              <w:textAlignment w:val="auto"/>
              <w:rPr>
                <w:rFonts w:hint="eastAsia" w:ascii="仿宋_GB2312" w:eastAsia="仿宋_GB2312"/>
                <w:sz w:val="32"/>
                <w:szCs w:val="32"/>
              </w:rPr>
            </w:pPr>
          </w:p>
        </w:tc>
      </w:tr>
    </w:tbl>
    <w:p w14:paraId="69A2421D">
      <w:pPr>
        <w:keepNext w:val="0"/>
        <w:keepLines w:val="0"/>
        <w:pageBreakBefore w:val="0"/>
        <w:widowControl w:val="0"/>
        <w:numPr>
          <w:ilvl w:val="0"/>
          <w:numId w:val="0"/>
        </w:numPr>
        <w:kinsoku/>
        <w:wordWrap/>
        <w:overflowPunct/>
        <w:topLinePunct w:val="0"/>
        <w:bidi w:val="0"/>
        <w:adjustRightInd/>
        <w:snapToGrid w:val="0"/>
        <w:spacing w:line="560" w:lineRule="exact"/>
        <w:ind w:left="630" w:leftChars="0" w:right="0" w:rightChars="0"/>
        <w:textAlignment w:val="auto"/>
        <w:outlineLvl w:val="9"/>
        <w:rPr>
          <w:rFonts w:hint="eastAsia" w:ascii="仿宋" w:hAnsi="仿宋" w:eastAsia="仿宋" w:cs="仿宋"/>
          <w:sz w:val="32"/>
          <w:szCs w:val="32"/>
          <w:lang w:eastAsia="zh-CN"/>
        </w:rPr>
      </w:pP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Cambria">
    <w:panose1 w:val="02040503050406030204"/>
    <w:charset w:val="00"/>
    <w:family w:val="auto"/>
    <w:pitch w:val="default"/>
    <w:sig w:usb0="E00006FF" w:usb1="420024FF" w:usb2="02000000" w:usb3="00000000" w:csb0="2000019F" w:csb1="00000000"/>
  </w:font>
  <w:font w:name="ArialUnicodeMS">
    <w:altName w:val="Malgun Gothic"/>
    <w:panose1 w:val="00000000000000000000"/>
    <w:charset w:val="81"/>
    <w:family w:val="auto"/>
    <w:pitch w:val="default"/>
    <w:sig w:usb0="00000000" w:usb1="00000000" w:usb2="00000010" w:usb3="00000000" w:csb0="0008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C69419">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846D94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0846D94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433F97">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79F1EC4"/>
    <w:multiLevelType w:val="singleLevel"/>
    <w:tmpl w:val="B79F1EC4"/>
    <w:lvl w:ilvl="0" w:tentative="0">
      <w:start w:val="3"/>
      <w:numFmt w:val="chineseCounting"/>
      <w:suff w:val="nothing"/>
      <w:lvlText w:val="%1、"/>
      <w:lvlJc w:val="left"/>
      <w:pPr>
        <w:ind w:left="-10"/>
      </w:pPr>
      <w:rPr>
        <w:rFonts w:hint="eastAsia"/>
      </w:rPr>
    </w:lvl>
  </w:abstractNum>
  <w:abstractNum w:abstractNumId="1">
    <w:nsid w:val="D840DC44"/>
    <w:multiLevelType w:val="singleLevel"/>
    <w:tmpl w:val="D840DC44"/>
    <w:lvl w:ilvl="0" w:tentative="0">
      <w:start w:val="3"/>
      <w:numFmt w:val="decimal"/>
      <w:suff w:val="nothing"/>
      <w:lvlText w:val="%1、"/>
      <w:lvlJc w:val="left"/>
    </w:lvl>
  </w:abstractNum>
  <w:abstractNum w:abstractNumId="2">
    <w:nsid w:val="F54B1E74"/>
    <w:multiLevelType w:val="singleLevel"/>
    <w:tmpl w:val="F54B1E74"/>
    <w:lvl w:ilvl="0" w:tentative="0">
      <w:start w:val="1"/>
      <w:numFmt w:val="decimal"/>
      <w:suff w:val="nothing"/>
      <w:lvlText w:val="%1、"/>
      <w:lvlJc w:val="left"/>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E50A2"/>
    <w:rsid w:val="00DF6FF4"/>
    <w:rsid w:val="00E03726"/>
    <w:rsid w:val="00E17D5D"/>
    <w:rsid w:val="00E61BFC"/>
    <w:rsid w:val="00E841B7"/>
    <w:rsid w:val="00ED5E84"/>
    <w:rsid w:val="00EF16A3"/>
    <w:rsid w:val="00F57E52"/>
    <w:rsid w:val="00FB4297"/>
    <w:rsid w:val="01347C43"/>
    <w:rsid w:val="037077F2"/>
    <w:rsid w:val="051D4810"/>
    <w:rsid w:val="05337D3D"/>
    <w:rsid w:val="055B525F"/>
    <w:rsid w:val="09476531"/>
    <w:rsid w:val="0DA35CC7"/>
    <w:rsid w:val="13B61930"/>
    <w:rsid w:val="16E30C95"/>
    <w:rsid w:val="16EC28A5"/>
    <w:rsid w:val="18614F2F"/>
    <w:rsid w:val="19191AC1"/>
    <w:rsid w:val="1BAF1154"/>
    <w:rsid w:val="1C655171"/>
    <w:rsid w:val="1DBA72A0"/>
    <w:rsid w:val="20276775"/>
    <w:rsid w:val="281B5F47"/>
    <w:rsid w:val="29374BB0"/>
    <w:rsid w:val="2982434C"/>
    <w:rsid w:val="3AEF6FE7"/>
    <w:rsid w:val="493B718D"/>
    <w:rsid w:val="4DAB5340"/>
    <w:rsid w:val="53A42ADD"/>
    <w:rsid w:val="57166BE3"/>
    <w:rsid w:val="5C4A315B"/>
    <w:rsid w:val="5D3D13E9"/>
    <w:rsid w:val="661D3074"/>
    <w:rsid w:val="66B00F61"/>
    <w:rsid w:val="69524688"/>
    <w:rsid w:val="6BDE7164"/>
    <w:rsid w:val="6BEF3A32"/>
    <w:rsid w:val="71120064"/>
    <w:rsid w:val="78EC2F28"/>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sz w:val="18"/>
      <w:szCs w:val="18"/>
    </w:rPr>
  </w:style>
  <w:style w:type="character" w:customStyle="1" w:styleId="7">
    <w:name w:val="页脚 Char"/>
    <w:basedOn w:val="5"/>
    <w:link w:val="2"/>
    <w:qFormat/>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oleObject" Target="embeddings/oleObject2.bin"/><Relationship Id="rId6" Type="http://schemas.openxmlformats.org/officeDocument/2006/relationships/oleObject" Target="embeddings/oleObject1.bin"/><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9</Pages>
  <Words>4159</Words>
  <Characters>4450</Characters>
  <Lines>3</Lines>
  <Paragraphs>1</Paragraphs>
  <TotalTime>15</TotalTime>
  <ScaleCrop>false</ScaleCrop>
  <LinksUpToDate>false</LinksUpToDate>
  <CharactersWithSpaces>4450</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 </cp:lastModifiedBy>
  <cp:lastPrinted>2021-02-24T05:43:00Z</cp:lastPrinted>
  <dcterms:modified xsi:type="dcterms:W3CDTF">2024-09-21T06:42:15Z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FBA55D079BBD437E8203AE473B7F2C96_12</vt:lpwstr>
  </property>
</Properties>
</file>