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886F8E">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-990600</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14:paraId="3A629965">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14:paraId="436F955E">
                  <w:pPr>
                    <w:widowControl/>
                    <w:spacing w:line="1200" w:lineRule="exact"/>
                    <w:jc w:val="center"/>
                    <w:rPr>
                      <w:color w:val="FDEFBE"/>
                      <w:sz w:val="96"/>
                      <w:szCs w:val="96"/>
                    </w:rPr>
                  </w:pPr>
                  <w:r>
                    <w:rPr>
                      <w:rFonts w:hint="eastAsia" w:hAnsi="宋体" w:asciiTheme="minorEastAsia" w:eastAsiaTheme="minorEastAsia"/>
                      <w:color w:val="FDEFBE"/>
                      <w:sz w:val="96"/>
                      <w:szCs w:val="96"/>
                      <w:lang w:eastAsia="zh-CN"/>
                    </w:rPr>
                    <w:t>石家庄市藁城区九门回族乡</w:t>
                  </w:r>
                  <w:r>
                    <w:rPr>
                      <w:rFonts w:hint="eastAsia" w:hAnsi="宋体" w:asciiTheme="minorEastAsia" w:eastAsiaTheme="minorEastAsia"/>
                      <w:color w:val="FDEFBE"/>
                      <w:sz w:val="96"/>
                      <w:szCs w:val="96"/>
                    </w:rPr>
                    <w:t>2018年度部门决算</w:t>
                  </w:r>
                </w:p>
                <w:p w14:paraId="50858595">
                  <w:pPr>
                    <w:rPr>
                      <w:color w:val="FDEFBE"/>
                      <w:sz w:val="96"/>
                      <w:szCs w:val="96"/>
                    </w:rPr>
                  </w:pPr>
                </w:p>
              </w:txbxContent>
            </v:textbox>
          </v:shape>
        </w:pict>
      </w:r>
    </w:p>
    <w:p w14:paraId="68F07BEF">
      <w:pPr>
        <w:widowControl/>
        <w:jc w:val="center"/>
        <w:rPr>
          <w:rFonts w:asciiTheme="minorEastAsia" w:hAnsiTheme="minorEastAsia" w:eastAsiaTheme="minorEastAsia"/>
          <w:b/>
          <w:sz w:val="72"/>
          <w:szCs w:val="72"/>
        </w:rPr>
      </w:pPr>
    </w:p>
    <w:p w14:paraId="7AAE0EC9">
      <w:pPr>
        <w:widowControl/>
        <w:jc w:val="center"/>
        <w:rPr>
          <w:rFonts w:asciiTheme="minorEastAsia" w:hAnsiTheme="minorEastAsia" w:eastAsiaTheme="minorEastAsia"/>
          <w:b/>
          <w:sz w:val="72"/>
          <w:szCs w:val="72"/>
        </w:rPr>
      </w:pPr>
    </w:p>
    <w:p w14:paraId="66018B36">
      <w:pPr>
        <w:widowControl/>
        <w:jc w:val="center"/>
        <w:rPr>
          <w:rFonts w:asciiTheme="minorEastAsia" w:hAnsiTheme="minorEastAsia" w:eastAsiaTheme="minorEastAsia"/>
          <w:b/>
          <w:sz w:val="72"/>
          <w:szCs w:val="72"/>
        </w:rPr>
      </w:pPr>
    </w:p>
    <w:p w14:paraId="27910AC1">
      <w:pPr>
        <w:widowControl/>
        <w:jc w:val="center"/>
        <w:rPr>
          <w:rFonts w:asciiTheme="minorEastAsia" w:hAnsiTheme="minorEastAsia" w:eastAsiaTheme="minorEastAsia"/>
          <w:b/>
          <w:sz w:val="72"/>
          <w:szCs w:val="72"/>
        </w:rPr>
      </w:pPr>
    </w:p>
    <w:p w14:paraId="4E941CF5">
      <w:pPr>
        <w:widowControl/>
        <w:jc w:val="center"/>
        <w:rPr>
          <w:rFonts w:asciiTheme="minorEastAsia" w:hAnsiTheme="minorEastAsia" w:eastAsiaTheme="minorEastAsia"/>
          <w:b/>
          <w:sz w:val="72"/>
          <w:szCs w:val="72"/>
        </w:rPr>
      </w:pPr>
    </w:p>
    <w:p w14:paraId="4C2B9583">
      <w:pPr>
        <w:widowControl/>
        <w:jc w:val="center"/>
        <w:rPr>
          <w:rFonts w:asciiTheme="minorEastAsia" w:hAnsiTheme="minorEastAsia" w:eastAsiaTheme="minorEastAsia"/>
          <w:b/>
          <w:sz w:val="72"/>
          <w:szCs w:val="72"/>
        </w:rPr>
      </w:pPr>
    </w:p>
    <w:p w14:paraId="53865ACD">
      <w:pPr>
        <w:widowControl/>
        <w:jc w:val="center"/>
        <w:rPr>
          <w:rFonts w:asciiTheme="minorEastAsia" w:hAnsiTheme="minorEastAsia" w:eastAsiaTheme="minorEastAsia"/>
          <w:b/>
          <w:sz w:val="72"/>
          <w:szCs w:val="72"/>
        </w:rPr>
      </w:pPr>
    </w:p>
    <w:p w14:paraId="7FEBAA75">
      <w:pPr>
        <w:widowControl/>
        <w:jc w:val="center"/>
        <w:rPr>
          <w:rFonts w:asciiTheme="minorEastAsia" w:hAnsiTheme="minorEastAsia" w:eastAsiaTheme="minorEastAsia"/>
          <w:b/>
          <w:sz w:val="72"/>
          <w:szCs w:val="72"/>
        </w:rPr>
      </w:pPr>
    </w:p>
    <w:p w14:paraId="72AE8649">
      <w:pPr>
        <w:widowControl/>
        <w:jc w:val="center"/>
        <w:rPr>
          <w:rFonts w:ascii="楷体" w:hAnsi="楷体" w:eastAsia="楷体" w:cs="楷体"/>
          <w:b/>
          <w:sz w:val="40"/>
          <w:szCs w:val="40"/>
        </w:rPr>
      </w:pPr>
    </w:p>
    <w:p w14:paraId="2CA49DF6">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w:t>
      </w:r>
      <w:r>
        <w:rPr>
          <w:rFonts w:hint="eastAsia" w:ascii="楷体_GB2312" w:hAnsi="楷体_GB2312" w:eastAsia="楷体_GB2312" w:cs="楷体_GB2312"/>
          <w:b/>
          <w:sz w:val="40"/>
          <w:szCs w:val="40"/>
          <w:lang w:eastAsia="zh-CN"/>
        </w:rPr>
        <w:t>十</w:t>
      </w:r>
      <w:r>
        <w:rPr>
          <w:rFonts w:hint="eastAsia" w:ascii="楷体_GB2312" w:hAnsi="楷体" w:eastAsia="楷体_GB2312" w:cs="楷体"/>
          <w:b/>
          <w:sz w:val="40"/>
          <w:szCs w:val="40"/>
        </w:rPr>
        <w:t>月</w:t>
      </w:r>
      <w:r>
        <w:rPr>
          <w:rFonts w:hint="eastAsia" w:ascii="楷体_GB2312" w:hAnsi="楷体" w:eastAsia="楷体_GB2312" w:cs="楷体"/>
          <w:b/>
          <w:sz w:val="40"/>
          <w:szCs w:val="40"/>
          <w:lang w:eastAsia="zh-CN"/>
        </w:rPr>
        <w:t>二十九</w:t>
      </w:r>
      <w:r>
        <w:rPr>
          <w:rFonts w:hint="eastAsia" w:ascii="楷体_GB2312" w:hAnsi="楷体" w:eastAsia="楷体_GB2312" w:cs="楷体"/>
          <w:b/>
          <w:sz w:val="40"/>
          <w:szCs w:val="40"/>
        </w:rPr>
        <w:t>日</w:t>
      </w:r>
    </w:p>
    <w:p w14:paraId="39311AA3">
      <w:pPr>
        <w:spacing w:beforeLines="200" w:after="0" w:line="1000" w:lineRule="exact"/>
        <w:jc w:val="center"/>
        <w:rPr>
          <w:rFonts w:ascii="黑体" w:eastAsia="黑体"/>
          <w:sz w:val="48"/>
          <w:szCs w:val="48"/>
        </w:rPr>
      </w:pPr>
      <w:r>
        <w:rPr>
          <w:sz w:val="48"/>
          <w:szCs w:val="28"/>
        </w:rPr>
        <w:pict>
          <v:group id="_x0000_s1121" o:spid="_x0000_s1121" o:spt="203" style="position:absolute;left:0pt;margin-left:-80.8pt;margin-top:39.95pt;height:46.7pt;width:250.05pt;mso-position-vertical-relative:page;z-index:251675648;mso-width-relative:page;mso-height-relative:page;" coordorigin="4551,52615" coordsize="8546,1398203"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v:rect id="矩形 13" o:spid="_x0000_s1123"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122"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2BAC39FF">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14:paraId="3A0993DF">
                    <w:pPr>
                      <w:jc w:val="center"/>
                    </w:pPr>
                  </w:p>
                </w:txbxContent>
              </v:textbox>
            </v:rect>
            <w10:anchorlock/>
          </v:group>
        </w:pict>
      </w:r>
      <w:r>
        <w:rPr>
          <w:rFonts w:hint="eastAsia" w:ascii="黑体" w:eastAsia="黑体"/>
          <w:sz w:val="48"/>
          <w:szCs w:val="48"/>
        </w:rPr>
        <w:t>目    录</w:t>
      </w:r>
    </w:p>
    <w:p w14:paraId="53C5C100">
      <w:pPr>
        <w:widowControl/>
        <w:spacing w:line="580" w:lineRule="exact"/>
        <w:ind w:firstLine="640" w:firstLineChars="200"/>
        <w:rPr>
          <w:rFonts w:eastAsia="黑体"/>
          <w:sz w:val="32"/>
          <w:szCs w:val="32"/>
        </w:rPr>
      </w:pPr>
    </w:p>
    <w:p w14:paraId="66DBA7CF">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4"/>
          <w:szCs w:val="32"/>
        </w:rPr>
        <w:t xml:space="preserve"> </w:t>
      </w:r>
    </w:p>
    <w:p w14:paraId="1A3B6CBB">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14:paraId="57EFB180">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14:paraId="25D73002">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14:paraId="2280E699">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14:paraId="69D23C68">
      <w:pPr>
        <w:widowControl/>
        <w:spacing w:line="580" w:lineRule="exact"/>
        <w:ind w:left="640" w:firstLine="640" w:firstLineChars="200"/>
        <w:rPr>
          <w:rFonts w:eastAsia="仿宋_GB2312"/>
          <w:sz w:val="32"/>
          <w:szCs w:val="32"/>
        </w:rPr>
      </w:pPr>
      <w:r>
        <w:rPr>
          <w:rFonts w:eastAsia="仿宋_GB2312"/>
          <w:sz w:val="32"/>
          <w:szCs w:val="32"/>
        </w:rPr>
        <w:t>二、收入决算表</w:t>
      </w:r>
    </w:p>
    <w:p w14:paraId="67C7C621">
      <w:pPr>
        <w:widowControl/>
        <w:spacing w:line="580" w:lineRule="exact"/>
        <w:ind w:left="640" w:firstLine="640" w:firstLineChars="200"/>
        <w:rPr>
          <w:rFonts w:eastAsia="仿宋_GB2312"/>
          <w:sz w:val="32"/>
          <w:szCs w:val="32"/>
        </w:rPr>
      </w:pPr>
      <w:r>
        <w:rPr>
          <w:rFonts w:eastAsia="仿宋_GB2312"/>
          <w:sz w:val="32"/>
          <w:szCs w:val="32"/>
        </w:rPr>
        <w:t>三、支出决算表</w:t>
      </w:r>
    </w:p>
    <w:p w14:paraId="49E555DB">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14:paraId="416AA30C">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14:paraId="5AD853F4">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14:paraId="2636764D">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14:paraId="32BDF3ED">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14:paraId="46152942">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14:paraId="41CEA19B">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14:paraId="0C7724A8">
      <w:pPr>
        <w:widowControl/>
        <w:spacing w:line="580" w:lineRule="exact"/>
        <w:ind w:firstLine="640" w:firstLineChars="200"/>
        <w:rPr>
          <w:rFonts w:eastAsia="黑体"/>
          <w:sz w:val="32"/>
          <w:szCs w:val="32"/>
        </w:rPr>
      </w:pPr>
    </w:p>
    <w:p w14:paraId="42730AEC">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九门回族乡</w:t>
      </w:r>
      <w:r>
        <w:rPr>
          <w:rFonts w:eastAsia="黑体"/>
          <w:sz w:val="32"/>
          <w:szCs w:val="32"/>
        </w:rPr>
        <w:t>201</w:t>
      </w:r>
      <w:r>
        <w:rPr>
          <w:rFonts w:hint="eastAsia" w:eastAsia="黑体"/>
          <w:sz w:val="32"/>
          <w:szCs w:val="32"/>
        </w:rPr>
        <w:t>8</w:t>
      </w:r>
      <w:r>
        <w:rPr>
          <w:rFonts w:eastAsia="黑体"/>
          <w:sz w:val="32"/>
          <w:szCs w:val="32"/>
        </w:rPr>
        <w:t>年部门决算情况说明</w:t>
      </w:r>
      <w:r>
        <w:rPr>
          <w:sz w:val="44"/>
        </w:rPr>
        <w:pict>
          <v:group id="_x0000_s1118" o:spid="_x0000_s1118" o:spt="203" style="position:absolute;left:0pt;margin-left:-80.8pt;margin-top:38.95pt;height:46.7pt;width:222.8pt;mso-position-vertical-relative:page;z-index:251674624;mso-width-relative:page;mso-height-relative:page;" coordorigin="4551,52615" coordsize="8546,1398203"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v:rect id="矩形 13" o:spid="_x0000_s1120" o:spt="1" style="position:absolute;left:4551;top:52615;height:1175;width:8546;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9"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14:paraId="0DC566F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14:paraId="1C5EC8B2">
                    <w:pPr>
                      <w:jc w:val="center"/>
                    </w:pPr>
                  </w:p>
                </w:txbxContent>
              </v:textbox>
            </v:rect>
            <w10:anchorlock/>
          </v:group>
        </w:pict>
      </w:r>
    </w:p>
    <w:p w14:paraId="55619D84">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14:paraId="57C356FD">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14:paraId="117B6375">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14:paraId="3D16F378">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14:paraId="1CB0832A">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14:paraId="2E4A270D">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14:paraId="424997C1">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14:paraId="56AE8BF9">
      <w:pPr>
        <w:widowControl/>
        <w:spacing w:line="580" w:lineRule="exact"/>
        <w:ind w:firstLine="640" w:firstLineChars="200"/>
        <w:rPr>
          <w:rFonts w:eastAsia="黑体"/>
          <w:sz w:val="32"/>
          <w:szCs w:val="32"/>
        </w:rPr>
      </w:pPr>
      <w:r>
        <w:rPr>
          <w:rFonts w:eastAsia="黑体"/>
          <w:sz w:val="32"/>
          <w:szCs w:val="32"/>
        </w:rPr>
        <w:t>第四部分  名词解释</w:t>
      </w:r>
    </w:p>
    <w:p w14:paraId="781EBDC7">
      <w:pPr>
        <w:widowControl/>
        <w:spacing w:line="580" w:lineRule="exact"/>
        <w:ind w:firstLine="640" w:firstLineChars="200"/>
        <w:rPr>
          <w:rFonts w:eastAsia="黑体"/>
          <w:sz w:val="32"/>
          <w:szCs w:val="32"/>
        </w:rPr>
      </w:pPr>
    </w:p>
    <w:p w14:paraId="15D57163">
      <w:pPr>
        <w:widowControl/>
        <w:spacing w:line="580" w:lineRule="exact"/>
        <w:ind w:firstLine="640" w:firstLineChars="200"/>
        <w:rPr>
          <w:rFonts w:eastAsia="黑体"/>
          <w:sz w:val="32"/>
          <w:szCs w:val="32"/>
        </w:rPr>
      </w:pPr>
    </w:p>
    <w:p w14:paraId="4CFBA500">
      <w:pPr>
        <w:widowControl/>
        <w:spacing w:line="580" w:lineRule="exact"/>
        <w:ind w:firstLine="640" w:firstLineChars="200"/>
        <w:rPr>
          <w:rFonts w:eastAsia="黑体"/>
          <w:sz w:val="32"/>
          <w:szCs w:val="32"/>
        </w:rPr>
      </w:pPr>
    </w:p>
    <w:p w14:paraId="6F87A5A4">
      <w:pPr>
        <w:widowControl/>
        <w:spacing w:line="580" w:lineRule="exact"/>
        <w:ind w:firstLine="640" w:firstLineChars="200"/>
        <w:rPr>
          <w:rFonts w:eastAsia="黑体"/>
          <w:sz w:val="32"/>
          <w:szCs w:val="32"/>
        </w:rPr>
      </w:pPr>
    </w:p>
    <w:p w14:paraId="55654349">
      <w:r>
        <w:br w:type="page"/>
      </w:r>
    </w:p>
    <w:p w14:paraId="6577F295">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w:pict>
          <v:shape id="_x0000_s1117" o:spid="_x0000_s1117" o:spt="202" type="#_x0000_t202" style="position:absolute;left:0pt;margin-left:-97.3pt;margin-top:259.1pt;height:81.7pt;width:613.65pt;z-index:25167257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14:paraId="719875E9">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14:paraId="33794AD7"/>
    <w:p w14:paraId="62384101"/>
    <w:p w14:paraId="286F051C"/>
    <w:p w14:paraId="5282C69F"/>
    <w:p w14:paraId="53A3FEE0"/>
    <w:p w14:paraId="1DA91FF8"/>
    <w:p w14:paraId="32A1AD78"/>
    <w:p w14:paraId="5D7D20E0"/>
    <w:p w14:paraId="1FEC7A4E"/>
    <w:p w14:paraId="24C74C1E"/>
    <w:p w14:paraId="7AEE026A"/>
    <w:p w14:paraId="70409293"/>
    <w:p w14:paraId="5574328B"/>
    <w:p w14:paraId="682CD322"/>
    <w:p w14:paraId="396F3715"/>
    <w:p w14:paraId="501FAD36">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w:pict>
          <v:group id="_x0000_s1114" o:spid="_x0000_s1114" o:spt="203" style="position:absolute;left:0pt;margin-left:-80.8pt;margin-top:39.5pt;height:46.7pt;width:245.25pt;mso-position-vertical-relative:page;z-index:251662336;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v:rect id="_x0000_s1116" o:spid="_x0000_s1116"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115" o:spid="_x0000_s1115"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52222F9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14:paraId="697530A7">
                    <w:pPr>
                      <w:jc w:val="center"/>
                    </w:pPr>
                  </w:p>
                </w:txbxContent>
              </v:textbox>
            </v:rect>
            <w10:anchorlock/>
          </v:group>
        </w:pict>
      </w:r>
      <w:r>
        <w:rPr>
          <w:rFonts w:hint="eastAsia" w:ascii="黑体" w:eastAsia="黑体" w:cs="黑体" w:hAnsiTheme="minorHAnsi"/>
          <w:b w:val="0"/>
          <w:bCs w:val="0"/>
          <w:kern w:val="0"/>
          <w:sz w:val="32"/>
          <w:szCs w:val="32"/>
        </w:rPr>
        <w:t>一、部门职责</w:t>
      </w:r>
    </w:p>
    <w:tbl>
      <w:tblPr>
        <w:tblStyle w:val="12"/>
        <w:tblW w:w="81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72"/>
        <w:gridCol w:w="4768"/>
      </w:tblGrid>
      <w:tr w14:paraId="70245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3" w:hRule="atLeast"/>
          <w:tblHeader/>
          <w:jc w:val="center"/>
        </w:trPr>
        <w:tc>
          <w:tcPr>
            <w:tcW w:w="3372" w:type="dxa"/>
            <w:noWrap w:val="0"/>
            <w:vAlign w:val="center"/>
          </w:tcPr>
          <w:p w14:paraId="66B4286E">
            <w:pPr>
              <w:jc w:val="center"/>
              <w:rPr>
                <w:rFonts w:ascii="Calibri" w:hAnsi="Calibri" w:eastAsia="宋体" w:cs="Times New Roman"/>
                <w:b/>
                <w:sz w:val="36"/>
                <w:szCs w:val="36"/>
              </w:rPr>
            </w:pPr>
            <w:r>
              <w:rPr>
                <w:rFonts w:hint="eastAsia" w:ascii="Calibri" w:hAnsi="Calibri" w:eastAsia="宋体" w:cs="Times New Roman"/>
                <w:b/>
                <w:sz w:val="32"/>
                <w:szCs w:val="32"/>
              </w:rPr>
              <w:t>职责活动</w:t>
            </w:r>
          </w:p>
        </w:tc>
        <w:tc>
          <w:tcPr>
            <w:tcW w:w="4768" w:type="dxa"/>
            <w:noWrap w:val="0"/>
            <w:vAlign w:val="center"/>
          </w:tcPr>
          <w:p w14:paraId="52AE2DD1">
            <w:pPr>
              <w:jc w:val="center"/>
              <w:rPr>
                <w:rFonts w:ascii="Calibri" w:hAnsi="Calibri" w:eastAsia="宋体" w:cs="Times New Roman"/>
                <w:b/>
                <w:sz w:val="36"/>
                <w:szCs w:val="36"/>
              </w:rPr>
            </w:pPr>
            <w:r>
              <w:rPr>
                <w:rFonts w:hint="eastAsia" w:ascii="Calibri" w:hAnsi="Calibri" w:eastAsia="宋体" w:cs="Times New Roman"/>
                <w:b/>
                <w:sz w:val="32"/>
                <w:szCs w:val="32"/>
              </w:rPr>
              <w:t>内容描述</w:t>
            </w:r>
          </w:p>
        </w:tc>
      </w:tr>
      <w:tr w14:paraId="45BC7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5E4EAFBB">
            <w:pPr>
              <w:jc w:val="center"/>
              <w:rPr>
                <w:rFonts w:ascii="Calibri" w:hAnsi="Calibri" w:eastAsia="宋体" w:cs="Times New Roman"/>
                <w:b/>
                <w:sz w:val="24"/>
                <w:szCs w:val="24"/>
              </w:rPr>
            </w:pPr>
            <w:r>
              <w:rPr>
                <w:rFonts w:hint="eastAsia" w:ascii="Calibri" w:hAnsi="Calibri" w:eastAsia="宋体" w:cs="Times New Roman"/>
                <w:b/>
                <w:sz w:val="24"/>
                <w:szCs w:val="24"/>
              </w:rPr>
              <w:t>政务管理</w:t>
            </w:r>
          </w:p>
        </w:tc>
        <w:tc>
          <w:tcPr>
            <w:tcW w:w="4768" w:type="dxa"/>
            <w:noWrap w:val="0"/>
            <w:vAlign w:val="center"/>
          </w:tcPr>
          <w:p w14:paraId="2992FEC2">
            <w:pPr>
              <w:spacing w:line="300" w:lineRule="exact"/>
              <w:jc w:val="left"/>
              <w:rPr>
                <w:rFonts w:ascii="方正书宋_GBK" w:hAnsi="Calibri" w:eastAsia="方正书宋_GBK" w:cs="Times New Roman"/>
              </w:rPr>
            </w:pPr>
            <w:r>
              <w:rPr>
                <w:rFonts w:hint="eastAsia" w:ascii="方正书宋_GBK" w:hAnsi="Calibri" w:eastAsia="方正书宋_GBK" w:cs="Times New Roman"/>
              </w:rPr>
              <w:t>依法依规履行机关日常管理职责。</w:t>
            </w:r>
          </w:p>
        </w:tc>
      </w:tr>
      <w:tr w14:paraId="5C981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3845D98F">
            <w:pPr>
              <w:jc w:val="center"/>
              <w:rPr>
                <w:rFonts w:ascii="Calibri" w:hAnsi="Calibri" w:eastAsia="宋体" w:cs="Times New Roman"/>
                <w:b/>
                <w:sz w:val="24"/>
                <w:szCs w:val="24"/>
              </w:rPr>
            </w:pPr>
            <w:r>
              <w:rPr>
                <w:rFonts w:hint="eastAsia" w:ascii="Calibri" w:hAnsi="Calibri" w:eastAsia="宋体" w:cs="Times New Roman"/>
                <w:b/>
                <w:sz w:val="24"/>
                <w:szCs w:val="24"/>
              </w:rPr>
              <w:t>综合业务管理</w:t>
            </w:r>
          </w:p>
        </w:tc>
        <w:tc>
          <w:tcPr>
            <w:tcW w:w="4768" w:type="dxa"/>
            <w:noWrap w:val="0"/>
            <w:vAlign w:val="center"/>
          </w:tcPr>
          <w:p w14:paraId="65FDE4E1">
            <w:pPr>
              <w:spacing w:line="300" w:lineRule="exact"/>
              <w:jc w:val="left"/>
              <w:rPr>
                <w:rFonts w:ascii="方正书宋_GBK" w:hAnsi="Calibri" w:eastAsia="方正书宋_GBK" w:cs="Times New Roman"/>
              </w:rPr>
            </w:pPr>
            <w:r>
              <w:rPr>
                <w:rFonts w:hint="eastAsia" w:ascii="方正书宋_GBK" w:hAnsi="Calibri" w:eastAsia="方正书宋_GBK" w:cs="Times New Roman"/>
              </w:rPr>
              <w:t>加强推进党的基层组织建设、纪检监察、党风廉政建设、统一战线、人民武装、精神文明建设、组织人事工作。</w:t>
            </w:r>
          </w:p>
        </w:tc>
      </w:tr>
      <w:tr w14:paraId="55433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3234993F">
            <w:pPr>
              <w:jc w:val="center"/>
              <w:rPr>
                <w:rFonts w:ascii="Calibri" w:hAnsi="Calibri" w:eastAsia="宋体" w:cs="Times New Roman"/>
                <w:b/>
                <w:sz w:val="24"/>
                <w:szCs w:val="24"/>
              </w:rPr>
            </w:pPr>
            <w:r>
              <w:rPr>
                <w:rFonts w:hint="eastAsia" w:ascii="Calibri" w:hAnsi="Calibri" w:eastAsia="宋体" w:cs="Times New Roman"/>
                <w:b/>
                <w:sz w:val="24"/>
                <w:szCs w:val="24"/>
              </w:rPr>
              <w:t>综合事务管理</w:t>
            </w:r>
          </w:p>
        </w:tc>
        <w:tc>
          <w:tcPr>
            <w:tcW w:w="4768" w:type="dxa"/>
            <w:noWrap w:val="0"/>
            <w:vAlign w:val="center"/>
          </w:tcPr>
          <w:p w14:paraId="30CFCED3">
            <w:pPr>
              <w:spacing w:line="300" w:lineRule="exact"/>
              <w:jc w:val="left"/>
              <w:rPr>
                <w:rFonts w:ascii="方正书宋_GBK" w:hAnsi="Calibri" w:eastAsia="方正书宋_GBK" w:cs="Times New Roman"/>
              </w:rPr>
            </w:pPr>
            <w:r>
              <w:rPr>
                <w:rFonts w:hint="eastAsia" w:ascii="方正书宋_GBK" w:hAnsi="Calibri" w:eastAsia="方正书宋_GBK" w:cs="Times New Roman"/>
              </w:rPr>
              <w:t>加强机关事务性管理，开展机关自身能力建设</w:t>
            </w:r>
          </w:p>
        </w:tc>
      </w:tr>
      <w:tr w14:paraId="10A3A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0DF6D96D">
            <w:pPr>
              <w:jc w:val="center"/>
              <w:rPr>
                <w:rFonts w:ascii="Calibri" w:hAnsi="Calibri" w:eastAsia="宋体" w:cs="Times New Roman"/>
                <w:b/>
                <w:sz w:val="24"/>
                <w:szCs w:val="24"/>
              </w:rPr>
            </w:pPr>
            <w:r>
              <w:rPr>
                <w:rFonts w:hint="eastAsia" w:ascii="Calibri" w:hAnsi="Calibri" w:eastAsia="宋体" w:cs="Times New Roman"/>
                <w:b/>
                <w:sz w:val="24"/>
                <w:szCs w:val="24"/>
              </w:rPr>
              <w:t>应急管理</w:t>
            </w:r>
          </w:p>
        </w:tc>
        <w:tc>
          <w:tcPr>
            <w:tcW w:w="4768" w:type="dxa"/>
            <w:noWrap w:val="0"/>
            <w:vAlign w:val="center"/>
          </w:tcPr>
          <w:p w14:paraId="73099356">
            <w:pPr>
              <w:spacing w:line="300" w:lineRule="exact"/>
              <w:jc w:val="left"/>
              <w:rPr>
                <w:rFonts w:ascii="方正书宋_GBK" w:hAnsi="Calibri" w:eastAsia="方正书宋_GBK" w:cs="Times New Roman"/>
              </w:rPr>
            </w:pPr>
            <w:r>
              <w:rPr>
                <w:rFonts w:hint="eastAsia" w:ascii="方正书宋_GBK" w:hAnsi="Calibri" w:eastAsia="方正书宋_GBK" w:cs="Times New Roman"/>
              </w:rPr>
              <w:t>有效保证乡政府日常应急值守和突发事件应对处置工作；完善应急预案体系建设，确保遇突发事件能够有效应对。</w:t>
            </w:r>
          </w:p>
        </w:tc>
      </w:tr>
      <w:tr w14:paraId="267E2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4D8C69FD">
            <w:pPr>
              <w:jc w:val="center"/>
              <w:rPr>
                <w:rFonts w:ascii="Calibri" w:hAnsi="Calibri" w:eastAsia="宋体" w:cs="Times New Roman"/>
                <w:b/>
                <w:sz w:val="24"/>
                <w:szCs w:val="24"/>
              </w:rPr>
            </w:pPr>
            <w:r>
              <w:rPr>
                <w:rFonts w:hint="eastAsia" w:ascii="Calibri" w:hAnsi="Calibri" w:eastAsia="宋体" w:cs="Times New Roman"/>
                <w:b/>
                <w:sz w:val="24"/>
                <w:szCs w:val="24"/>
              </w:rPr>
              <w:t>应急管理</w:t>
            </w:r>
          </w:p>
        </w:tc>
        <w:tc>
          <w:tcPr>
            <w:tcW w:w="4768" w:type="dxa"/>
            <w:noWrap w:val="0"/>
            <w:vAlign w:val="center"/>
          </w:tcPr>
          <w:p w14:paraId="334B2495">
            <w:pPr>
              <w:spacing w:line="300" w:lineRule="exact"/>
              <w:jc w:val="left"/>
              <w:rPr>
                <w:rFonts w:ascii="方正书宋_GBK" w:hAnsi="Calibri" w:eastAsia="方正书宋_GBK" w:cs="Times New Roman"/>
              </w:rPr>
            </w:pPr>
            <w:r>
              <w:rPr>
                <w:rFonts w:hint="eastAsia" w:ascii="方正书宋_GBK" w:hAnsi="Calibri" w:eastAsia="方正书宋_GBK" w:cs="Times New Roman"/>
              </w:rPr>
              <w:t>做好各类突发事件得到及时妥善处置</w:t>
            </w:r>
          </w:p>
        </w:tc>
      </w:tr>
      <w:tr w14:paraId="7E7F7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0DC28E54">
            <w:pPr>
              <w:jc w:val="center"/>
              <w:rPr>
                <w:rFonts w:ascii="Calibri" w:hAnsi="Calibri" w:eastAsia="宋体" w:cs="Times New Roman"/>
                <w:b/>
                <w:sz w:val="24"/>
                <w:szCs w:val="24"/>
              </w:rPr>
            </w:pPr>
            <w:r>
              <w:rPr>
                <w:rFonts w:hint="eastAsia" w:ascii="Calibri" w:hAnsi="Calibri" w:eastAsia="宋体" w:cs="Times New Roman"/>
                <w:b/>
                <w:sz w:val="24"/>
                <w:szCs w:val="24"/>
              </w:rPr>
              <w:t>维护社会稳定和国家安全</w:t>
            </w:r>
          </w:p>
        </w:tc>
        <w:tc>
          <w:tcPr>
            <w:tcW w:w="4768" w:type="dxa"/>
            <w:noWrap w:val="0"/>
            <w:vAlign w:val="center"/>
          </w:tcPr>
          <w:p w14:paraId="2C9911BD">
            <w:pPr>
              <w:spacing w:line="300" w:lineRule="exact"/>
              <w:jc w:val="left"/>
              <w:rPr>
                <w:rFonts w:ascii="方正书宋_GBK" w:hAnsi="Calibri" w:eastAsia="方正书宋_GBK" w:cs="Times New Roman"/>
              </w:rPr>
            </w:pPr>
            <w:r>
              <w:rPr>
                <w:rFonts w:hint="eastAsia" w:ascii="方正书宋_GBK" w:hAnsi="Calibri" w:eastAsia="方正书宋_GBK" w:cs="Times New Roman"/>
              </w:rPr>
              <w:t>保证乡政府每日有日接待上访人，限时间完成信访事件的跟进</w:t>
            </w:r>
          </w:p>
        </w:tc>
      </w:tr>
      <w:tr w14:paraId="4388C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2303D9B1">
            <w:pPr>
              <w:jc w:val="center"/>
              <w:rPr>
                <w:rFonts w:ascii="Calibri" w:hAnsi="Calibri" w:eastAsia="宋体" w:cs="Times New Roman"/>
                <w:b/>
                <w:sz w:val="24"/>
                <w:szCs w:val="24"/>
              </w:rPr>
            </w:pPr>
            <w:r>
              <w:rPr>
                <w:rFonts w:hint="eastAsia" w:ascii="Calibri" w:hAnsi="Calibri" w:eastAsia="宋体" w:cs="Times New Roman"/>
                <w:b/>
                <w:sz w:val="24"/>
                <w:szCs w:val="24"/>
              </w:rPr>
              <w:t>信访接待</w:t>
            </w:r>
          </w:p>
        </w:tc>
        <w:tc>
          <w:tcPr>
            <w:tcW w:w="4768" w:type="dxa"/>
            <w:noWrap w:val="0"/>
            <w:vAlign w:val="center"/>
          </w:tcPr>
          <w:p w14:paraId="0173EE50">
            <w:pPr>
              <w:spacing w:line="300" w:lineRule="exact"/>
              <w:jc w:val="left"/>
              <w:rPr>
                <w:rFonts w:ascii="方正书宋_GBK" w:hAnsi="Calibri" w:eastAsia="方正书宋_GBK" w:cs="Times New Roman"/>
              </w:rPr>
            </w:pPr>
            <w:r>
              <w:rPr>
                <w:rFonts w:hint="eastAsia" w:ascii="方正书宋_GBK" w:hAnsi="Calibri" w:eastAsia="方正书宋_GBK" w:cs="Times New Roman"/>
              </w:rPr>
              <w:t>保证信访人到乡反</w:t>
            </w:r>
            <w:r>
              <w:rPr>
                <w:rFonts w:hint="eastAsia" w:ascii="方正书宋_GBK" w:hAnsi="Calibri" w:eastAsia="方正书宋_GBK" w:cs="Times New Roman"/>
                <w:lang w:eastAsia="zh-CN"/>
              </w:rPr>
              <w:t>映</w:t>
            </w:r>
            <w:r>
              <w:rPr>
                <w:rFonts w:hint="eastAsia" w:ascii="方正书宋_GBK" w:hAnsi="Calibri" w:eastAsia="方正书宋_GBK" w:cs="Times New Roman"/>
              </w:rPr>
              <w:t>问题时有专人接待，并能够负责信访事件的跟踪保证信访事件的解决</w:t>
            </w:r>
          </w:p>
        </w:tc>
      </w:tr>
      <w:tr w14:paraId="3381A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60268871">
            <w:pPr>
              <w:jc w:val="center"/>
              <w:rPr>
                <w:rFonts w:ascii="Calibri" w:hAnsi="Calibri" w:eastAsia="宋体" w:cs="Times New Roman"/>
                <w:b/>
                <w:sz w:val="24"/>
                <w:szCs w:val="24"/>
              </w:rPr>
            </w:pPr>
            <w:r>
              <w:rPr>
                <w:rFonts w:hint="eastAsia" w:ascii="Calibri" w:hAnsi="Calibri" w:eastAsia="宋体" w:cs="Times New Roman"/>
                <w:b/>
                <w:sz w:val="24"/>
                <w:szCs w:val="24"/>
              </w:rPr>
              <w:t>协调维护社会稳定和国家安全</w:t>
            </w:r>
          </w:p>
        </w:tc>
        <w:tc>
          <w:tcPr>
            <w:tcW w:w="4768" w:type="dxa"/>
            <w:noWrap w:val="0"/>
            <w:vAlign w:val="center"/>
          </w:tcPr>
          <w:p w14:paraId="2AD1475B">
            <w:pPr>
              <w:spacing w:line="300" w:lineRule="exact"/>
              <w:jc w:val="left"/>
              <w:rPr>
                <w:rFonts w:ascii="方正书宋_GBK" w:hAnsi="Calibri" w:eastAsia="方正书宋_GBK" w:cs="Times New Roman"/>
              </w:rPr>
            </w:pPr>
            <w:r>
              <w:rPr>
                <w:rFonts w:hint="eastAsia" w:ascii="方正书宋_GBK" w:hAnsi="Calibri" w:eastAsia="方正书宋_GBK" w:cs="Times New Roman"/>
              </w:rPr>
              <w:t>指导、协调和督导各级各部门排查、化解影响社会稳定的重大不稳定隐患、群体性事件和突发事件及影响国家安全的事件。</w:t>
            </w:r>
          </w:p>
        </w:tc>
      </w:tr>
      <w:tr w14:paraId="6566C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30583F37">
            <w:pPr>
              <w:jc w:val="center"/>
              <w:rPr>
                <w:rFonts w:ascii="Calibri" w:hAnsi="Calibri" w:eastAsia="宋体" w:cs="Times New Roman"/>
                <w:b/>
                <w:sz w:val="24"/>
                <w:szCs w:val="24"/>
              </w:rPr>
            </w:pPr>
            <w:r>
              <w:rPr>
                <w:rFonts w:hint="eastAsia" w:ascii="Calibri" w:hAnsi="Calibri" w:eastAsia="宋体" w:cs="Times New Roman"/>
                <w:b/>
                <w:sz w:val="24"/>
                <w:szCs w:val="24"/>
              </w:rPr>
              <w:t>推动经济发展，完善基础设施，惠及民生。</w:t>
            </w:r>
          </w:p>
        </w:tc>
        <w:tc>
          <w:tcPr>
            <w:tcW w:w="4768" w:type="dxa"/>
            <w:noWrap w:val="0"/>
            <w:vAlign w:val="center"/>
          </w:tcPr>
          <w:p w14:paraId="31230712">
            <w:pPr>
              <w:spacing w:line="300" w:lineRule="exact"/>
              <w:jc w:val="left"/>
              <w:rPr>
                <w:rFonts w:ascii="方正书宋_GBK" w:hAnsi="Calibri" w:eastAsia="方正书宋_GBK" w:cs="Times New Roman"/>
              </w:rPr>
            </w:pPr>
            <w:r>
              <w:rPr>
                <w:rFonts w:hint="eastAsia" w:ascii="方正书宋_GBK" w:hAnsi="Calibri" w:eastAsia="方正书宋_GBK" w:cs="Times New Roman"/>
              </w:rPr>
              <w:t>承担经济发展和民生改善</w:t>
            </w:r>
          </w:p>
        </w:tc>
      </w:tr>
      <w:tr w14:paraId="647B7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41D99FDE">
            <w:pPr>
              <w:jc w:val="center"/>
              <w:rPr>
                <w:rFonts w:ascii="Calibri" w:hAnsi="Calibri" w:eastAsia="宋体" w:cs="Times New Roman"/>
                <w:b/>
                <w:sz w:val="24"/>
                <w:szCs w:val="24"/>
              </w:rPr>
            </w:pPr>
            <w:r>
              <w:rPr>
                <w:rFonts w:hint="eastAsia" w:ascii="Calibri" w:hAnsi="Calibri" w:eastAsia="宋体" w:cs="Times New Roman"/>
                <w:b/>
                <w:sz w:val="24"/>
                <w:szCs w:val="24"/>
              </w:rPr>
              <w:t>经济发展</w:t>
            </w:r>
          </w:p>
        </w:tc>
        <w:tc>
          <w:tcPr>
            <w:tcW w:w="4768" w:type="dxa"/>
            <w:noWrap w:val="0"/>
            <w:vAlign w:val="center"/>
          </w:tcPr>
          <w:p w14:paraId="2AB727C9">
            <w:pPr>
              <w:spacing w:line="300" w:lineRule="exact"/>
              <w:jc w:val="left"/>
              <w:rPr>
                <w:rFonts w:ascii="方正书宋_GBK" w:hAnsi="Calibri" w:eastAsia="方正书宋_GBK" w:cs="Times New Roman"/>
              </w:rPr>
            </w:pPr>
            <w:r>
              <w:rPr>
                <w:rFonts w:hint="eastAsia" w:ascii="方正书宋_GBK" w:hAnsi="Calibri" w:eastAsia="方正书宋_GBK" w:cs="Times New Roman"/>
              </w:rPr>
              <w:t>制定经济发展规划，促进民营企业发展，招商引资，发展支柱产业。</w:t>
            </w:r>
          </w:p>
        </w:tc>
      </w:tr>
      <w:tr w14:paraId="1C5EA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4DEC7F5A">
            <w:pPr>
              <w:jc w:val="center"/>
              <w:rPr>
                <w:rFonts w:ascii="Calibri" w:hAnsi="Calibri" w:eastAsia="宋体" w:cs="Times New Roman"/>
                <w:b/>
                <w:sz w:val="24"/>
                <w:szCs w:val="24"/>
              </w:rPr>
            </w:pPr>
            <w:r>
              <w:rPr>
                <w:rFonts w:hint="eastAsia" w:ascii="Calibri" w:hAnsi="Calibri" w:eastAsia="宋体" w:cs="Times New Roman"/>
                <w:b/>
                <w:sz w:val="24"/>
                <w:szCs w:val="24"/>
              </w:rPr>
              <w:t>加强土地使用管理</w:t>
            </w:r>
          </w:p>
        </w:tc>
        <w:tc>
          <w:tcPr>
            <w:tcW w:w="4768" w:type="dxa"/>
            <w:noWrap w:val="0"/>
            <w:vAlign w:val="center"/>
          </w:tcPr>
          <w:p w14:paraId="05CB50C4">
            <w:pPr>
              <w:spacing w:line="300" w:lineRule="exact"/>
              <w:jc w:val="left"/>
              <w:rPr>
                <w:rFonts w:ascii="方正书宋_GBK" w:hAnsi="Calibri" w:eastAsia="方正书宋_GBK" w:cs="Times New Roman"/>
              </w:rPr>
            </w:pPr>
            <w:r>
              <w:rPr>
                <w:rFonts w:hint="eastAsia" w:ascii="方正书宋_GBK" w:hAnsi="Calibri" w:eastAsia="方正书宋_GBK" w:cs="Times New Roman"/>
              </w:rPr>
              <w:t>管理土地使用情况管理汇报</w:t>
            </w:r>
          </w:p>
        </w:tc>
      </w:tr>
      <w:tr w14:paraId="23A6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0D7D8586">
            <w:pPr>
              <w:jc w:val="center"/>
              <w:rPr>
                <w:rFonts w:ascii="Calibri" w:hAnsi="Calibri" w:eastAsia="宋体" w:cs="Times New Roman"/>
                <w:b/>
                <w:sz w:val="24"/>
                <w:szCs w:val="24"/>
              </w:rPr>
            </w:pPr>
            <w:r>
              <w:rPr>
                <w:rFonts w:hint="eastAsia" w:ascii="Calibri" w:hAnsi="Calibri" w:eastAsia="宋体" w:cs="Times New Roman"/>
                <w:b/>
                <w:sz w:val="24"/>
                <w:szCs w:val="24"/>
              </w:rPr>
              <w:t>土地管理</w:t>
            </w:r>
          </w:p>
        </w:tc>
        <w:tc>
          <w:tcPr>
            <w:tcW w:w="4768" w:type="dxa"/>
            <w:noWrap w:val="0"/>
            <w:vAlign w:val="center"/>
          </w:tcPr>
          <w:p w14:paraId="3650CB51">
            <w:pPr>
              <w:spacing w:line="300" w:lineRule="exact"/>
              <w:jc w:val="left"/>
              <w:rPr>
                <w:rFonts w:ascii="方正书宋_GBK" w:hAnsi="Calibri" w:eastAsia="方正书宋_GBK" w:cs="Times New Roman"/>
              </w:rPr>
            </w:pPr>
            <w:r>
              <w:rPr>
                <w:rFonts w:hint="eastAsia" w:ascii="方正书宋_GBK" w:hAnsi="Calibri" w:eastAsia="方正书宋_GBK" w:cs="Times New Roman"/>
              </w:rPr>
              <w:t>加强规范土地使用</w:t>
            </w:r>
          </w:p>
        </w:tc>
      </w:tr>
      <w:tr w14:paraId="23929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230149B6">
            <w:pPr>
              <w:jc w:val="center"/>
              <w:rPr>
                <w:rFonts w:ascii="Calibri" w:hAnsi="Calibri" w:eastAsia="宋体" w:cs="Times New Roman"/>
                <w:b/>
                <w:sz w:val="24"/>
                <w:szCs w:val="24"/>
              </w:rPr>
            </w:pPr>
            <w:r>
              <w:rPr>
                <w:rFonts w:hint="eastAsia" w:ascii="Calibri" w:hAnsi="Calibri" w:eastAsia="宋体" w:cs="Times New Roman"/>
                <w:b/>
                <w:sz w:val="24"/>
                <w:szCs w:val="24"/>
              </w:rPr>
              <w:t>环境保护与治理</w:t>
            </w:r>
          </w:p>
        </w:tc>
        <w:tc>
          <w:tcPr>
            <w:tcW w:w="4768" w:type="dxa"/>
            <w:noWrap w:val="0"/>
            <w:vAlign w:val="center"/>
          </w:tcPr>
          <w:p w14:paraId="2BDFFADF">
            <w:pPr>
              <w:spacing w:line="300" w:lineRule="exact"/>
              <w:jc w:val="left"/>
              <w:rPr>
                <w:rFonts w:ascii="方正书宋_GBK" w:hAnsi="Calibri" w:eastAsia="方正书宋_GBK" w:cs="Times New Roman"/>
              </w:rPr>
            </w:pPr>
            <w:r>
              <w:rPr>
                <w:rFonts w:hint="eastAsia" w:ascii="方正书宋_GBK" w:hAnsi="Calibri" w:eastAsia="方正书宋_GBK" w:cs="Times New Roman"/>
              </w:rPr>
              <w:t>承担环境保护和治理环境污染</w:t>
            </w:r>
          </w:p>
        </w:tc>
      </w:tr>
      <w:tr w14:paraId="14328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6C51AA94">
            <w:pPr>
              <w:jc w:val="center"/>
              <w:rPr>
                <w:rFonts w:ascii="Calibri" w:hAnsi="Calibri" w:eastAsia="宋体" w:cs="Times New Roman"/>
                <w:b/>
                <w:sz w:val="24"/>
                <w:szCs w:val="24"/>
              </w:rPr>
            </w:pPr>
            <w:r>
              <w:rPr>
                <w:rFonts w:hint="eastAsia" w:ascii="Calibri" w:hAnsi="Calibri" w:eastAsia="宋体" w:cs="Times New Roman"/>
                <w:b/>
                <w:sz w:val="24"/>
                <w:szCs w:val="24"/>
              </w:rPr>
              <w:t>环境管理</w:t>
            </w:r>
          </w:p>
        </w:tc>
        <w:tc>
          <w:tcPr>
            <w:tcW w:w="4768" w:type="dxa"/>
            <w:noWrap w:val="0"/>
            <w:vAlign w:val="center"/>
          </w:tcPr>
          <w:p w14:paraId="3785169A">
            <w:pPr>
              <w:spacing w:line="300" w:lineRule="exact"/>
              <w:jc w:val="left"/>
              <w:rPr>
                <w:rFonts w:ascii="方正书宋_GBK" w:hAnsi="Calibri" w:eastAsia="方正书宋_GBK" w:cs="Times New Roman"/>
              </w:rPr>
            </w:pPr>
            <w:r>
              <w:rPr>
                <w:rFonts w:hint="eastAsia" w:ascii="方正书宋_GBK" w:hAnsi="Calibri" w:eastAsia="方正书宋_GBK" w:cs="Times New Roman"/>
              </w:rPr>
              <w:t>强化环境管理</w:t>
            </w:r>
          </w:p>
        </w:tc>
      </w:tr>
      <w:tr w14:paraId="37DFC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642A5C77">
            <w:pPr>
              <w:jc w:val="center"/>
              <w:rPr>
                <w:rFonts w:ascii="Calibri" w:hAnsi="Calibri" w:eastAsia="宋体" w:cs="Times New Roman"/>
                <w:b/>
                <w:sz w:val="24"/>
                <w:szCs w:val="24"/>
              </w:rPr>
            </w:pPr>
            <w:r>
              <w:rPr>
                <w:rFonts w:hint="eastAsia" w:ascii="Calibri" w:hAnsi="Calibri" w:eastAsia="宋体" w:cs="Times New Roman"/>
                <w:b/>
                <w:sz w:val="24"/>
                <w:szCs w:val="24"/>
              </w:rPr>
              <w:t>食品安全管理</w:t>
            </w:r>
          </w:p>
        </w:tc>
        <w:tc>
          <w:tcPr>
            <w:tcW w:w="4768" w:type="dxa"/>
            <w:noWrap w:val="0"/>
            <w:vAlign w:val="center"/>
          </w:tcPr>
          <w:p w14:paraId="355D92AC">
            <w:pPr>
              <w:spacing w:line="300" w:lineRule="exact"/>
              <w:jc w:val="left"/>
              <w:rPr>
                <w:rFonts w:ascii="方正书宋_GBK" w:hAnsi="Calibri" w:eastAsia="方正书宋_GBK" w:cs="Times New Roman"/>
              </w:rPr>
            </w:pPr>
            <w:r>
              <w:rPr>
                <w:rFonts w:hint="eastAsia" w:ascii="方正书宋_GBK" w:hAnsi="Calibri" w:eastAsia="方正书宋_GBK" w:cs="Times New Roman"/>
              </w:rPr>
              <w:t>依法进行食品安全管理</w:t>
            </w:r>
          </w:p>
        </w:tc>
      </w:tr>
      <w:tr w14:paraId="513D2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7B9C9465">
            <w:pPr>
              <w:jc w:val="center"/>
              <w:rPr>
                <w:rFonts w:ascii="Calibri" w:hAnsi="Calibri" w:eastAsia="宋体" w:cs="Times New Roman"/>
                <w:b/>
                <w:sz w:val="24"/>
                <w:szCs w:val="24"/>
              </w:rPr>
            </w:pPr>
            <w:r>
              <w:rPr>
                <w:rFonts w:hint="eastAsia" w:ascii="Calibri" w:hAnsi="Calibri" w:eastAsia="宋体" w:cs="Times New Roman"/>
                <w:b/>
                <w:sz w:val="24"/>
                <w:szCs w:val="24"/>
              </w:rPr>
              <w:t>食品安全</w:t>
            </w:r>
          </w:p>
        </w:tc>
        <w:tc>
          <w:tcPr>
            <w:tcW w:w="4768" w:type="dxa"/>
            <w:noWrap w:val="0"/>
            <w:vAlign w:val="center"/>
          </w:tcPr>
          <w:p w14:paraId="1CEAAAA9">
            <w:pPr>
              <w:spacing w:line="300" w:lineRule="exact"/>
              <w:jc w:val="left"/>
              <w:rPr>
                <w:rFonts w:ascii="方正书宋_GBK" w:hAnsi="Calibri" w:eastAsia="方正书宋_GBK" w:cs="Times New Roman"/>
              </w:rPr>
            </w:pPr>
            <w:r>
              <w:rPr>
                <w:rFonts w:hint="eastAsia" w:ascii="方正书宋_GBK" w:hAnsi="Calibri" w:eastAsia="方正书宋_GBK" w:cs="Times New Roman"/>
              </w:rPr>
              <w:t>强化食品安全管理</w:t>
            </w:r>
          </w:p>
        </w:tc>
      </w:tr>
      <w:tr w14:paraId="46398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2053F041">
            <w:pPr>
              <w:jc w:val="center"/>
              <w:rPr>
                <w:rFonts w:ascii="Calibri" w:hAnsi="Calibri" w:eastAsia="宋体" w:cs="Times New Roman"/>
                <w:b/>
                <w:sz w:val="24"/>
                <w:szCs w:val="24"/>
              </w:rPr>
            </w:pPr>
            <w:r>
              <w:rPr>
                <w:rFonts w:hint="eastAsia" w:ascii="Calibri" w:hAnsi="Calibri" w:eastAsia="宋体" w:cs="Times New Roman"/>
                <w:b/>
                <w:sz w:val="24"/>
                <w:szCs w:val="24"/>
              </w:rPr>
              <w:t>推动经济发展，完善基础设施，惠及民生。</w:t>
            </w:r>
          </w:p>
        </w:tc>
        <w:tc>
          <w:tcPr>
            <w:tcW w:w="4768" w:type="dxa"/>
            <w:noWrap w:val="0"/>
            <w:vAlign w:val="center"/>
          </w:tcPr>
          <w:p w14:paraId="4433E31C">
            <w:pPr>
              <w:spacing w:line="300" w:lineRule="exact"/>
              <w:jc w:val="left"/>
              <w:rPr>
                <w:rFonts w:ascii="方正书宋_GBK" w:hAnsi="Calibri" w:eastAsia="方正书宋_GBK" w:cs="Times New Roman"/>
              </w:rPr>
            </w:pPr>
            <w:r>
              <w:rPr>
                <w:rFonts w:hint="eastAsia" w:ascii="方正书宋_GBK" w:hAnsi="Calibri" w:eastAsia="方正书宋_GBK" w:cs="Times New Roman"/>
              </w:rPr>
              <w:t>承担经济发展和民生改善</w:t>
            </w:r>
          </w:p>
        </w:tc>
      </w:tr>
      <w:tr w14:paraId="21031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630162CD">
            <w:pPr>
              <w:jc w:val="center"/>
              <w:rPr>
                <w:rFonts w:ascii="Calibri" w:hAnsi="Calibri" w:eastAsia="宋体" w:cs="Times New Roman"/>
                <w:b/>
                <w:sz w:val="24"/>
                <w:szCs w:val="24"/>
              </w:rPr>
            </w:pPr>
            <w:r>
              <w:rPr>
                <w:rFonts w:hint="eastAsia" w:ascii="Calibri" w:hAnsi="Calibri" w:eastAsia="宋体" w:cs="Times New Roman"/>
                <w:b/>
                <w:sz w:val="24"/>
                <w:szCs w:val="24"/>
              </w:rPr>
              <w:t>民生改善</w:t>
            </w:r>
          </w:p>
        </w:tc>
        <w:tc>
          <w:tcPr>
            <w:tcW w:w="4768" w:type="dxa"/>
            <w:noWrap w:val="0"/>
            <w:vAlign w:val="center"/>
          </w:tcPr>
          <w:p w14:paraId="53073E34">
            <w:pPr>
              <w:spacing w:line="300" w:lineRule="exact"/>
              <w:jc w:val="left"/>
              <w:rPr>
                <w:rFonts w:ascii="方正书宋_GBK" w:hAnsi="Calibri" w:eastAsia="方正书宋_GBK" w:cs="Times New Roman"/>
              </w:rPr>
            </w:pPr>
            <w:r>
              <w:rPr>
                <w:rFonts w:hint="eastAsia" w:ascii="方正书宋_GBK" w:hAnsi="Calibri" w:eastAsia="方正书宋_GBK" w:cs="Times New Roman"/>
              </w:rPr>
              <w:t>加强基础设施建设，落实强农惠农措施，搞好技术推广应用。</w:t>
            </w:r>
          </w:p>
        </w:tc>
      </w:tr>
      <w:tr w14:paraId="5D39D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7D3B383B">
            <w:pPr>
              <w:jc w:val="center"/>
              <w:rPr>
                <w:rFonts w:ascii="Calibri" w:hAnsi="Calibri" w:eastAsia="宋体" w:cs="Times New Roman"/>
                <w:b/>
                <w:sz w:val="24"/>
                <w:szCs w:val="24"/>
              </w:rPr>
            </w:pPr>
            <w:r>
              <w:rPr>
                <w:rFonts w:hint="eastAsia" w:ascii="Calibri" w:hAnsi="Calibri" w:eastAsia="宋体" w:cs="Times New Roman"/>
                <w:b/>
                <w:sz w:val="24"/>
                <w:szCs w:val="24"/>
              </w:rPr>
              <w:t>社会救助政策及管理</w:t>
            </w:r>
          </w:p>
        </w:tc>
        <w:tc>
          <w:tcPr>
            <w:tcW w:w="4768" w:type="dxa"/>
            <w:noWrap w:val="0"/>
            <w:vAlign w:val="center"/>
          </w:tcPr>
          <w:p w14:paraId="182FD7B7">
            <w:pPr>
              <w:spacing w:line="300" w:lineRule="exact"/>
              <w:jc w:val="left"/>
              <w:rPr>
                <w:rFonts w:ascii="方正书宋_GBK" w:hAnsi="Calibri" w:eastAsia="方正书宋_GBK" w:cs="Times New Roman"/>
              </w:rPr>
            </w:pPr>
            <w:r>
              <w:rPr>
                <w:rFonts w:hint="eastAsia" w:ascii="方正书宋_GBK" w:hAnsi="Calibri" w:eastAsia="方正书宋_GBK" w:cs="Times New Roman"/>
              </w:rPr>
              <w:t>承担社会救助体系建设，负责农村居民最低生活保障、五保供养、医疗救助。</w:t>
            </w:r>
          </w:p>
        </w:tc>
      </w:tr>
      <w:tr w14:paraId="52299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272929AD">
            <w:pPr>
              <w:jc w:val="center"/>
              <w:rPr>
                <w:rFonts w:ascii="Calibri" w:hAnsi="Calibri" w:eastAsia="宋体" w:cs="Times New Roman"/>
                <w:b/>
                <w:sz w:val="24"/>
                <w:szCs w:val="24"/>
              </w:rPr>
            </w:pPr>
            <w:r>
              <w:rPr>
                <w:rFonts w:hint="eastAsia" w:ascii="Calibri" w:hAnsi="Calibri" w:eastAsia="宋体" w:cs="Times New Roman"/>
                <w:b/>
                <w:sz w:val="24"/>
                <w:szCs w:val="24"/>
              </w:rPr>
              <w:t>农村居民最低生活保障</w:t>
            </w:r>
          </w:p>
        </w:tc>
        <w:tc>
          <w:tcPr>
            <w:tcW w:w="4768" w:type="dxa"/>
            <w:noWrap w:val="0"/>
            <w:vAlign w:val="center"/>
          </w:tcPr>
          <w:p w14:paraId="07D3A2D0">
            <w:pPr>
              <w:spacing w:line="300" w:lineRule="exact"/>
              <w:jc w:val="left"/>
              <w:rPr>
                <w:rFonts w:ascii="方正书宋_GBK" w:hAnsi="Calibri" w:eastAsia="方正书宋_GBK" w:cs="Times New Roman"/>
              </w:rPr>
            </w:pPr>
            <w:r>
              <w:rPr>
                <w:rFonts w:hint="eastAsia" w:ascii="方正书宋_GBK" w:hAnsi="Calibri" w:eastAsia="方正书宋_GBK" w:cs="Times New Roman"/>
              </w:rPr>
              <w:t>负责符合条件的农村居民最低生活保障工作</w:t>
            </w:r>
          </w:p>
        </w:tc>
      </w:tr>
      <w:tr w14:paraId="222B3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9" w:hRule="atLeast"/>
          <w:jc w:val="center"/>
        </w:trPr>
        <w:tc>
          <w:tcPr>
            <w:tcW w:w="3372" w:type="dxa"/>
            <w:noWrap w:val="0"/>
            <w:vAlign w:val="center"/>
          </w:tcPr>
          <w:p w14:paraId="5295A7DA">
            <w:pPr>
              <w:jc w:val="center"/>
              <w:rPr>
                <w:rFonts w:ascii="Calibri" w:hAnsi="Calibri" w:eastAsia="宋体" w:cs="Times New Roman"/>
                <w:b/>
                <w:sz w:val="24"/>
                <w:szCs w:val="24"/>
              </w:rPr>
            </w:pPr>
            <w:r>
              <w:rPr>
                <w:rFonts w:hint="eastAsia" w:ascii="Calibri" w:hAnsi="Calibri" w:eastAsia="宋体" w:cs="Times New Roman"/>
                <w:b/>
                <w:sz w:val="24"/>
                <w:szCs w:val="24"/>
              </w:rPr>
              <w:t>计划生育奖励扶持政策</w:t>
            </w:r>
          </w:p>
        </w:tc>
        <w:tc>
          <w:tcPr>
            <w:tcW w:w="4768" w:type="dxa"/>
            <w:noWrap w:val="0"/>
            <w:vAlign w:val="center"/>
          </w:tcPr>
          <w:p w14:paraId="0A4969F5">
            <w:pPr>
              <w:spacing w:line="300" w:lineRule="exact"/>
              <w:jc w:val="left"/>
              <w:rPr>
                <w:rFonts w:ascii="方正书宋_GBK" w:hAnsi="Calibri" w:eastAsia="方正书宋_GBK" w:cs="Times New Roman"/>
              </w:rPr>
            </w:pPr>
            <w:r>
              <w:rPr>
                <w:rFonts w:hint="eastAsia" w:ascii="方正书宋_GBK" w:hAnsi="Calibri" w:eastAsia="方正书宋_GBK" w:cs="Times New Roman"/>
              </w:rPr>
              <w:t>采取奖励、扶助、社会保障等机制，引导家庭和个人打取计划生育措施，提高计划生育家庭发展能力。</w:t>
            </w:r>
          </w:p>
        </w:tc>
      </w:tr>
      <w:tr w14:paraId="08117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9" w:hRule="atLeast"/>
          <w:jc w:val="center"/>
        </w:trPr>
        <w:tc>
          <w:tcPr>
            <w:tcW w:w="3372" w:type="dxa"/>
            <w:noWrap w:val="0"/>
            <w:vAlign w:val="center"/>
          </w:tcPr>
          <w:p w14:paraId="2A8414DB">
            <w:pPr>
              <w:jc w:val="center"/>
              <w:rPr>
                <w:rFonts w:ascii="Calibri" w:hAnsi="Calibri" w:eastAsia="宋体" w:cs="Times New Roman"/>
                <w:b/>
                <w:sz w:val="24"/>
                <w:szCs w:val="24"/>
              </w:rPr>
            </w:pPr>
            <w:r>
              <w:rPr>
                <w:rFonts w:hint="eastAsia" w:ascii="Calibri" w:hAnsi="Calibri" w:eastAsia="宋体" w:cs="Times New Roman"/>
                <w:b/>
                <w:sz w:val="24"/>
                <w:szCs w:val="24"/>
              </w:rPr>
              <w:t>出生人口性别比治理</w:t>
            </w:r>
          </w:p>
        </w:tc>
        <w:tc>
          <w:tcPr>
            <w:tcW w:w="4768" w:type="dxa"/>
            <w:noWrap w:val="0"/>
            <w:vAlign w:val="center"/>
          </w:tcPr>
          <w:p w14:paraId="244DCD21">
            <w:pPr>
              <w:spacing w:line="300" w:lineRule="exact"/>
              <w:jc w:val="left"/>
              <w:rPr>
                <w:rFonts w:ascii="方正书宋_GBK" w:hAnsi="Calibri" w:eastAsia="方正书宋_GBK" w:cs="Times New Roman"/>
              </w:rPr>
            </w:pPr>
            <w:r>
              <w:rPr>
                <w:rFonts w:hint="eastAsia" w:ascii="方正书宋_GBK" w:hAnsi="Calibri" w:eastAsia="方正书宋_GBK" w:cs="Times New Roman"/>
              </w:rPr>
              <w:t>做好出生人口性别比治理工作的组织领导、宣传倡导、利益导向、全程服务、严查</w:t>
            </w:r>
            <w:r>
              <w:rPr>
                <w:rFonts w:hint="cs" w:ascii="方正书宋_GBK" w:hAnsi="Calibri" w:eastAsia="方正书宋_GBK" w:cs="Times New Roman"/>
                <w:cs/>
              </w:rPr>
              <w:t>“</w:t>
            </w:r>
            <w:r>
              <w:rPr>
                <w:rFonts w:hint="eastAsia" w:ascii="方正书宋_GBK" w:hAnsi="Calibri" w:eastAsia="方正书宋_GBK" w:cs="Times New Roman"/>
              </w:rPr>
              <w:t>两非</w:t>
            </w:r>
            <w:r>
              <w:rPr>
                <w:rFonts w:hint="cs" w:ascii="方正书宋_GBK" w:hAnsi="Calibri" w:eastAsia="方正书宋_GBK" w:cs="Times New Roman"/>
                <w:cs/>
              </w:rPr>
              <w:t>”</w:t>
            </w:r>
            <w:r>
              <w:rPr>
                <w:rFonts w:hint="eastAsia" w:ascii="方正书宋_GBK" w:hAnsi="Calibri" w:eastAsia="方正书宋_GBK" w:cs="Times New Roman"/>
              </w:rPr>
              <w:t>、统计监测、考核评估等重点工作。</w:t>
            </w:r>
          </w:p>
        </w:tc>
      </w:tr>
      <w:tr w14:paraId="265AD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298355BB">
            <w:pPr>
              <w:jc w:val="center"/>
              <w:rPr>
                <w:rFonts w:ascii="Calibri" w:hAnsi="Calibri" w:eastAsia="宋体" w:cs="Times New Roman"/>
                <w:b/>
                <w:sz w:val="24"/>
                <w:szCs w:val="24"/>
              </w:rPr>
            </w:pPr>
            <w:r>
              <w:rPr>
                <w:rFonts w:hint="eastAsia" w:ascii="Calibri" w:hAnsi="Calibri" w:eastAsia="宋体" w:cs="Times New Roman"/>
                <w:b/>
                <w:sz w:val="24"/>
                <w:szCs w:val="24"/>
              </w:rPr>
              <w:t>政务管理</w:t>
            </w:r>
          </w:p>
        </w:tc>
        <w:tc>
          <w:tcPr>
            <w:tcW w:w="4768" w:type="dxa"/>
            <w:noWrap w:val="0"/>
            <w:vAlign w:val="center"/>
          </w:tcPr>
          <w:p w14:paraId="3EA79F06">
            <w:pPr>
              <w:spacing w:line="300" w:lineRule="exact"/>
              <w:jc w:val="left"/>
              <w:rPr>
                <w:rFonts w:ascii="方正书宋_GBK" w:hAnsi="Calibri" w:eastAsia="方正书宋_GBK" w:cs="Times New Roman"/>
              </w:rPr>
            </w:pPr>
            <w:r>
              <w:rPr>
                <w:rFonts w:hint="eastAsia" w:ascii="方正书宋_GBK" w:hAnsi="Calibri" w:eastAsia="方正书宋_GBK" w:cs="Times New Roman"/>
              </w:rPr>
              <w:t>落实计生相关法律法规，业务宣传工作，加强计生能力建设</w:t>
            </w:r>
            <w:r>
              <w:rPr>
                <w:rFonts w:ascii="方正书宋_GBK" w:hAnsi="Calibri" w:eastAsia="方正书宋_GBK" w:cs="Times New Roman"/>
              </w:rPr>
              <w:t>,</w:t>
            </w:r>
            <w:r>
              <w:rPr>
                <w:rFonts w:hint="eastAsia" w:ascii="方正书宋_GBK" w:hAnsi="Calibri" w:eastAsia="方正书宋_GBK" w:cs="Times New Roman"/>
              </w:rPr>
              <w:t>落实计划生育一票否决制</w:t>
            </w:r>
          </w:p>
        </w:tc>
      </w:tr>
      <w:tr w14:paraId="77ABA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4" w:hRule="atLeast"/>
          <w:jc w:val="center"/>
        </w:trPr>
        <w:tc>
          <w:tcPr>
            <w:tcW w:w="3372" w:type="dxa"/>
            <w:noWrap w:val="0"/>
            <w:vAlign w:val="center"/>
          </w:tcPr>
          <w:p w14:paraId="101FDBC5">
            <w:pPr>
              <w:jc w:val="center"/>
              <w:rPr>
                <w:rFonts w:ascii="Calibri" w:hAnsi="Calibri" w:eastAsia="宋体" w:cs="Times New Roman"/>
                <w:b/>
                <w:sz w:val="24"/>
                <w:szCs w:val="24"/>
              </w:rPr>
            </w:pPr>
            <w:r>
              <w:rPr>
                <w:rFonts w:hint="eastAsia" w:ascii="Calibri" w:hAnsi="Calibri" w:eastAsia="宋体" w:cs="Times New Roman"/>
                <w:b/>
                <w:sz w:val="24"/>
                <w:szCs w:val="24"/>
              </w:rPr>
              <w:t>综合业务管理</w:t>
            </w:r>
          </w:p>
        </w:tc>
        <w:tc>
          <w:tcPr>
            <w:tcW w:w="4768" w:type="dxa"/>
            <w:noWrap w:val="0"/>
            <w:vAlign w:val="center"/>
          </w:tcPr>
          <w:p w14:paraId="6F216AA6">
            <w:pPr>
              <w:spacing w:line="300" w:lineRule="exact"/>
              <w:jc w:val="left"/>
              <w:rPr>
                <w:rFonts w:ascii="方正书宋_GBK" w:hAnsi="Calibri" w:eastAsia="方正书宋_GBK" w:cs="Times New Roman"/>
              </w:rPr>
            </w:pPr>
            <w:r>
              <w:rPr>
                <w:rFonts w:hint="eastAsia" w:ascii="方正书宋_GBK" w:hAnsi="Calibri" w:eastAsia="方正书宋_GBK" w:cs="Times New Roman"/>
              </w:rPr>
              <w:t>开展计生宣传教育，政策落实等综合业务工作。</w:t>
            </w:r>
          </w:p>
        </w:tc>
      </w:tr>
      <w:tr w14:paraId="15FF2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3DE5C339">
            <w:pPr>
              <w:jc w:val="center"/>
              <w:rPr>
                <w:rFonts w:ascii="Calibri" w:hAnsi="Calibri" w:eastAsia="宋体" w:cs="Times New Roman"/>
                <w:b/>
                <w:sz w:val="24"/>
                <w:szCs w:val="24"/>
              </w:rPr>
            </w:pPr>
            <w:r>
              <w:rPr>
                <w:rFonts w:hint="eastAsia" w:ascii="Calibri" w:hAnsi="Calibri" w:eastAsia="宋体" w:cs="Times New Roman"/>
                <w:b/>
                <w:sz w:val="24"/>
                <w:szCs w:val="24"/>
              </w:rPr>
              <w:t>预算管理</w:t>
            </w:r>
          </w:p>
        </w:tc>
        <w:tc>
          <w:tcPr>
            <w:tcW w:w="4768" w:type="dxa"/>
            <w:noWrap w:val="0"/>
            <w:vAlign w:val="center"/>
          </w:tcPr>
          <w:p w14:paraId="10845E4E">
            <w:pPr>
              <w:spacing w:line="300" w:lineRule="exact"/>
              <w:jc w:val="left"/>
              <w:rPr>
                <w:rFonts w:ascii="方正书宋_GBK" w:hAnsi="Calibri" w:eastAsia="方正书宋_GBK" w:cs="Times New Roman"/>
              </w:rPr>
            </w:pPr>
            <w:r>
              <w:rPr>
                <w:rFonts w:hint="eastAsia" w:ascii="方正书宋_GBK" w:hAnsi="Calibri" w:eastAsia="方正书宋_GBK" w:cs="Times New Roman"/>
              </w:rPr>
              <w:t>负责乡财政预算管理与执行</w:t>
            </w:r>
          </w:p>
        </w:tc>
      </w:tr>
      <w:tr w14:paraId="1134C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0DEF0B70">
            <w:pPr>
              <w:jc w:val="center"/>
              <w:rPr>
                <w:rFonts w:ascii="Calibri" w:hAnsi="Calibri" w:eastAsia="宋体" w:cs="Times New Roman"/>
                <w:b/>
                <w:sz w:val="24"/>
                <w:szCs w:val="24"/>
              </w:rPr>
            </w:pPr>
            <w:r>
              <w:rPr>
                <w:rFonts w:hint="eastAsia" w:ascii="Calibri" w:hAnsi="Calibri" w:eastAsia="宋体" w:cs="Times New Roman"/>
                <w:b/>
                <w:sz w:val="24"/>
                <w:szCs w:val="24"/>
              </w:rPr>
              <w:t>合理安排预算</w:t>
            </w:r>
          </w:p>
        </w:tc>
        <w:tc>
          <w:tcPr>
            <w:tcW w:w="4768" w:type="dxa"/>
            <w:noWrap w:val="0"/>
            <w:vAlign w:val="center"/>
          </w:tcPr>
          <w:p w14:paraId="582BC20E">
            <w:pPr>
              <w:spacing w:line="300" w:lineRule="exact"/>
              <w:jc w:val="left"/>
              <w:rPr>
                <w:rFonts w:ascii="方正书宋_GBK" w:hAnsi="Calibri" w:eastAsia="方正书宋_GBK" w:cs="Times New Roman"/>
              </w:rPr>
            </w:pPr>
            <w:r>
              <w:rPr>
                <w:rFonts w:hint="eastAsia" w:ascii="方正书宋_GBK" w:hAnsi="Calibri" w:eastAsia="方正书宋_GBK" w:cs="Times New Roman"/>
              </w:rPr>
              <w:t>按照保工资、保运转的顺序做好预算安排</w:t>
            </w:r>
          </w:p>
        </w:tc>
      </w:tr>
      <w:tr w14:paraId="7B9F1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59365348">
            <w:pPr>
              <w:jc w:val="center"/>
              <w:rPr>
                <w:rFonts w:ascii="Calibri" w:hAnsi="Calibri" w:eastAsia="宋体" w:cs="Times New Roman"/>
                <w:b/>
                <w:sz w:val="24"/>
                <w:szCs w:val="24"/>
              </w:rPr>
            </w:pPr>
            <w:r>
              <w:rPr>
                <w:rFonts w:hint="eastAsia" w:ascii="Calibri" w:hAnsi="Calibri" w:eastAsia="宋体" w:cs="Times New Roman"/>
                <w:b/>
                <w:sz w:val="24"/>
                <w:szCs w:val="24"/>
              </w:rPr>
              <w:t>财务管理</w:t>
            </w:r>
          </w:p>
        </w:tc>
        <w:tc>
          <w:tcPr>
            <w:tcW w:w="4768" w:type="dxa"/>
            <w:noWrap w:val="0"/>
            <w:vAlign w:val="center"/>
          </w:tcPr>
          <w:p w14:paraId="32C75430">
            <w:pPr>
              <w:spacing w:line="300" w:lineRule="exact"/>
              <w:jc w:val="left"/>
              <w:rPr>
                <w:rFonts w:ascii="方正书宋_GBK" w:hAnsi="Calibri" w:eastAsia="方正书宋_GBK" w:cs="Times New Roman"/>
              </w:rPr>
            </w:pPr>
            <w:r>
              <w:rPr>
                <w:rFonts w:hint="eastAsia" w:ascii="方正书宋_GBK" w:hAnsi="Calibri" w:eastAsia="方正书宋_GBK" w:cs="Times New Roman"/>
              </w:rPr>
              <w:t>负责乡机关收支活动，组织实施乡财务核算及监督工作</w:t>
            </w:r>
          </w:p>
        </w:tc>
      </w:tr>
      <w:tr w14:paraId="6D47E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39DE552B">
            <w:pPr>
              <w:jc w:val="center"/>
              <w:rPr>
                <w:rFonts w:ascii="Calibri" w:hAnsi="Calibri" w:eastAsia="宋体" w:cs="Times New Roman"/>
                <w:b/>
                <w:sz w:val="24"/>
                <w:szCs w:val="24"/>
              </w:rPr>
            </w:pPr>
            <w:r>
              <w:rPr>
                <w:rFonts w:hint="eastAsia" w:ascii="Calibri" w:hAnsi="Calibri" w:eastAsia="宋体" w:cs="Times New Roman"/>
                <w:b/>
                <w:sz w:val="24"/>
                <w:szCs w:val="24"/>
              </w:rPr>
              <w:t>严格村财务管理</w:t>
            </w:r>
          </w:p>
        </w:tc>
        <w:tc>
          <w:tcPr>
            <w:tcW w:w="4768" w:type="dxa"/>
            <w:noWrap w:val="0"/>
            <w:vAlign w:val="center"/>
          </w:tcPr>
          <w:p w14:paraId="613A6F5B">
            <w:pPr>
              <w:spacing w:line="300" w:lineRule="exact"/>
              <w:jc w:val="left"/>
              <w:rPr>
                <w:rFonts w:ascii="方正书宋_GBK" w:hAnsi="Calibri" w:eastAsia="方正书宋_GBK" w:cs="Times New Roman"/>
              </w:rPr>
            </w:pPr>
            <w:r>
              <w:rPr>
                <w:rFonts w:hint="eastAsia" w:ascii="方正书宋_GBK" w:hAnsi="Calibri" w:eastAsia="方正书宋_GBK" w:cs="Times New Roman"/>
              </w:rPr>
              <w:t>按时间要求报账</w:t>
            </w:r>
          </w:p>
        </w:tc>
      </w:tr>
      <w:tr w14:paraId="7E39D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5C2E612C">
            <w:pPr>
              <w:jc w:val="center"/>
              <w:rPr>
                <w:rFonts w:ascii="Calibri" w:hAnsi="Calibri" w:eastAsia="宋体" w:cs="Times New Roman"/>
                <w:b/>
                <w:sz w:val="24"/>
                <w:szCs w:val="24"/>
              </w:rPr>
            </w:pPr>
            <w:r>
              <w:rPr>
                <w:rFonts w:hint="eastAsia" w:ascii="Calibri" w:hAnsi="Calibri" w:eastAsia="宋体" w:cs="Times New Roman"/>
                <w:b/>
                <w:sz w:val="24"/>
                <w:szCs w:val="24"/>
              </w:rPr>
              <w:t>村财乡代管</w:t>
            </w:r>
          </w:p>
        </w:tc>
        <w:tc>
          <w:tcPr>
            <w:tcW w:w="4768" w:type="dxa"/>
            <w:noWrap w:val="0"/>
            <w:vAlign w:val="center"/>
          </w:tcPr>
          <w:p w14:paraId="31EA7A26">
            <w:pPr>
              <w:spacing w:line="300" w:lineRule="exact"/>
              <w:jc w:val="left"/>
              <w:rPr>
                <w:rFonts w:ascii="方正书宋_GBK" w:hAnsi="Calibri" w:eastAsia="方正书宋_GBK" w:cs="Times New Roman"/>
              </w:rPr>
            </w:pPr>
            <w:r>
              <w:rPr>
                <w:rFonts w:hint="eastAsia" w:ascii="方正书宋_GBK" w:hAnsi="Calibri" w:eastAsia="方正书宋_GBK" w:cs="Times New Roman"/>
              </w:rPr>
              <w:t>负责村级财务核算及监督工作</w:t>
            </w:r>
          </w:p>
        </w:tc>
      </w:tr>
      <w:tr w14:paraId="61A30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49D08DC5">
            <w:pPr>
              <w:jc w:val="center"/>
              <w:rPr>
                <w:rFonts w:ascii="Calibri" w:hAnsi="Calibri" w:eastAsia="宋体" w:cs="Times New Roman"/>
                <w:b/>
                <w:sz w:val="24"/>
                <w:szCs w:val="24"/>
              </w:rPr>
            </w:pPr>
            <w:r>
              <w:rPr>
                <w:rFonts w:hint="eastAsia" w:ascii="Calibri" w:hAnsi="Calibri" w:eastAsia="宋体" w:cs="Times New Roman"/>
                <w:b/>
                <w:sz w:val="24"/>
                <w:szCs w:val="24"/>
              </w:rPr>
              <w:t>严格票据管理</w:t>
            </w:r>
          </w:p>
        </w:tc>
        <w:tc>
          <w:tcPr>
            <w:tcW w:w="4768" w:type="dxa"/>
            <w:noWrap w:val="0"/>
            <w:vAlign w:val="center"/>
          </w:tcPr>
          <w:p w14:paraId="18A1DDAD">
            <w:pPr>
              <w:spacing w:line="300" w:lineRule="exact"/>
              <w:jc w:val="left"/>
              <w:rPr>
                <w:rFonts w:ascii="方正书宋_GBK" w:hAnsi="Calibri" w:eastAsia="方正书宋_GBK" w:cs="Times New Roman"/>
              </w:rPr>
            </w:pPr>
            <w:r>
              <w:rPr>
                <w:rFonts w:hint="eastAsia" w:ascii="方正书宋_GBK" w:hAnsi="Calibri" w:eastAsia="方正书宋_GBK" w:cs="Times New Roman"/>
              </w:rPr>
              <w:t>对不规范的票据一律不报销、不入账</w:t>
            </w:r>
          </w:p>
        </w:tc>
      </w:tr>
      <w:tr w14:paraId="5DD07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20D11A67">
            <w:pPr>
              <w:jc w:val="center"/>
              <w:rPr>
                <w:rFonts w:ascii="Calibri" w:hAnsi="Calibri" w:eastAsia="宋体" w:cs="Times New Roman"/>
                <w:b/>
                <w:sz w:val="24"/>
                <w:szCs w:val="24"/>
              </w:rPr>
            </w:pPr>
            <w:r>
              <w:rPr>
                <w:rFonts w:hint="eastAsia" w:ascii="Calibri" w:hAnsi="Calibri" w:eastAsia="宋体" w:cs="Times New Roman"/>
                <w:b/>
                <w:sz w:val="24"/>
                <w:szCs w:val="24"/>
              </w:rPr>
              <w:t>涉农资金</w:t>
            </w:r>
          </w:p>
        </w:tc>
        <w:tc>
          <w:tcPr>
            <w:tcW w:w="4768" w:type="dxa"/>
            <w:noWrap w:val="0"/>
            <w:vAlign w:val="center"/>
          </w:tcPr>
          <w:p w14:paraId="29648E08">
            <w:pPr>
              <w:spacing w:line="300" w:lineRule="exact"/>
              <w:jc w:val="left"/>
              <w:rPr>
                <w:rFonts w:ascii="方正书宋_GBK" w:hAnsi="Calibri" w:eastAsia="方正书宋_GBK" w:cs="Times New Roman"/>
              </w:rPr>
            </w:pPr>
            <w:r>
              <w:rPr>
                <w:rFonts w:hint="eastAsia" w:ascii="方正书宋_GBK" w:hAnsi="Calibri" w:eastAsia="方正书宋_GBK" w:cs="Times New Roman"/>
              </w:rPr>
              <w:t>负责涉农资金的落实</w:t>
            </w:r>
          </w:p>
        </w:tc>
      </w:tr>
      <w:tr w14:paraId="229EA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30826DF7">
            <w:pPr>
              <w:jc w:val="center"/>
              <w:rPr>
                <w:rFonts w:ascii="Calibri" w:hAnsi="Calibri" w:eastAsia="宋体" w:cs="Times New Roman"/>
                <w:b/>
                <w:sz w:val="24"/>
                <w:szCs w:val="24"/>
              </w:rPr>
            </w:pPr>
            <w:r>
              <w:rPr>
                <w:rFonts w:hint="eastAsia" w:ascii="Calibri" w:hAnsi="Calibri" w:eastAsia="宋体" w:cs="Times New Roman"/>
                <w:b/>
                <w:sz w:val="24"/>
                <w:szCs w:val="24"/>
              </w:rPr>
              <w:t>坚持抽查制度</w:t>
            </w:r>
          </w:p>
        </w:tc>
        <w:tc>
          <w:tcPr>
            <w:tcW w:w="4768" w:type="dxa"/>
            <w:noWrap w:val="0"/>
            <w:vAlign w:val="center"/>
          </w:tcPr>
          <w:p w14:paraId="77459418">
            <w:pPr>
              <w:spacing w:line="300" w:lineRule="exact"/>
              <w:jc w:val="left"/>
              <w:rPr>
                <w:rFonts w:ascii="方正书宋_GBK" w:hAnsi="Calibri" w:eastAsia="方正书宋_GBK" w:cs="Times New Roman"/>
              </w:rPr>
            </w:pPr>
            <w:r>
              <w:rPr>
                <w:rFonts w:hint="eastAsia" w:ascii="方正书宋_GBK" w:hAnsi="Calibri" w:eastAsia="方正书宋_GBK" w:cs="Times New Roman"/>
              </w:rPr>
              <w:t>不定期进村入户抽查涉农资金落实情况</w:t>
            </w:r>
          </w:p>
        </w:tc>
      </w:tr>
      <w:tr w14:paraId="2CE96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29E185A3">
            <w:pPr>
              <w:jc w:val="center"/>
              <w:rPr>
                <w:rFonts w:ascii="Calibri" w:hAnsi="Calibri" w:eastAsia="宋体" w:cs="Times New Roman"/>
                <w:b/>
                <w:sz w:val="24"/>
                <w:szCs w:val="24"/>
              </w:rPr>
            </w:pPr>
            <w:r>
              <w:rPr>
                <w:rFonts w:hint="eastAsia" w:ascii="Calibri" w:hAnsi="Calibri" w:eastAsia="宋体" w:cs="Times New Roman"/>
                <w:b/>
                <w:sz w:val="24"/>
                <w:szCs w:val="24"/>
              </w:rPr>
              <w:t>国有资产管理</w:t>
            </w:r>
          </w:p>
        </w:tc>
        <w:tc>
          <w:tcPr>
            <w:tcW w:w="4768" w:type="dxa"/>
            <w:noWrap w:val="0"/>
            <w:vAlign w:val="center"/>
          </w:tcPr>
          <w:p w14:paraId="1FBBEBA2">
            <w:pPr>
              <w:spacing w:line="300" w:lineRule="exact"/>
              <w:jc w:val="left"/>
              <w:rPr>
                <w:rFonts w:ascii="方正书宋_GBK" w:hAnsi="Calibri" w:eastAsia="方正书宋_GBK" w:cs="Times New Roman"/>
              </w:rPr>
            </w:pPr>
            <w:r>
              <w:rPr>
                <w:rFonts w:hint="eastAsia" w:ascii="方正书宋_GBK" w:hAnsi="Calibri" w:eastAsia="方正书宋_GBK" w:cs="Times New Roman"/>
              </w:rPr>
              <w:t>负责管理乡镇国有资产</w:t>
            </w:r>
          </w:p>
        </w:tc>
      </w:tr>
      <w:tr w14:paraId="0B452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2043FEC5">
            <w:pPr>
              <w:jc w:val="center"/>
              <w:rPr>
                <w:rFonts w:ascii="Calibri" w:hAnsi="Calibri" w:eastAsia="宋体" w:cs="Times New Roman"/>
                <w:b/>
                <w:sz w:val="24"/>
                <w:szCs w:val="24"/>
              </w:rPr>
            </w:pPr>
            <w:r>
              <w:rPr>
                <w:rFonts w:hint="eastAsia" w:ascii="Calibri" w:hAnsi="Calibri" w:eastAsia="宋体" w:cs="Times New Roman"/>
                <w:b/>
                <w:sz w:val="24"/>
                <w:szCs w:val="24"/>
              </w:rPr>
              <w:t>坚持定期核查</w:t>
            </w:r>
          </w:p>
        </w:tc>
        <w:tc>
          <w:tcPr>
            <w:tcW w:w="4768" w:type="dxa"/>
            <w:noWrap w:val="0"/>
            <w:vAlign w:val="center"/>
          </w:tcPr>
          <w:p w14:paraId="10D8CA85">
            <w:pPr>
              <w:spacing w:line="300" w:lineRule="exact"/>
              <w:jc w:val="left"/>
              <w:rPr>
                <w:rFonts w:ascii="方正书宋_GBK" w:hAnsi="Calibri" w:eastAsia="方正书宋_GBK" w:cs="Times New Roman"/>
              </w:rPr>
            </w:pPr>
            <w:r>
              <w:rPr>
                <w:rFonts w:hint="eastAsia" w:ascii="方正书宋_GBK" w:hAnsi="Calibri" w:eastAsia="方正书宋_GBK" w:cs="Times New Roman"/>
              </w:rPr>
              <w:t>采用按月进行资产核查</w:t>
            </w:r>
          </w:p>
        </w:tc>
      </w:tr>
      <w:tr w14:paraId="233A8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3C31DE74">
            <w:pPr>
              <w:jc w:val="center"/>
              <w:rPr>
                <w:rFonts w:ascii="Calibri" w:hAnsi="Calibri" w:eastAsia="宋体" w:cs="Times New Roman"/>
                <w:b/>
                <w:sz w:val="24"/>
                <w:szCs w:val="24"/>
              </w:rPr>
            </w:pPr>
            <w:r>
              <w:rPr>
                <w:rFonts w:hint="eastAsia" w:ascii="Calibri" w:hAnsi="Calibri" w:eastAsia="宋体" w:cs="Times New Roman"/>
                <w:b/>
                <w:sz w:val="24"/>
                <w:szCs w:val="24"/>
              </w:rPr>
              <w:t>债权债务管理</w:t>
            </w:r>
          </w:p>
        </w:tc>
        <w:tc>
          <w:tcPr>
            <w:tcW w:w="4768" w:type="dxa"/>
            <w:noWrap w:val="0"/>
            <w:vAlign w:val="center"/>
          </w:tcPr>
          <w:p w14:paraId="5916D17D">
            <w:pPr>
              <w:spacing w:line="300" w:lineRule="exact"/>
              <w:jc w:val="left"/>
              <w:rPr>
                <w:rFonts w:ascii="方正书宋_GBK" w:hAnsi="Calibri" w:eastAsia="方正书宋_GBK" w:cs="Times New Roman"/>
              </w:rPr>
            </w:pPr>
            <w:r>
              <w:rPr>
                <w:rFonts w:hint="eastAsia" w:ascii="方正书宋_GBK" w:hAnsi="Calibri" w:eastAsia="方正书宋_GBK" w:cs="Times New Roman"/>
              </w:rPr>
              <w:t>实施债权债务监督管理</w:t>
            </w:r>
          </w:p>
        </w:tc>
      </w:tr>
      <w:tr w14:paraId="6FF02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787F7C0B">
            <w:pPr>
              <w:jc w:val="center"/>
              <w:rPr>
                <w:rFonts w:ascii="Calibri" w:hAnsi="Calibri" w:eastAsia="宋体" w:cs="Times New Roman"/>
                <w:b/>
                <w:sz w:val="24"/>
                <w:szCs w:val="24"/>
              </w:rPr>
            </w:pPr>
            <w:r>
              <w:rPr>
                <w:rFonts w:hint="eastAsia" w:ascii="Calibri" w:hAnsi="Calibri" w:eastAsia="宋体" w:cs="Times New Roman"/>
                <w:b/>
                <w:sz w:val="24"/>
                <w:szCs w:val="24"/>
              </w:rPr>
              <w:t>坚持以收定支</w:t>
            </w:r>
          </w:p>
        </w:tc>
        <w:tc>
          <w:tcPr>
            <w:tcW w:w="4768" w:type="dxa"/>
            <w:noWrap w:val="0"/>
            <w:vAlign w:val="center"/>
          </w:tcPr>
          <w:p w14:paraId="65B57184">
            <w:pPr>
              <w:spacing w:line="300" w:lineRule="exact"/>
              <w:jc w:val="left"/>
              <w:rPr>
                <w:rFonts w:ascii="方正书宋_GBK" w:hAnsi="Calibri" w:eastAsia="方正书宋_GBK" w:cs="Times New Roman"/>
              </w:rPr>
            </w:pPr>
            <w:r>
              <w:rPr>
                <w:rFonts w:hint="eastAsia" w:ascii="方正书宋_GBK" w:hAnsi="Calibri" w:eastAsia="方正书宋_GBK" w:cs="Times New Roman"/>
              </w:rPr>
              <w:t>坚持以收定支，杜绝举债行为发生。</w:t>
            </w:r>
          </w:p>
        </w:tc>
      </w:tr>
      <w:tr w14:paraId="3D6D7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2DDD824E">
            <w:pPr>
              <w:jc w:val="center"/>
              <w:rPr>
                <w:rFonts w:ascii="Calibri" w:hAnsi="Calibri" w:eastAsia="宋体" w:cs="Times New Roman"/>
                <w:b/>
                <w:sz w:val="24"/>
                <w:szCs w:val="24"/>
              </w:rPr>
            </w:pPr>
            <w:r>
              <w:rPr>
                <w:rFonts w:hint="eastAsia" w:ascii="Calibri" w:hAnsi="Calibri" w:eastAsia="宋体" w:cs="Times New Roman"/>
                <w:b/>
                <w:sz w:val="24"/>
                <w:szCs w:val="24"/>
              </w:rPr>
              <w:t>农村管理</w:t>
            </w:r>
          </w:p>
        </w:tc>
        <w:tc>
          <w:tcPr>
            <w:tcW w:w="4768" w:type="dxa"/>
            <w:noWrap w:val="0"/>
            <w:vAlign w:val="center"/>
          </w:tcPr>
          <w:p w14:paraId="5798F5F7">
            <w:pPr>
              <w:spacing w:line="300" w:lineRule="exact"/>
              <w:jc w:val="left"/>
              <w:rPr>
                <w:rFonts w:ascii="方正书宋_GBK" w:hAnsi="Calibri" w:eastAsia="方正书宋_GBK" w:cs="Times New Roman"/>
              </w:rPr>
            </w:pPr>
            <w:r>
              <w:rPr>
                <w:rFonts w:hint="eastAsia" w:ascii="方正书宋_GBK" w:hAnsi="Calibri" w:eastAsia="方正书宋_GBK" w:cs="Times New Roman"/>
              </w:rPr>
              <w:t>农村村容村貌维护提升</w:t>
            </w:r>
          </w:p>
        </w:tc>
      </w:tr>
      <w:tr w14:paraId="0CDE4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3ADBE024">
            <w:pPr>
              <w:jc w:val="center"/>
              <w:rPr>
                <w:rFonts w:ascii="Calibri" w:hAnsi="Calibri" w:eastAsia="宋体" w:cs="Times New Roman"/>
                <w:b/>
                <w:sz w:val="24"/>
                <w:szCs w:val="24"/>
              </w:rPr>
            </w:pPr>
            <w:r>
              <w:rPr>
                <w:rFonts w:hint="eastAsia" w:ascii="Calibri" w:hAnsi="Calibri" w:eastAsia="宋体" w:cs="Times New Roman"/>
                <w:b/>
                <w:sz w:val="24"/>
                <w:szCs w:val="24"/>
              </w:rPr>
              <w:t>新农村建设</w:t>
            </w:r>
          </w:p>
        </w:tc>
        <w:tc>
          <w:tcPr>
            <w:tcW w:w="4768" w:type="dxa"/>
            <w:noWrap w:val="0"/>
            <w:vAlign w:val="center"/>
          </w:tcPr>
          <w:p w14:paraId="0C86D68D">
            <w:pPr>
              <w:spacing w:line="300" w:lineRule="exact"/>
              <w:jc w:val="left"/>
              <w:rPr>
                <w:rFonts w:ascii="方正书宋_GBK" w:hAnsi="Calibri" w:eastAsia="方正书宋_GBK" w:cs="Times New Roman"/>
              </w:rPr>
            </w:pPr>
            <w:r>
              <w:rPr>
                <w:rFonts w:hint="eastAsia" w:ascii="方正书宋_GBK" w:hAnsi="Calibri" w:eastAsia="方正书宋_GBK" w:cs="Times New Roman"/>
              </w:rPr>
              <w:t>负责农村卫生长效管理及基础设施建设等强狂落实</w:t>
            </w:r>
          </w:p>
        </w:tc>
      </w:tr>
      <w:tr w14:paraId="33E01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3EFBAF25">
            <w:pPr>
              <w:jc w:val="center"/>
              <w:rPr>
                <w:rFonts w:ascii="Calibri" w:hAnsi="Calibri" w:eastAsia="宋体" w:cs="Times New Roman"/>
                <w:b/>
                <w:sz w:val="24"/>
                <w:szCs w:val="24"/>
              </w:rPr>
            </w:pPr>
            <w:r>
              <w:rPr>
                <w:rFonts w:hint="eastAsia" w:ascii="Calibri" w:hAnsi="Calibri" w:eastAsia="宋体" w:cs="Times New Roman"/>
                <w:b/>
                <w:sz w:val="24"/>
                <w:szCs w:val="24"/>
              </w:rPr>
              <w:t>完善农村经营管理体制</w:t>
            </w:r>
          </w:p>
        </w:tc>
        <w:tc>
          <w:tcPr>
            <w:tcW w:w="4768" w:type="dxa"/>
            <w:noWrap w:val="0"/>
            <w:vAlign w:val="center"/>
          </w:tcPr>
          <w:p w14:paraId="2639E11E">
            <w:pPr>
              <w:spacing w:line="300" w:lineRule="exact"/>
              <w:jc w:val="left"/>
              <w:rPr>
                <w:rFonts w:ascii="方正书宋_GBK" w:hAnsi="Calibri" w:eastAsia="方正书宋_GBK" w:cs="Times New Roman"/>
              </w:rPr>
            </w:pPr>
            <w:r>
              <w:rPr>
                <w:rFonts w:hint="eastAsia" w:ascii="方正书宋_GBK" w:hAnsi="Calibri" w:eastAsia="方正书宋_GBK" w:cs="Times New Roman"/>
              </w:rPr>
              <w:t>推进农村集体产权制度改革，完善农村土地承包制度，引导农村土地合理流转。创新农业经营主体。</w:t>
            </w:r>
          </w:p>
        </w:tc>
      </w:tr>
      <w:tr w14:paraId="0795F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6F57DC03">
            <w:pPr>
              <w:jc w:val="center"/>
              <w:rPr>
                <w:rFonts w:ascii="Calibri" w:hAnsi="Calibri" w:eastAsia="宋体" w:cs="Times New Roman"/>
                <w:b/>
                <w:sz w:val="24"/>
                <w:szCs w:val="24"/>
              </w:rPr>
            </w:pPr>
            <w:r>
              <w:rPr>
                <w:rFonts w:hint="eastAsia" w:ascii="Calibri" w:hAnsi="Calibri" w:eastAsia="宋体" w:cs="Times New Roman"/>
                <w:b/>
                <w:sz w:val="24"/>
                <w:szCs w:val="24"/>
              </w:rPr>
              <w:t>促进土地流转</w:t>
            </w:r>
          </w:p>
        </w:tc>
        <w:tc>
          <w:tcPr>
            <w:tcW w:w="4768" w:type="dxa"/>
            <w:noWrap w:val="0"/>
            <w:vAlign w:val="center"/>
          </w:tcPr>
          <w:p w14:paraId="33383D30">
            <w:pPr>
              <w:spacing w:line="300" w:lineRule="exact"/>
              <w:jc w:val="left"/>
              <w:rPr>
                <w:rFonts w:ascii="方正书宋_GBK" w:hAnsi="Calibri" w:eastAsia="方正书宋_GBK" w:cs="Times New Roman"/>
              </w:rPr>
            </w:pPr>
            <w:r>
              <w:rPr>
                <w:rFonts w:hint="eastAsia" w:ascii="方正书宋_GBK" w:hAnsi="Calibri" w:eastAsia="方正书宋_GBK" w:cs="Times New Roman"/>
              </w:rPr>
              <w:t>建设土地流转有形市场</w:t>
            </w:r>
          </w:p>
        </w:tc>
      </w:tr>
      <w:tr w14:paraId="30807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1AF36775">
            <w:pPr>
              <w:jc w:val="center"/>
              <w:rPr>
                <w:rFonts w:ascii="Calibri" w:hAnsi="Calibri" w:eastAsia="宋体" w:cs="Times New Roman"/>
                <w:b/>
                <w:sz w:val="24"/>
                <w:szCs w:val="24"/>
              </w:rPr>
            </w:pPr>
            <w:r>
              <w:rPr>
                <w:rFonts w:hint="eastAsia" w:ascii="Calibri" w:hAnsi="Calibri" w:eastAsia="宋体" w:cs="Times New Roman"/>
                <w:b/>
                <w:sz w:val="24"/>
                <w:szCs w:val="24"/>
              </w:rPr>
              <w:t>计生服务</w:t>
            </w:r>
          </w:p>
        </w:tc>
        <w:tc>
          <w:tcPr>
            <w:tcW w:w="4768" w:type="dxa"/>
            <w:noWrap w:val="0"/>
            <w:vAlign w:val="center"/>
          </w:tcPr>
          <w:p w14:paraId="1EBD2984">
            <w:pPr>
              <w:spacing w:line="300" w:lineRule="exact"/>
              <w:jc w:val="left"/>
              <w:rPr>
                <w:rFonts w:ascii="方正书宋_GBK" w:hAnsi="Calibri" w:eastAsia="方正书宋_GBK" w:cs="Times New Roman"/>
              </w:rPr>
            </w:pPr>
            <w:r>
              <w:rPr>
                <w:rFonts w:hint="eastAsia" w:ascii="方正书宋_GBK" w:hAnsi="Calibri" w:eastAsia="方正书宋_GBK" w:cs="Times New Roman"/>
              </w:rPr>
              <w:t>开展计划生育各种知识宣传和咨询服务</w:t>
            </w:r>
          </w:p>
        </w:tc>
      </w:tr>
      <w:tr w14:paraId="0E104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15B86248">
            <w:pPr>
              <w:jc w:val="center"/>
              <w:rPr>
                <w:rFonts w:ascii="Calibri" w:hAnsi="Calibri" w:eastAsia="宋体" w:cs="Times New Roman"/>
                <w:b/>
                <w:sz w:val="24"/>
                <w:szCs w:val="24"/>
              </w:rPr>
            </w:pPr>
            <w:r>
              <w:rPr>
                <w:rFonts w:hint="eastAsia" w:ascii="Calibri" w:hAnsi="Calibri" w:eastAsia="宋体" w:cs="Times New Roman"/>
                <w:b/>
                <w:sz w:val="24"/>
                <w:szCs w:val="24"/>
              </w:rPr>
              <w:t>计划生育服务</w:t>
            </w:r>
          </w:p>
        </w:tc>
        <w:tc>
          <w:tcPr>
            <w:tcW w:w="4768" w:type="dxa"/>
            <w:noWrap w:val="0"/>
            <w:vAlign w:val="center"/>
          </w:tcPr>
          <w:p w14:paraId="4B43100B">
            <w:pPr>
              <w:spacing w:line="300" w:lineRule="exact"/>
              <w:jc w:val="left"/>
              <w:rPr>
                <w:rFonts w:ascii="方正书宋_GBK" w:hAnsi="Calibri" w:eastAsia="方正书宋_GBK" w:cs="Times New Roman"/>
              </w:rPr>
            </w:pPr>
            <w:r>
              <w:rPr>
                <w:rFonts w:hint="eastAsia" w:ascii="方正书宋_GBK" w:hAnsi="Calibri" w:eastAsia="方正书宋_GBK" w:cs="Times New Roman"/>
              </w:rPr>
              <w:t>免费为农村计划怀孕夫妇实行孕前优生健康检查；免费为公民提供计划生育避孕节育基本技术服务；免费为农村已婚育龄妇女提供生殖健康检查服务。</w:t>
            </w:r>
          </w:p>
        </w:tc>
      </w:tr>
      <w:tr w14:paraId="09466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574A74C0">
            <w:pPr>
              <w:jc w:val="center"/>
              <w:rPr>
                <w:rFonts w:ascii="Calibri" w:hAnsi="Calibri" w:eastAsia="宋体" w:cs="Times New Roman"/>
                <w:b/>
                <w:sz w:val="24"/>
                <w:szCs w:val="24"/>
              </w:rPr>
            </w:pPr>
            <w:r>
              <w:rPr>
                <w:rFonts w:hint="eastAsia" w:ascii="Calibri" w:hAnsi="Calibri" w:eastAsia="宋体" w:cs="Times New Roman"/>
                <w:b/>
                <w:sz w:val="24"/>
                <w:szCs w:val="24"/>
              </w:rPr>
              <w:t>计划生育咨询服务</w:t>
            </w:r>
          </w:p>
        </w:tc>
        <w:tc>
          <w:tcPr>
            <w:tcW w:w="4768" w:type="dxa"/>
            <w:noWrap w:val="0"/>
            <w:vAlign w:val="center"/>
          </w:tcPr>
          <w:p w14:paraId="32247F43">
            <w:pPr>
              <w:spacing w:line="300" w:lineRule="exact"/>
              <w:jc w:val="left"/>
              <w:rPr>
                <w:rFonts w:ascii="方正书宋_GBK" w:hAnsi="Calibri" w:eastAsia="方正书宋_GBK" w:cs="Times New Roman"/>
              </w:rPr>
            </w:pPr>
            <w:r>
              <w:rPr>
                <w:rFonts w:hint="eastAsia" w:ascii="方正书宋_GBK" w:hAnsi="Calibri" w:eastAsia="方正书宋_GBK" w:cs="Times New Roman"/>
              </w:rPr>
              <w:t>开展计划生育、生殖保健、优生优育知识宣传教育和咨询服务</w:t>
            </w:r>
          </w:p>
        </w:tc>
      </w:tr>
      <w:tr w14:paraId="1D67E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14:paraId="0EA18CAC">
            <w:pPr>
              <w:jc w:val="center"/>
              <w:rPr>
                <w:rFonts w:ascii="Calibri" w:hAnsi="Calibri" w:eastAsia="宋体" w:cs="Times New Roman"/>
                <w:b/>
                <w:sz w:val="24"/>
                <w:szCs w:val="24"/>
              </w:rPr>
            </w:pPr>
            <w:r>
              <w:rPr>
                <w:rFonts w:hint="eastAsia" w:ascii="Calibri" w:hAnsi="Calibri" w:eastAsia="宋体" w:cs="Times New Roman"/>
                <w:b/>
                <w:sz w:val="24"/>
                <w:szCs w:val="24"/>
              </w:rPr>
              <w:t>计划生育保健及优生服务</w:t>
            </w:r>
          </w:p>
        </w:tc>
        <w:tc>
          <w:tcPr>
            <w:tcW w:w="4768" w:type="dxa"/>
            <w:noWrap w:val="0"/>
            <w:vAlign w:val="center"/>
          </w:tcPr>
          <w:p w14:paraId="01E6C15C">
            <w:pPr>
              <w:spacing w:line="300" w:lineRule="exact"/>
              <w:jc w:val="left"/>
              <w:rPr>
                <w:rFonts w:ascii="方正书宋_GBK" w:hAnsi="Calibri" w:eastAsia="方正书宋_GBK" w:cs="Times New Roman"/>
              </w:rPr>
            </w:pPr>
            <w:r>
              <w:rPr>
                <w:rFonts w:hint="eastAsia" w:ascii="方正书宋_GBK" w:hAnsi="Calibri" w:eastAsia="方正书宋_GBK" w:cs="Times New Roman"/>
              </w:rPr>
              <w:t>开展力所能及的母婴保健及优生服务</w:t>
            </w:r>
          </w:p>
        </w:tc>
      </w:tr>
    </w:tbl>
    <w:p w14:paraId="3166A840">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14:paraId="6B12EA37">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w:t>
      </w:r>
      <w:r>
        <w:rPr>
          <w:rFonts w:hint="eastAsia" w:ascii="仿宋_GB2312" w:eastAsia="仿宋_GB2312" w:cs="ArialUnicodeMS" w:hAnsiTheme="minorHAnsi"/>
          <w:kern w:val="0"/>
          <w:sz w:val="32"/>
          <w:szCs w:val="32"/>
          <w:lang w:val="en-US" w:eastAsia="zh-CN"/>
        </w:rPr>
        <w:t>2</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0EFBE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8EF1EA9">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14:paraId="0DF3B16B">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14:paraId="2AFBEE39">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14:paraId="10B643DC">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14:paraId="1D02E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8026E4D">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vAlign w:val="center"/>
          </w:tcPr>
          <w:p w14:paraId="2131F60B">
            <w:pPr>
              <w:spacing w:after="0" w:line="56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sz w:val="28"/>
                <w:szCs w:val="28"/>
              </w:rPr>
              <w:t>石家庄市藁城区九门回族乡人民政府</w:t>
            </w:r>
          </w:p>
        </w:tc>
        <w:tc>
          <w:tcPr>
            <w:tcW w:w="2445" w:type="dxa"/>
          </w:tcPr>
          <w:p w14:paraId="749A1C56">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行政单位</w:t>
            </w:r>
          </w:p>
        </w:tc>
        <w:tc>
          <w:tcPr>
            <w:tcW w:w="2665" w:type="dxa"/>
          </w:tcPr>
          <w:p w14:paraId="327A9D43">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财政拨款</w:t>
            </w:r>
          </w:p>
        </w:tc>
      </w:tr>
      <w:tr w14:paraId="4DF10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A77D821">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vAlign w:val="center"/>
          </w:tcPr>
          <w:p w14:paraId="7988B497">
            <w:pPr>
              <w:spacing w:after="0" w:line="56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sz w:val="28"/>
                <w:szCs w:val="28"/>
              </w:rPr>
              <w:t>石家庄市藁城区九门回族乡学区</w:t>
            </w:r>
          </w:p>
        </w:tc>
        <w:tc>
          <w:tcPr>
            <w:tcW w:w="2445" w:type="dxa"/>
          </w:tcPr>
          <w:p w14:paraId="0E1DC725">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参公事业单位</w:t>
            </w:r>
          </w:p>
        </w:tc>
        <w:tc>
          <w:tcPr>
            <w:tcW w:w="2665" w:type="dxa"/>
          </w:tcPr>
          <w:p w14:paraId="17259E37">
            <w:pPr>
              <w:spacing w:after="0" w:line="560" w:lineRule="exact"/>
              <w:jc w:val="center"/>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eastAsia="zh-CN"/>
              </w:rPr>
              <w:t>财政性资金基本保证</w:t>
            </w:r>
          </w:p>
        </w:tc>
      </w:tr>
      <w:tr w14:paraId="28AD2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98040DC">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14:paraId="025443C5">
            <w:pPr>
              <w:spacing w:after="0" w:line="560" w:lineRule="exact"/>
              <w:rPr>
                <w:rFonts w:ascii="仿宋_GB2312" w:eastAsia="仿宋_GB2312" w:cs="ArialUnicodeMS" w:hAnsiTheme="minorHAnsi"/>
                <w:kern w:val="0"/>
                <w:sz w:val="28"/>
                <w:szCs w:val="28"/>
              </w:rPr>
            </w:pPr>
          </w:p>
        </w:tc>
        <w:tc>
          <w:tcPr>
            <w:tcW w:w="2445" w:type="dxa"/>
          </w:tcPr>
          <w:p w14:paraId="414A0F1A">
            <w:pPr>
              <w:spacing w:after="0" w:line="560" w:lineRule="exact"/>
              <w:jc w:val="center"/>
              <w:rPr>
                <w:rFonts w:ascii="仿宋_GB2312" w:eastAsia="仿宋_GB2312" w:cs="ArialUnicodeMS" w:hAnsiTheme="minorHAnsi"/>
                <w:kern w:val="0"/>
                <w:sz w:val="28"/>
                <w:szCs w:val="28"/>
              </w:rPr>
            </w:pPr>
          </w:p>
        </w:tc>
        <w:tc>
          <w:tcPr>
            <w:tcW w:w="2665" w:type="dxa"/>
          </w:tcPr>
          <w:p w14:paraId="0AAF8546">
            <w:pPr>
              <w:spacing w:after="0" w:line="560" w:lineRule="exact"/>
              <w:jc w:val="center"/>
              <w:rPr>
                <w:rFonts w:ascii="仿宋_GB2312" w:eastAsia="仿宋_GB2312" w:cs="ArialUnicodeMS" w:hAnsiTheme="minorHAnsi"/>
                <w:kern w:val="0"/>
                <w:sz w:val="28"/>
                <w:szCs w:val="28"/>
              </w:rPr>
            </w:pPr>
          </w:p>
        </w:tc>
      </w:tr>
      <w:tr w14:paraId="3F158F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20AE494B">
            <w:pPr>
              <w:spacing w:after="0" w:line="560" w:lineRule="exact"/>
              <w:ind w:firstLine="560" w:firstLineChars="200"/>
              <w:jc w:val="left"/>
              <w:rPr>
                <w:rFonts w:ascii="仿宋_GB2312" w:eastAsia="仿宋_GB2312" w:cs="ArialUnicodeMS" w:hAnsiTheme="minorHAnsi"/>
                <w:kern w:val="0"/>
                <w:sz w:val="28"/>
                <w:szCs w:val="28"/>
              </w:rPr>
            </w:pPr>
          </w:p>
        </w:tc>
      </w:tr>
    </w:tbl>
    <w:p w14:paraId="57598EC8">
      <w:pPr>
        <w:spacing w:after="0" w:line="560" w:lineRule="exact"/>
        <w:rPr>
          <w:rFonts w:ascii="仿宋_GB2312" w:eastAsia="仿宋_GB2312" w:cs="ArialUnicodeMS" w:hAnsiTheme="minorHAnsi"/>
          <w:kern w:val="0"/>
          <w:sz w:val="32"/>
          <w:szCs w:val="32"/>
        </w:rPr>
      </w:pPr>
    </w:p>
    <w:p w14:paraId="74C9A2FF">
      <w:pPr>
        <w:widowControl/>
        <w:spacing w:line="560" w:lineRule="exact"/>
        <w:jc w:val="both"/>
        <w:rPr>
          <w:rFonts w:ascii="黑体" w:eastAsia="黑体" w:cs="MS-UIGothic,Bold" w:hAnsiTheme="minorHAnsi"/>
          <w:bCs/>
          <w:kern w:val="0"/>
          <w:sz w:val="52"/>
          <w:szCs w:val="52"/>
        </w:rPr>
      </w:pPr>
    </w:p>
    <w:p w14:paraId="6FF82EB2">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14:paraId="4F8911C0">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-1023620</wp:posOffset>
            </wp:positionH>
            <wp:positionV relativeFrom="paragraph">
              <wp:posOffset>-1327150</wp:posOffset>
            </wp:positionV>
            <wp:extent cx="7571105" cy="10680065"/>
            <wp:effectExtent l="19050" t="0" r="0"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14:paraId="05E4E209">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113" o:spid="_x0000_s1113" o:spt="202" type="#_x0000_t202" style="position:absolute;left:0pt;margin-left:-80.2pt;margin-top:186.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14:paraId="02C435F6">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14:paraId="7CFA6CA0">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p w14:paraId="269306AF">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ascii="仿宋_GB2312" w:eastAsia="仿宋_GB2312" w:cs="ArialUnicodeMS" w:hAnsiTheme="minorHAnsi"/>
          <w:b/>
          <w:kern w:val="0"/>
          <w:sz w:val="32"/>
          <w:szCs w:val="32"/>
        </w:rPr>
        <w:t>（详见附表）</w:t>
      </w:r>
    </w:p>
    <w:p w14:paraId="6459C54F">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82" o:spid="_x0000_s1082"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14:paraId="1488CA5C">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14:paraId="5A646E3F">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14:paraId="132D2499">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_x0000_s1079" o:spid="_x0000_s1079" o:spt="203" style="position:absolute;left:0pt;margin-left:-0.55pt;margin-top:29.3pt;height:43.95pt;width:301.85pt;mso-position-horizontal-relative:page;mso-position-vertical-relative:page;z-index:25168486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v:rect id="矩形 13" o:spid="_x0000_s1081"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80"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08066ED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843FBDE">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14:paraId="67BA1A24">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w:t>
      </w:r>
      <w:r>
        <w:rPr>
          <w:rFonts w:hint="eastAsia" w:ascii="仿宋_GB2312" w:hAnsi="仿宋_GB2312" w:eastAsia="仿宋_GB2312" w:cs="仿宋_GB2312"/>
          <w:sz w:val="32"/>
          <w:szCs w:val="32"/>
          <w:lang w:val="en-US" w:eastAsia="zh-CN"/>
        </w:rPr>
        <w:t>5447.489393</w:t>
      </w:r>
      <w:r>
        <w:rPr>
          <w:rFonts w:hint="eastAsia" w:ascii="仿宋_GB2312" w:eastAsia="仿宋_GB2312" w:cs="DengXian-Regular"/>
          <w:sz w:val="32"/>
          <w:szCs w:val="32"/>
        </w:rPr>
        <w:t>万元。与2017年度决算相比，收支各增加</w:t>
      </w:r>
      <w:r>
        <w:rPr>
          <w:rFonts w:hint="eastAsia" w:ascii="仿宋_GB2312" w:hAnsi="仿宋_GB2312" w:eastAsia="仿宋_GB2312" w:cs="仿宋_GB2312"/>
          <w:sz w:val="32"/>
          <w:szCs w:val="32"/>
          <w:lang w:val="en-US" w:eastAsia="zh-CN"/>
        </w:rPr>
        <w:t>918.489393</w:t>
      </w:r>
      <w:r>
        <w:rPr>
          <w:rFonts w:hint="eastAsia" w:ascii="仿宋_GB2312" w:eastAsia="仿宋_GB2312" w:cs="DengXian-Regular"/>
          <w:sz w:val="32"/>
          <w:szCs w:val="32"/>
        </w:rPr>
        <w:t>万元，增长</w:t>
      </w:r>
      <w:r>
        <w:rPr>
          <w:rFonts w:hint="eastAsia" w:ascii="仿宋_GB2312" w:hAnsi="仿宋_GB2312" w:eastAsia="仿宋_GB2312" w:cs="仿宋_GB2312"/>
          <w:sz w:val="32"/>
          <w:szCs w:val="32"/>
          <w:lang w:val="en-US" w:eastAsia="zh-CN"/>
        </w:rPr>
        <w:t>20.28</w:t>
      </w:r>
      <w:r>
        <w:rPr>
          <w:rFonts w:hint="eastAsia" w:ascii="仿宋_GB2312" w:hAnsi="仿宋_GB2312" w:eastAsia="仿宋_GB2312" w:cs="仿宋_GB2312"/>
          <w:sz w:val="32"/>
          <w:szCs w:val="32"/>
        </w:rPr>
        <w:t>%</w:t>
      </w:r>
      <w:r>
        <w:rPr>
          <w:rFonts w:hint="eastAsia" w:ascii="仿宋_GB2312" w:eastAsia="仿宋_GB2312" w:cs="DengXian-Regular"/>
          <w:sz w:val="32"/>
          <w:szCs w:val="32"/>
        </w:rPr>
        <w:t>，主要原因是</w:t>
      </w:r>
      <w:r>
        <w:rPr>
          <w:rFonts w:hint="eastAsia" w:ascii="仿宋_GB2312" w:hAnsi="仿宋_GB2312" w:eastAsia="仿宋_GB2312" w:cs="仿宋_GB2312"/>
          <w:sz w:val="32"/>
          <w:szCs w:val="32"/>
        </w:rPr>
        <w:t>2018年人员增资、政府公共事务活动增加等。</w:t>
      </w:r>
    </w:p>
    <w:p w14:paraId="0C3C51C1">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14:paraId="3C8AB136">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hint="eastAsia" w:ascii="仿宋_GB2312" w:hAnsi="仿宋_GB2312" w:eastAsia="仿宋_GB2312" w:cs="仿宋_GB2312"/>
          <w:sz w:val="32"/>
          <w:szCs w:val="32"/>
          <w:lang w:val="en-US" w:eastAsia="zh-CN"/>
        </w:rPr>
        <w:t>5447.489393</w:t>
      </w:r>
      <w:r>
        <w:rPr>
          <w:rFonts w:hint="eastAsia" w:ascii="仿宋_GB2312" w:eastAsia="仿宋_GB2312" w:cs="DengXian-Regular"/>
          <w:sz w:val="32"/>
          <w:szCs w:val="32"/>
        </w:rPr>
        <w:t>万元，其中：财政拨款收入</w:t>
      </w:r>
      <w:r>
        <w:rPr>
          <w:rFonts w:hint="eastAsia" w:ascii="仿宋_GB2312" w:hAnsi="仿宋_GB2312" w:eastAsia="仿宋_GB2312" w:cs="仿宋_GB2312"/>
          <w:sz w:val="32"/>
          <w:szCs w:val="32"/>
          <w:lang w:val="en-US" w:eastAsia="zh-CN"/>
        </w:rPr>
        <w:t>5447.489393</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%。如图所示：</w:t>
      </w:r>
      <w:r>
        <w:drawing>
          <wp:anchor distT="0" distB="0" distL="114300" distR="114300" simplePos="0" relativeHeight="251687936" behindDoc="1" locked="0" layoutInCell="1" allowOverlap="1">
            <wp:simplePos x="0" y="0"/>
            <wp:positionH relativeFrom="column">
              <wp:posOffset>281940</wp:posOffset>
            </wp:positionH>
            <wp:positionV relativeFrom="paragraph">
              <wp:posOffset>964565</wp:posOffset>
            </wp:positionV>
            <wp:extent cx="4572000" cy="2762250"/>
            <wp:effectExtent l="4445" t="4445" r="14605" b="14605"/>
            <wp:wrapThrough wrapText="bothSides">
              <wp:wrapPolygon>
                <wp:start x="-21" y="-35"/>
                <wp:lineTo x="-21" y="21565"/>
                <wp:lineTo x="21579" y="21565"/>
                <wp:lineTo x="21579" y="-35"/>
                <wp:lineTo x="-21" y="-35"/>
              </wp:wrapPolygon>
            </wp:wrapThrough>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r>
        <w:pict>
          <v:group id="_x0000_s1076" o:spid="_x0000_s1076" o:spt="203" style="position:absolute;left:0pt;margin-left:73.8pt;margin-top:8.3pt;height:247.35pt;width:303.05pt;z-index:251670528;mso-width-relative:page;mso-height-relative:page;" coordorigin="6817,180097" coordsize="5156,3244203" o:gfxdata="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6jJggdkA&#10;AAAKAQAADwAAAAAAAAABACAAAAAiAAAAZHJzL2Rvd25yZXYueG1sUEsBAhQAFAAAAAgAh07iQEIi&#10;QI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8" o:spid="_x0000_s1078" o:spt="75" type="#_x0000_t75" style="position:absolute;left:6817;top:180097;height:2850;width:5156;"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path/>
              <v:fill on="f" focussize="0,0"/>
              <v:stroke on="f" joinstyle="miter"/>
              <v:imagedata r:id="rId9" cropleft="2131f" croptop="1490f" cropright="1218f" cropbottom="5217f" o:title=""/>
              <o:lock v:ext="edit" aspectratio="t"/>
            </v:shape>
            <v:shape id="_x0000_s1077" o:spid="_x0000_s1077" o:spt="202" type="#_x0000_t202" style="position:absolute;left:7658;top:182920;height:421;width:3303;" fillcolor="#FFFFFF" filled="t"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path/>
              <v:fill on="t" focussize="0,0"/>
              <v:stroke on="f" weight="0.5pt" joinstyle="miter"/>
              <v:imagedata o:title=""/>
              <o:lock v:ext="edit"/>
              <v:textbox>
                <w:txbxContent>
                  <w:p w14:paraId="0BBAA5F0">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14:paraId="2B0FC4B4">
                    <w:pPr>
                      <w:rPr>
                        <w:sz w:val="20"/>
                        <w:szCs w:val="22"/>
                      </w:rPr>
                    </w:pPr>
                  </w:p>
                </w:txbxContent>
              </v:textbox>
            </v:shape>
          </v:group>
        </w:pict>
      </w:r>
    </w:p>
    <w:p w14:paraId="5805E1E5">
      <w:pPr>
        <w:adjustRightInd w:val="0"/>
        <w:snapToGrid w:val="0"/>
        <w:spacing w:after="0" w:line="580" w:lineRule="exact"/>
        <w:ind w:firstLine="1920" w:firstLineChars="600"/>
        <w:rPr>
          <w:rFonts w:ascii="仿宋_GB2312" w:eastAsia="仿宋_GB2312" w:cs="DengXian-Regular"/>
          <w:sz w:val="32"/>
          <w:szCs w:val="32"/>
        </w:rPr>
      </w:pPr>
    </w:p>
    <w:p w14:paraId="049357F5">
      <w:pPr>
        <w:adjustRightInd w:val="0"/>
        <w:snapToGrid w:val="0"/>
        <w:spacing w:after="0" w:line="580" w:lineRule="exact"/>
        <w:ind w:firstLine="1920" w:firstLineChars="600"/>
        <w:rPr>
          <w:rFonts w:ascii="仿宋_GB2312" w:eastAsia="仿宋_GB2312" w:cs="DengXian-Regular"/>
          <w:sz w:val="32"/>
          <w:szCs w:val="32"/>
        </w:rPr>
      </w:pPr>
    </w:p>
    <w:p w14:paraId="415D12F1">
      <w:pPr>
        <w:adjustRightInd w:val="0"/>
        <w:snapToGrid w:val="0"/>
        <w:spacing w:after="0" w:line="580" w:lineRule="exact"/>
        <w:ind w:firstLine="1920" w:firstLineChars="600"/>
        <w:rPr>
          <w:rFonts w:ascii="仿宋_GB2312" w:eastAsia="仿宋_GB2312" w:cs="DengXian-Regular"/>
          <w:sz w:val="32"/>
          <w:szCs w:val="32"/>
        </w:rPr>
      </w:pPr>
    </w:p>
    <w:p w14:paraId="341A7F30">
      <w:pPr>
        <w:pStyle w:val="3"/>
        <w:spacing w:before="0" w:after="0" w:line="580" w:lineRule="exact"/>
        <w:ind w:firstLine="643" w:firstLineChars="200"/>
        <w:rPr>
          <w:rFonts w:ascii="黑体" w:eastAsia="黑体"/>
        </w:rPr>
      </w:pPr>
    </w:p>
    <w:p w14:paraId="479564BE">
      <w:pPr>
        <w:pStyle w:val="3"/>
        <w:spacing w:before="0" w:after="0" w:line="580" w:lineRule="exact"/>
        <w:ind w:firstLine="643" w:firstLineChars="200"/>
        <w:rPr>
          <w:rFonts w:ascii="黑体" w:eastAsia="黑体"/>
        </w:rPr>
      </w:pPr>
    </w:p>
    <w:p w14:paraId="77864CEA">
      <w:pPr>
        <w:pStyle w:val="3"/>
        <w:spacing w:before="0" w:after="0" w:line="580" w:lineRule="exact"/>
        <w:ind w:firstLine="643" w:firstLineChars="200"/>
        <w:rPr>
          <w:rFonts w:ascii="黑体" w:eastAsia="黑体"/>
        </w:rPr>
      </w:pPr>
    </w:p>
    <w:p w14:paraId="26C73CB1">
      <w:pPr>
        <w:pStyle w:val="3"/>
        <w:spacing w:before="0" w:after="0" w:line="580" w:lineRule="exact"/>
        <w:ind w:firstLine="640" w:firstLineChars="200"/>
        <w:rPr>
          <w:rFonts w:ascii="黑体" w:eastAsia="黑体"/>
          <w:b w:val="0"/>
          <w:bCs w:val="0"/>
        </w:rPr>
      </w:pPr>
    </w:p>
    <w:p w14:paraId="2D14A89D">
      <w:pPr>
        <w:pStyle w:val="3"/>
        <w:spacing w:before="0" w:after="0" w:line="580" w:lineRule="exact"/>
        <w:ind w:firstLine="640" w:firstLineChars="200"/>
        <w:rPr>
          <w:rFonts w:hint="eastAsia" w:ascii="黑体" w:eastAsia="黑体"/>
          <w:b w:val="0"/>
          <w:bCs w:val="0"/>
        </w:rPr>
      </w:pPr>
    </w:p>
    <w:p w14:paraId="4C8BEB11">
      <w:pPr>
        <w:pStyle w:val="3"/>
        <w:spacing w:before="0" w:after="0" w:line="580" w:lineRule="exact"/>
        <w:ind w:firstLine="640" w:firstLineChars="200"/>
        <w:rPr>
          <w:rFonts w:hint="eastAsia" w:ascii="黑体" w:eastAsia="黑体"/>
          <w:b w:val="0"/>
          <w:bCs w:val="0"/>
        </w:rPr>
      </w:pPr>
    </w:p>
    <w:p w14:paraId="6066E828">
      <w:pPr>
        <w:pStyle w:val="3"/>
        <w:spacing w:before="0" w:after="0" w:line="580" w:lineRule="exact"/>
        <w:ind w:firstLine="640" w:firstLineChars="200"/>
        <w:rPr>
          <w:rFonts w:hint="eastAsia" w:ascii="黑体" w:eastAsia="黑体"/>
          <w:b w:val="0"/>
          <w:bCs w:val="0"/>
        </w:rPr>
      </w:pPr>
    </w:p>
    <w:p w14:paraId="74EC67DE">
      <w:pPr>
        <w:pStyle w:val="3"/>
        <w:spacing w:before="0" w:after="0" w:line="580" w:lineRule="exact"/>
        <w:ind w:firstLine="640" w:firstLineChars="200"/>
        <w:rPr>
          <w:rFonts w:hint="eastAsia" w:ascii="黑体" w:eastAsia="黑体"/>
          <w:b w:val="0"/>
          <w:bCs w:val="0"/>
        </w:rPr>
      </w:pPr>
    </w:p>
    <w:p w14:paraId="1DFD19AE">
      <w:pPr>
        <w:rPr>
          <w:rFonts w:hint="eastAsia"/>
        </w:rPr>
      </w:pPr>
    </w:p>
    <w:p w14:paraId="76DCAA07">
      <w:pPr>
        <w:pStyle w:val="3"/>
        <w:spacing w:before="0" w:after="0" w:line="580" w:lineRule="exact"/>
        <w:ind w:firstLine="640" w:firstLineChars="200"/>
        <w:rPr>
          <w:rFonts w:hint="eastAsia" w:ascii="黑体" w:eastAsia="黑体"/>
          <w:b w:val="0"/>
          <w:bCs w:val="0"/>
        </w:rPr>
      </w:pPr>
    </w:p>
    <w:p w14:paraId="18EA7C84">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14:paraId="04FCB7EB">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w:t>
      </w:r>
      <w:r>
        <w:rPr>
          <w:rFonts w:hint="eastAsia" w:ascii="仿宋_GB2312" w:hAnsi="仿宋_GB2312" w:eastAsia="仿宋_GB2312" w:cs="仿宋_GB2312"/>
          <w:sz w:val="32"/>
          <w:szCs w:val="32"/>
          <w:lang w:val="en-US" w:eastAsia="zh-CN"/>
        </w:rPr>
        <w:t>5447.489393</w:t>
      </w:r>
      <w:r>
        <w:rPr>
          <w:rFonts w:hint="eastAsia" w:ascii="仿宋_GB2312" w:eastAsia="仿宋_GB2312" w:cs="DengXian-Regular"/>
          <w:sz w:val="32"/>
          <w:szCs w:val="32"/>
        </w:rPr>
        <w:t>万元，其中：基本支出</w:t>
      </w:r>
      <w:r>
        <w:rPr>
          <w:rFonts w:hint="eastAsia" w:ascii="仿宋_GB2312" w:eastAsia="仿宋_GB2312"/>
          <w:sz w:val="32"/>
          <w:szCs w:val="32"/>
          <w:lang w:val="en-US" w:eastAsia="zh-CN"/>
        </w:rPr>
        <w:t>5382.369393</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98.8</w:t>
      </w:r>
      <w:r>
        <w:rPr>
          <w:rFonts w:hint="eastAsia" w:ascii="仿宋_GB2312" w:eastAsia="仿宋_GB2312" w:cs="DengXian-Regular"/>
          <w:sz w:val="32"/>
          <w:szCs w:val="32"/>
        </w:rPr>
        <w:t>%；项目支出</w:t>
      </w:r>
      <w:r>
        <w:rPr>
          <w:rFonts w:hint="eastAsia" w:ascii="仿宋_GB2312" w:eastAsia="仿宋_GB2312"/>
          <w:sz w:val="32"/>
          <w:szCs w:val="32"/>
          <w:lang w:val="en-US" w:eastAsia="zh-CN"/>
        </w:rPr>
        <w:t>65.12</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1.2</w:t>
      </w:r>
      <w:r>
        <w:rPr>
          <w:rFonts w:hint="eastAsia" w:ascii="仿宋_GB2312" w:eastAsia="仿宋_GB2312" w:cs="DengXian-Regular"/>
          <w:sz w:val="32"/>
          <w:szCs w:val="32"/>
        </w:rPr>
        <w:t>%。如图所示：</w:t>
      </w:r>
    </w:p>
    <w:p w14:paraId="46DB8142">
      <w:pPr>
        <w:adjustRightInd w:val="0"/>
        <w:snapToGrid w:val="0"/>
        <w:spacing w:after="0" w:line="580" w:lineRule="exact"/>
        <w:ind w:firstLine="1260" w:firstLineChars="600"/>
        <w:rPr>
          <w:rFonts w:ascii="仿宋_GB2312" w:eastAsia="仿宋_GB2312" w:cs="DengXian-Regular"/>
          <w:sz w:val="32"/>
          <w:szCs w:val="32"/>
        </w:rPr>
      </w:pPr>
      <w:r>
        <w:pict>
          <v:group id="_x0000_s1073" o:spid="_x0000_s1073" o:spt="203" style="position:absolute;left:0pt;margin-left:59.55pt;margin-top:6.75pt;height:230.55pt;width:274.45pt;z-index:-251646976;mso-width-relative:page;mso-height-relative:page;" coordorigin="7032,190738" coordsize="4600,3607203"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5" o:spid="_x0000_s1075" o:spt="75" type="#_x0000_t75" style="position:absolute;left:7032;top:190738;height:2947;width:4600;"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9" cropleft="2131f" croptop="1490f" cropright="1218f" cropbottom="5217f" o:title=""/>
              <o:lock v:ext="edit" aspectratio="t"/>
            </v:shape>
            <v:shape id="_x0000_s1074" o:spid="_x0000_s1074" o:spt="202" type="#_x0000_t202" style="position:absolute;left:7289;top:193685;height:660;width:4169;"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on="t" focussize="0,0"/>
              <v:stroke on="f" weight="0.5pt" joinstyle="miter"/>
              <v:imagedata o:title=""/>
              <o:lock v:ext="edit"/>
              <v:textbox>
                <w:txbxContent>
                  <w:p w14:paraId="7AB4CD21">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14:paraId="68C9BBED">
                    <w:pPr>
                      <w:rPr>
                        <w:sz w:val="20"/>
                        <w:szCs w:val="22"/>
                      </w:rPr>
                    </w:pPr>
                  </w:p>
                </w:txbxContent>
              </v:textbox>
            </v:shape>
          </v:group>
        </w:pict>
      </w:r>
    </w:p>
    <w:p w14:paraId="44A6935D">
      <w:pPr>
        <w:adjustRightInd w:val="0"/>
        <w:snapToGrid w:val="0"/>
        <w:spacing w:after="0" w:line="580" w:lineRule="exact"/>
        <w:ind w:firstLine="1260" w:firstLineChars="600"/>
        <w:rPr>
          <w:rFonts w:ascii="仿宋_GB2312" w:eastAsia="仿宋_GB2312" w:cs="DengXian-Regular"/>
          <w:sz w:val="32"/>
          <w:szCs w:val="32"/>
        </w:rPr>
      </w:pPr>
      <w:r>
        <w:drawing>
          <wp:anchor distT="0" distB="0" distL="114300" distR="114300" simplePos="0" relativeHeight="251691008" behindDoc="1" locked="0" layoutInCell="1" allowOverlap="1">
            <wp:simplePos x="0" y="0"/>
            <wp:positionH relativeFrom="column">
              <wp:posOffset>458470</wp:posOffset>
            </wp:positionH>
            <wp:positionV relativeFrom="paragraph">
              <wp:posOffset>337820</wp:posOffset>
            </wp:positionV>
            <wp:extent cx="4591050" cy="2762250"/>
            <wp:effectExtent l="4445" t="4445" r="14605" b="14605"/>
            <wp:wrapTight wrapText="bothSides">
              <wp:wrapPolygon>
                <wp:start x="-21" y="-35"/>
                <wp:lineTo x="-21" y="21565"/>
                <wp:lineTo x="21579" y="21565"/>
                <wp:lineTo x="21579" y="-35"/>
                <wp:lineTo x="-21" y="-35"/>
              </wp:wrapPolygon>
            </wp:wrapTight>
            <wp:docPr id="1" name="图表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Pr>
          <w:sz w:val="44"/>
        </w:rPr>
        <w:pict>
          <v:group id="_x0000_s1070" o:spid="_x0000_s1070" o:spt="203" style="position:absolute;left:0pt;margin-left:-0.55pt;margin-top:29.3pt;height:43.95pt;width:301.85pt;mso-position-horizontal-relative:page;mso-position-vertical-relative:page;z-index:25167667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o:lock v:ext="edit"/>
            <v:rect id="矩形 13" o:spid="_x0000_s1072" o:spt="1" style="position:absolute;left:4551;top:52615;height:1175;width:8546;v-text-anchor:middle;" fillcolor="#D9D9D9"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71"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path/>
              <v:fill on="t" focussize="0,0"/>
              <v:stroke weight="2pt" color="#B0761F" joinstyle="round"/>
              <v:imagedata o:title=""/>
              <o:lock v:ext="edit"/>
              <v:textbox>
                <w:txbxContent>
                  <w:p w14:paraId="15CA728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077FE76">
                    <w:pPr>
                      <w:jc w:val="center"/>
                    </w:pPr>
                  </w:p>
                </w:txbxContent>
              </v:textbox>
            </v:rect>
            <w10:anchorlock/>
          </v:group>
        </w:pict>
      </w:r>
    </w:p>
    <w:p w14:paraId="2F9067D7">
      <w:pPr>
        <w:adjustRightInd w:val="0"/>
        <w:snapToGrid w:val="0"/>
        <w:spacing w:after="0" w:line="580" w:lineRule="exact"/>
        <w:ind w:firstLine="1920" w:firstLineChars="600"/>
        <w:rPr>
          <w:rFonts w:ascii="仿宋_GB2312" w:eastAsia="仿宋_GB2312" w:cs="DengXian-Regular"/>
          <w:sz w:val="32"/>
          <w:szCs w:val="32"/>
        </w:rPr>
      </w:pPr>
    </w:p>
    <w:p w14:paraId="4E01491A">
      <w:pPr>
        <w:pStyle w:val="3"/>
        <w:spacing w:before="0" w:after="0" w:line="580" w:lineRule="exact"/>
        <w:ind w:firstLine="643" w:firstLineChars="200"/>
        <w:rPr>
          <w:rFonts w:ascii="黑体" w:eastAsia="黑体"/>
        </w:rPr>
      </w:pPr>
    </w:p>
    <w:p w14:paraId="4E94A0C5">
      <w:pPr>
        <w:pStyle w:val="3"/>
        <w:spacing w:before="0" w:after="0" w:line="580" w:lineRule="exact"/>
        <w:ind w:firstLine="643" w:firstLineChars="200"/>
        <w:rPr>
          <w:rFonts w:ascii="黑体" w:eastAsia="黑体"/>
        </w:rPr>
      </w:pPr>
    </w:p>
    <w:p w14:paraId="04A5C963">
      <w:pPr>
        <w:pStyle w:val="3"/>
        <w:spacing w:before="0" w:after="0" w:line="580" w:lineRule="exact"/>
        <w:ind w:firstLine="643" w:firstLineChars="200"/>
        <w:rPr>
          <w:rFonts w:ascii="黑体" w:eastAsia="黑体"/>
        </w:rPr>
      </w:pPr>
    </w:p>
    <w:p w14:paraId="6A8D1B21">
      <w:pPr>
        <w:pStyle w:val="3"/>
        <w:spacing w:before="0" w:after="0" w:line="580" w:lineRule="exact"/>
        <w:ind w:firstLine="640" w:firstLineChars="200"/>
        <w:rPr>
          <w:rFonts w:ascii="黑体" w:eastAsia="黑体"/>
          <w:b w:val="0"/>
          <w:bCs w:val="0"/>
        </w:rPr>
      </w:pPr>
    </w:p>
    <w:p w14:paraId="3F6F3F1E">
      <w:pPr>
        <w:pStyle w:val="3"/>
        <w:spacing w:before="0" w:after="0" w:line="580" w:lineRule="exact"/>
        <w:ind w:firstLine="640" w:firstLineChars="200"/>
        <w:rPr>
          <w:rFonts w:ascii="黑体" w:eastAsia="黑体"/>
          <w:b w:val="0"/>
          <w:bCs w:val="0"/>
        </w:rPr>
      </w:pPr>
    </w:p>
    <w:p w14:paraId="1E366159">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14:paraId="35D87BFC">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14:paraId="3DE7F588">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w:t>
      </w:r>
      <w:r>
        <w:rPr>
          <w:rFonts w:hint="eastAsia" w:ascii="仿宋_GB2312" w:hAnsi="仿宋_GB2312" w:eastAsia="仿宋_GB2312" w:cs="仿宋_GB2312"/>
          <w:sz w:val="32"/>
          <w:szCs w:val="32"/>
          <w:lang w:val="en-US" w:eastAsia="zh-CN"/>
        </w:rPr>
        <w:t>5447.489393</w:t>
      </w:r>
      <w:r>
        <w:rPr>
          <w:rFonts w:hint="eastAsia" w:ascii="仿宋_GB2312" w:eastAsia="仿宋_GB2312" w:cs="DengXian-Regular"/>
          <w:sz w:val="32"/>
          <w:szCs w:val="32"/>
        </w:rPr>
        <w:t>万元,比2017年度增加</w:t>
      </w:r>
      <w:r>
        <w:rPr>
          <w:rFonts w:hint="eastAsia" w:ascii="仿宋_GB2312" w:hAnsi="仿宋_GB2312" w:eastAsia="仿宋_GB2312" w:cs="仿宋_GB2312"/>
          <w:sz w:val="32"/>
          <w:szCs w:val="32"/>
          <w:lang w:val="en-US" w:eastAsia="zh-CN"/>
        </w:rPr>
        <w:t>918.489393</w:t>
      </w:r>
      <w:r>
        <w:rPr>
          <w:rFonts w:hint="eastAsia" w:ascii="仿宋_GB2312" w:eastAsia="仿宋_GB2312" w:cs="DengXian-Regular"/>
          <w:sz w:val="32"/>
          <w:szCs w:val="32"/>
        </w:rPr>
        <w:t>万元，增长</w:t>
      </w:r>
      <w:r>
        <w:rPr>
          <w:rFonts w:hint="eastAsia" w:ascii="仿宋_GB2312" w:hAnsi="仿宋_GB2312" w:eastAsia="仿宋_GB2312" w:cs="仿宋_GB2312"/>
          <w:sz w:val="32"/>
          <w:szCs w:val="32"/>
          <w:lang w:val="en-US" w:eastAsia="zh-CN"/>
        </w:rPr>
        <w:t>20.28</w:t>
      </w:r>
      <w:r>
        <w:rPr>
          <w:rFonts w:hint="eastAsia" w:ascii="仿宋_GB2312" w:hAnsi="仿宋_GB2312" w:eastAsia="仿宋_GB2312" w:cs="仿宋_GB2312"/>
          <w:sz w:val="32"/>
          <w:szCs w:val="32"/>
        </w:rPr>
        <w:t>%</w:t>
      </w:r>
      <w:r>
        <w:rPr>
          <w:rFonts w:hint="eastAsia" w:ascii="仿宋_GB2312" w:eastAsia="仿宋_GB2312" w:cs="DengXian-Regular"/>
          <w:sz w:val="32"/>
          <w:szCs w:val="32"/>
        </w:rPr>
        <w:t>；本年支出</w:t>
      </w:r>
      <w:r>
        <w:rPr>
          <w:rFonts w:hint="eastAsia" w:ascii="仿宋_GB2312" w:hAnsi="仿宋_GB2312" w:eastAsia="仿宋_GB2312" w:cs="仿宋_GB2312"/>
          <w:sz w:val="32"/>
          <w:szCs w:val="32"/>
          <w:lang w:val="en-US" w:eastAsia="zh-CN"/>
        </w:rPr>
        <w:t>5447.489393</w:t>
      </w:r>
      <w:r>
        <w:rPr>
          <w:rFonts w:hint="eastAsia" w:ascii="仿宋_GB2312" w:eastAsia="仿宋_GB2312" w:cs="DengXian-Regular"/>
          <w:sz w:val="32"/>
          <w:szCs w:val="32"/>
        </w:rPr>
        <w:t>万元，增加</w:t>
      </w:r>
      <w:r>
        <w:rPr>
          <w:rFonts w:hint="eastAsia" w:ascii="仿宋_GB2312" w:hAnsi="仿宋_GB2312" w:eastAsia="仿宋_GB2312" w:cs="仿宋_GB2312"/>
          <w:sz w:val="32"/>
          <w:szCs w:val="32"/>
          <w:lang w:val="en-US" w:eastAsia="zh-CN"/>
        </w:rPr>
        <w:t>918.489393</w:t>
      </w:r>
      <w:r>
        <w:rPr>
          <w:rFonts w:hint="eastAsia" w:ascii="仿宋_GB2312" w:eastAsia="仿宋_GB2312" w:cs="DengXian-Regular"/>
          <w:sz w:val="32"/>
          <w:szCs w:val="32"/>
        </w:rPr>
        <w:t>万元，增长</w:t>
      </w:r>
      <w:r>
        <w:rPr>
          <w:rFonts w:hint="eastAsia" w:ascii="仿宋_GB2312" w:hAnsi="仿宋_GB2312" w:eastAsia="仿宋_GB2312" w:cs="仿宋_GB2312"/>
          <w:sz w:val="32"/>
          <w:szCs w:val="32"/>
          <w:lang w:val="en-US" w:eastAsia="zh-CN"/>
        </w:rPr>
        <w:t>20.28</w:t>
      </w:r>
      <w:r>
        <w:rPr>
          <w:rFonts w:hint="eastAsia" w:ascii="仿宋_GB2312" w:hAnsi="仿宋_GB2312" w:eastAsia="仿宋_GB2312" w:cs="仿宋_GB2312"/>
          <w:sz w:val="32"/>
          <w:szCs w:val="32"/>
        </w:rPr>
        <w:t>%</w:t>
      </w:r>
      <w:r>
        <w:rPr>
          <w:rFonts w:hint="eastAsia" w:ascii="仿宋_GB2312" w:eastAsia="仿宋_GB2312" w:cs="DengXian-Regular"/>
          <w:sz w:val="32"/>
          <w:szCs w:val="32"/>
        </w:rPr>
        <w:t>，主要是</w:t>
      </w:r>
      <w:r>
        <w:rPr>
          <w:rFonts w:hint="eastAsia" w:ascii="仿宋_GB2312" w:eastAsia="仿宋_GB2312"/>
          <w:sz w:val="32"/>
          <w:szCs w:val="32"/>
        </w:rPr>
        <w:t>增人增资、业务活动支出增加</w:t>
      </w:r>
      <w:r>
        <w:rPr>
          <w:rFonts w:hint="eastAsia" w:ascii="仿宋_GB2312" w:eastAsia="仿宋_GB2312" w:cs="DengXian-Regular"/>
          <w:sz w:val="32"/>
          <w:szCs w:val="32"/>
        </w:rPr>
        <w:t>。</w:t>
      </w:r>
      <w:r>
        <w:pict>
          <v:group id="_x0000_s1064" o:spid="_x0000_s1064" o:spt="203" style="position:absolute;left:0pt;margin-left:51.25pt;margin-top:13.45pt;height:210.05pt;width:331.1pt;z-index:-251627520;mso-width-relative:page;mso-height-relative:page;" coordorigin="6151,199960" coordsize="6345,4048203" o:gfxdata="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">
            <o:lock v:ext="edit"/>
            <v:shape id="图片 3" o:spid="_x0000_s1066" o:spt="75" type="#_x0000_t75" style="position:absolute;left:6532;top:199960;height:3271;width:5714;" filled="f" o:preferrelative="t" stroked="f" coordsize="21600,21600" o:gfxdata="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LpERvQAA&#10;ANsAAAAPAAAAAAAAAAEAIAAAACIAAABkcnMvZG93bnJldi54bWxQSwECFAAUAAAACACHTuJAMy8F&#10;njsAAAA5AAAAEAAAAAAAAAABACAAAAAMAQAAZHJzL3NoYXBleG1sLnhtbFBLBQYAAAAABgAGAFsB&#10;AAC2AwAAAAA=&#10;">
              <v:path/>
              <v:fill on="f" focussize="0,0"/>
              <v:stroke on="f" joinstyle="miter"/>
              <v:imagedata r:id="rId11" o:title=""/>
              <o:lock v:ext="edit" aspectratio="t"/>
            </v:shape>
            <v:shape id="_x0000_s1065" o:spid="_x0000_s1065" o:spt="202" type="#_x0000_t202" style="position:absolute;left:6151;top:203196;height:812;width:6345;" fillcolor="#FFFFFF" filled="t" stroked="f" coordsize="21600,21600"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v:path/>
              <v:fill on="t" focussize="0,0"/>
              <v:stroke on="f" weight="0.5pt" joinstyle="miter"/>
              <v:imagedata o:title=""/>
              <o:lock v:ext="edit"/>
              <v:textbox>
                <w:txbxContent>
                  <w:p w14:paraId="1F2CB608">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14:paraId="623305ED">
                    <w:pPr>
                      <w:rPr>
                        <w:sz w:val="20"/>
                        <w:szCs w:val="22"/>
                      </w:rPr>
                    </w:pPr>
                  </w:p>
                </w:txbxContent>
              </v:textbox>
            </v:shape>
          </v:group>
        </w:pict>
      </w:r>
    </w:p>
    <w:p w14:paraId="77E80B6A">
      <w:pPr>
        <w:bidi w:val="0"/>
        <w:ind w:firstLine="263" w:firstLineChars="0"/>
        <w:jc w:val="left"/>
        <w:rPr>
          <w:rFonts w:ascii="Times New Roman" w:hAnsi="Times New Roman" w:eastAsia="宋体" w:cs="Times New Roman"/>
          <w:kern w:val="2"/>
          <w:sz w:val="21"/>
          <w:szCs w:val="24"/>
          <w:lang w:val="en-US" w:eastAsia="zh-CN" w:bidi="ar-SA"/>
        </w:rPr>
      </w:pPr>
      <w:r>
        <w:drawing>
          <wp:inline distT="0" distB="0" distL="114300" distR="114300">
            <wp:extent cx="4572000" cy="2219960"/>
            <wp:effectExtent l="4445" t="4445" r="14605" b="23495"/>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A5552B4">
      <w:pPr>
        <w:spacing w:after="0" w:line="580" w:lineRule="exact"/>
        <w:rPr>
          <w:rFonts w:hint="eastAsia" w:ascii="楷体_GB2312" w:eastAsia="楷体_GB2312" w:cs="DengXian-Bold"/>
          <w:b/>
          <w:bCs/>
          <w:sz w:val="32"/>
          <w:szCs w:val="32"/>
        </w:rPr>
      </w:pPr>
    </w:p>
    <w:p w14:paraId="4FB8F453">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14:paraId="04A83FEF">
      <w:pPr>
        <w:adjustRightInd w:val="0"/>
        <w:snapToGrid w:val="0"/>
        <w:spacing w:after="0" w:line="58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rPr>
        <w:t>本部门2018年度一般公共预算财政拨款收入</w:t>
      </w:r>
      <w:r>
        <w:rPr>
          <w:rFonts w:hint="eastAsia" w:ascii="仿宋_GB2312" w:hAnsi="仿宋_GB2312" w:eastAsia="仿宋_GB2312" w:cs="仿宋_GB2312"/>
          <w:sz w:val="32"/>
          <w:szCs w:val="32"/>
          <w:lang w:val="en-US" w:eastAsia="zh-CN"/>
        </w:rPr>
        <w:t>5447.489393</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99.22</w:t>
      </w:r>
      <w:r>
        <w:rPr>
          <w:rFonts w:hint="eastAsia" w:ascii="仿宋_GB2312" w:eastAsia="仿宋_GB2312" w:cs="DengXian-Regular"/>
          <w:sz w:val="32"/>
          <w:szCs w:val="32"/>
        </w:rPr>
        <w:t>%,比年初预算减少</w:t>
      </w:r>
      <w:r>
        <w:rPr>
          <w:rFonts w:hint="eastAsia" w:ascii="仿宋_GB2312" w:hAnsi="仿宋" w:eastAsia="仿宋_GB2312"/>
          <w:sz w:val="32"/>
          <w:szCs w:val="32"/>
          <w:lang w:val="en-US" w:eastAsia="zh-CN"/>
        </w:rPr>
        <w:t>42.720607</w:t>
      </w:r>
      <w:r>
        <w:rPr>
          <w:rFonts w:hint="eastAsia" w:ascii="仿宋_GB2312" w:eastAsia="仿宋_GB2312" w:cs="DengXian-Regular"/>
          <w:sz w:val="32"/>
          <w:szCs w:val="32"/>
        </w:rPr>
        <w:t>万元，决算数小于预算数主要原因是</w:t>
      </w:r>
      <w:r>
        <w:rPr>
          <w:rFonts w:hint="eastAsia" w:ascii="仿宋_GB2312" w:eastAsia="仿宋_GB2312" w:cs="DengXian-Regular"/>
          <w:sz w:val="32"/>
          <w:szCs w:val="32"/>
          <w:lang w:eastAsia="zh-CN"/>
        </w:rPr>
        <w:t>严格参照预算执行</w:t>
      </w:r>
      <w:r>
        <w:rPr>
          <w:rFonts w:hint="eastAsia" w:ascii="仿宋_GB2312" w:eastAsia="仿宋_GB2312" w:cs="DengXian-Regular"/>
          <w:sz w:val="32"/>
          <w:szCs w:val="32"/>
        </w:rPr>
        <w:t>；本年支出</w:t>
      </w:r>
      <w:r>
        <w:rPr>
          <w:rFonts w:hint="eastAsia" w:ascii="仿宋_GB2312" w:hAnsi="仿宋_GB2312" w:eastAsia="仿宋_GB2312" w:cs="仿宋_GB2312"/>
          <w:sz w:val="32"/>
          <w:szCs w:val="32"/>
          <w:lang w:val="en-US" w:eastAsia="zh-CN"/>
        </w:rPr>
        <w:t>5447.489393</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99.22</w:t>
      </w:r>
      <w:r>
        <w:rPr>
          <w:rFonts w:hint="eastAsia" w:ascii="仿宋_GB2312" w:eastAsia="仿宋_GB2312" w:cs="DengXian-Regular"/>
          <w:sz w:val="32"/>
          <w:szCs w:val="32"/>
        </w:rPr>
        <w:t>%,比年初预算减少</w:t>
      </w:r>
      <w:r>
        <w:rPr>
          <w:rFonts w:hint="eastAsia" w:ascii="仿宋_GB2312" w:hAnsi="仿宋" w:eastAsia="仿宋_GB2312"/>
          <w:sz w:val="32"/>
          <w:szCs w:val="32"/>
          <w:lang w:val="en-US" w:eastAsia="zh-CN"/>
        </w:rPr>
        <w:t>42.720607</w:t>
      </w:r>
      <w:r>
        <w:rPr>
          <w:rFonts w:hint="eastAsia" w:ascii="仿宋_GB2312" w:eastAsia="仿宋_GB2312" w:cs="DengXian-Regular"/>
          <w:sz w:val="32"/>
          <w:szCs w:val="32"/>
        </w:rPr>
        <w:t>万元，决算数小</w:t>
      </w:r>
      <w:r>
        <w:rPr>
          <w:sz w:val="44"/>
        </w:rPr>
        <w:pict>
          <v:group id="_x0000_s1061" o:spid="_x0000_s1061" o:spt="203" style="position:absolute;left:0pt;margin-left:-0.55pt;margin-top:29.3pt;height:43.95pt;width:301.85pt;mso-position-horizontal-relative:page;mso-position-vertical-relative:page;z-index:251677696;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En7KztsAAAALAQAADwAAAAAAAAAB&#10;ACAAAAAiAAAAZHJzL2Rvd25yZXYueG1sUEsBAhQAFAAAAAgAh07iQHsbYhEqAwAA7ggAAA4AAAAA&#10;AAAAAQAgAAAAKgEAAGRycy9lMm9Eb2MueG1sUEsFBgAAAAAGAAYAWQEAAMYGAAAAAA==&#10;">
            <o:lock v:ext="edit"/>
            <v:rect id="矩形 13" o:spid="_x0000_s1063" o:spt="1" style="position:absolute;left:4551;top:52615;height:1175;width:8546;v-text-anchor:middle;" fillcolor="#D9D9D9" filled="t" stroked="f" coordsize="21600,21600" o:gfxdata="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sn/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62" o:spt="1" style="position:absolute;left:4577;top:52890;height:1123;width:8324;v-text-anchor:middle;" fillcolor="#AD002D" filled="t" stroked="t" coordsize="21600,21600" o:gfxdata="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EdMGbu2AAAA2wAAAA8A&#10;AAAAAAAAAQAgAAAAIgAAAGRycy9kb3ducmV2LnhtbFBLAQIUABQAAAAIAIdO4kAzLwWeOwAAADkA&#10;AAAQAAAAAAAAAAEAIAAAAAUBAABkcnMvc2hhcGV4bWwueG1sUEsFBgAAAAAGAAYAWwEAAK8DAAAA&#10;AA==&#10;">
              <v:path/>
              <v:fill on="t" focussize="0,0"/>
              <v:stroke weight="2pt" color="#B0761F" joinstyle="round"/>
              <v:imagedata o:title=""/>
              <o:lock v:ext="edit"/>
              <v:textbox>
                <w:txbxContent>
                  <w:p w14:paraId="647C787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6B4B48A1">
                    <w:pPr>
                      <w:jc w:val="center"/>
                    </w:pPr>
                  </w:p>
                </w:txbxContent>
              </v:textbox>
            </v:rect>
            <w10:anchorlock/>
          </v:group>
        </w:pict>
      </w:r>
      <w:r>
        <w:rPr>
          <w:rFonts w:hint="eastAsia" w:ascii="仿宋_GB2312" w:eastAsia="仿宋_GB2312" w:cs="DengXian-Regular"/>
          <w:sz w:val="32"/>
          <w:szCs w:val="32"/>
        </w:rPr>
        <w:t>于预算数主要原因是</w:t>
      </w:r>
      <w:r>
        <w:rPr>
          <w:rFonts w:hint="eastAsia" w:ascii="仿宋_GB2312" w:eastAsia="仿宋_GB2312" w:cs="DengXian-Regular"/>
          <w:sz w:val="32"/>
          <w:szCs w:val="32"/>
          <w:lang w:eastAsia="zh-CN"/>
        </w:rPr>
        <w:t>严格参照预算执行</w:t>
      </w:r>
      <w:r>
        <w:rPr>
          <w:rFonts w:hint="eastAsia" w:ascii="仿宋_GB2312" w:eastAsia="仿宋_GB2312" w:cs="DengXian-Regular"/>
          <w:sz w:val="32"/>
          <w:szCs w:val="32"/>
        </w:rPr>
        <w:t>。</w:t>
      </w:r>
      <w:r>
        <w:pict>
          <v:group id="_x0000_s1058" o:spid="_x0000_s1058" o:spt="203" style="position:absolute;left:0pt;margin-left:45.95pt;margin-top:0.4pt;height:208.2pt;width:343.1pt;z-index:-251626496;mso-width-relative:page;mso-height-relative:page;" coordorigin="5233,225704" coordsize="6344,3850203" o:gfxdata="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iYOvrYAAAAhAQAAGQAAAGRycy9fcmVscy9lMm9E&#10;b2MueG1sLnJlbHOFj0FqwzAQRfeF3EHMPpadRSjFsjeh4G1IDjBIY1nEGglJLfXtI8gmgUCX8z//&#10;PaYf//wqfillF1hB17QgiHUwjq2C6+V7/wkiF2SDa2BSsFGGcdh99GdasdRRXlzMolI4K1hKiV9S&#10;Zr2Qx9yESFybOSSPpZ7Jyoj6hpbkoW2PMj0zYHhhiskoSJPpQFy2WM3/s8M8O02noH88cXmjkM5X&#10;dwVislQUeDIOH2HXRLYgh16+PDbcAV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">
            <o:lock v:ext="edit"/>
            <v:shape id="图片 6" o:spid="_x0000_s1060" o:spt="75" type="#_x0000_t75" style="position:absolute;left:5470;top:225704;height:3353;width:5870;"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path/>
              <v:fill on="f" focussize="0,0"/>
              <v:stroke on="f" joinstyle="miter"/>
              <v:imagedata r:id="rId13" o:title=""/>
              <o:lock v:ext="edit" aspectratio="t"/>
            </v:shape>
            <v:shape id="文本框 28" o:spid="_x0000_s1059" o:spt="202" type="#_x0000_t202" style="position:absolute;left:5233;top:228834;height:720;width:6345;" fillcolor="#FFFFFF" filled="t"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path/>
              <v:fill on="t" focussize="0,0"/>
              <v:stroke on="f" weight="0.5pt" joinstyle="miter"/>
              <v:imagedata o:title=""/>
              <o:lock v:ext="edit"/>
              <v:textbox>
                <w:txbxContent>
                  <w:p w14:paraId="58F217B9">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14:paraId="36860197">
                    <w:pPr>
                      <w:rPr>
                        <w:sz w:val="18"/>
                        <w:szCs w:val="21"/>
                      </w:rPr>
                    </w:pPr>
                  </w:p>
                </w:txbxContent>
              </v:textbox>
            </v:shape>
          </v:group>
        </w:pict>
      </w:r>
    </w:p>
    <w:p w14:paraId="071753E1">
      <w:pPr>
        <w:keepNext w:val="0"/>
        <w:keepLines w:val="0"/>
        <w:pageBreakBefore w:val="0"/>
        <w:widowControl w:val="0"/>
        <w:kinsoku/>
        <w:wordWrap/>
        <w:overflowPunct/>
        <w:topLinePunct w:val="0"/>
        <w:autoSpaceDE/>
        <w:autoSpaceDN/>
        <w:bidi w:val="0"/>
        <w:adjustRightInd w:val="0"/>
        <w:snapToGrid w:val="0"/>
        <w:spacing w:after="0" w:line="240" w:lineRule="auto"/>
        <w:textAlignment w:val="auto"/>
      </w:pPr>
      <w:r>
        <w:drawing>
          <wp:inline distT="0" distB="0" distL="114300" distR="114300">
            <wp:extent cx="4572000" cy="1971675"/>
            <wp:effectExtent l="4445" t="4445" r="14605" b="5080"/>
            <wp:docPr id="5"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C60B6EB">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14:paraId="4535F77F">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w:t>
      </w:r>
      <w:r>
        <w:rPr>
          <w:rFonts w:hint="eastAsia" w:ascii="仿宋_GB2312" w:hAnsi="仿宋_GB2312" w:eastAsia="仿宋_GB2312" w:cs="仿宋_GB2312"/>
          <w:sz w:val="32"/>
          <w:szCs w:val="32"/>
          <w:lang w:val="en-US" w:eastAsia="zh-CN"/>
        </w:rPr>
        <w:t>5447.489393</w:t>
      </w:r>
      <w:r>
        <w:rPr>
          <w:rFonts w:hint="eastAsia" w:ascii="仿宋_GB2312" w:eastAsia="仿宋_GB2312" w:cs="DengXian-Regular"/>
          <w:sz w:val="32"/>
          <w:szCs w:val="32"/>
        </w:rPr>
        <w:t>万元，主要用于以下方面一般公共服务（类）支出</w:t>
      </w:r>
      <w:r>
        <w:rPr>
          <w:rFonts w:hint="eastAsia" w:ascii="仿宋_GB2312" w:eastAsia="仿宋_GB2312" w:cs="DengXian-Regular"/>
          <w:sz w:val="32"/>
          <w:szCs w:val="32"/>
          <w:lang w:val="en-US" w:eastAsia="zh-CN"/>
        </w:rPr>
        <w:t>998.99</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18.34</w:t>
      </w:r>
      <w:r>
        <w:rPr>
          <w:rFonts w:hint="eastAsia" w:ascii="仿宋_GB2312" w:eastAsia="仿宋_GB2312" w:cs="DengXian-Regular"/>
          <w:sz w:val="32"/>
          <w:szCs w:val="32"/>
        </w:rPr>
        <w:t>%；教育（类）支出</w:t>
      </w:r>
      <w:r>
        <w:rPr>
          <w:rFonts w:hint="eastAsia" w:ascii="仿宋_GB2312" w:eastAsia="仿宋_GB2312" w:cs="DengXian-Regular"/>
          <w:sz w:val="32"/>
          <w:szCs w:val="32"/>
          <w:lang w:val="en-US" w:eastAsia="zh-CN"/>
        </w:rPr>
        <w:t>3861.93</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70.89</w:t>
      </w:r>
      <w:r>
        <w:rPr>
          <w:rFonts w:hint="eastAsia" w:ascii="仿宋_GB2312" w:eastAsia="仿宋_GB2312" w:cs="DengXian-Regular"/>
          <w:sz w:val="32"/>
          <w:szCs w:val="32"/>
        </w:rPr>
        <w:t xml:space="preserve">%；社会保障和就业（类）支出 </w:t>
      </w:r>
      <w:r>
        <w:rPr>
          <w:rFonts w:hint="eastAsia" w:ascii="仿宋_GB2312" w:eastAsia="仿宋_GB2312" w:cs="DengXian-Regular"/>
          <w:sz w:val="32"/>
          <w:szCs w:val="32"/>
          <w:lang w:val="en-US" w:eastAsia="zh-CN"/>
        </w:rPr>
        <w:t>573.57</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10.53</w:t>
      </w:r>
      <w:r>
        <w:rPr>
          <w:rFonts w:hint="eastAsia" w:ascii="仿宋_GB2312" w:eastAsia="仿宋_GB2312" w:cs="DengXian-Regular"/>
          <w:sz w:val="32"/>
          <w:szCs w:val="32"/>
        </w:rPr>
        <w:t>%；</w:t>
      </w:r>
      <w:r>
        <w:rPr>
          <w:rFonts w:hint="eastAsia" w:ascii="仿宋_GB2312" w:eastAsia="仿宋_GB2312" w:cs="DengXian-Regular"/>
          <w:sz w:val="32"/>
          <w:szCs w:val="32"/>
          <w:lang w:eastAsia="zh-CN"/>
        </w:rPr>
        <w:t>农林水</w:t>
      </w:r>
      <w:r>
        <w:rPr>
          <w:rFonts w:hint="eastAsia" w:ascii="仿宋_GB2312" w:eastAsia="仿宋_GB2312" w:cs="DengXian-Regular"/>
          <w:sz w:val="32"/>
          <w:szCs w:val="32"/>
        </w:rPr>
        <w:t>支出</w:t>
      </w:r>
      <w:r>
        <w:rPr>
          <w:rFonts w:hint="eastAsia" w:ascii="仿宋_GB2312" w:eastAsia="仿宋_GB2312" w:cs="DengXian-Regular"/>
          <w:sz w:val="32"/>
          <w:szCs w:val="32"/>
          <w:lang w:val="en-US" w:eastAsia="zh-CN"/>
        </w:rPr>
        <w:t>13</w:t>
      </w:r>
      <w:r>
        <w:rPr>
          <w:rFonts w:hint="eastAsia" w:ascii="仿宋_GB2312" w:eastAsia="仿宋_GB2312" w:cs="DengXian-Regular"/>
          <w:sz w:val="32"/>
          <w:szCs w:val="32"/>
        </w:rPr>
        <w:t xml:space="preserve">万元，占 </w:t>
      </w:r>
      <w:r>
        <w:rPr>
          <w:rFonts w:hint="eastAsia" w:ascii="仿宋_GB2312" w:eastAsia="仿宋_GB2312" w:cs="DengXian-Regular"/>
          <w:sz w:val="32"/>
          <w:szCs w:val="32"/>
          <w:lang w:val="en-US" w:eastAsia="zh-CN"/>
        </w:rPr>
        <w:t>0.24</w:t>
      </w:r>
      <w:r>
        <w:rPr>
          <w:rFonts w:hint="eastAsia" w:ascii="仿宋_GB2312" w:eastAsia="仿宋_GB2312" w:cs="DengXian-Regular"/>
          <w:sz w:val="32"/>
          <w:szCs w:val="32"/>
        </w:rPr>
        <w:t>%。</w:t>
      </w:r>
    </w:p>
    <w:p w14:paraId="67B0FCFA">
      <w:pPr>
        <w:keepNext w:val="0"/>
        <w:keepLines w:val="0"/>
        <w:pageBreakBefore w:val="0"/>
        <w:widowControl w:val="0"/>
        <w:kinsoku/>
        <w:wordWrap/>
        <w:overflowPunct/>
        <w:topLinePunct w:val="0"/>
        <w:autoSpaceDE/>
        <w:autoSpaceDN/>
        <w:bidi w:val="0"/>
        <w:adjustRightInd w:val="0"/>
        <w:snapToGrid w:val="0"/>
        <w:spacing w:after="0" w:line="240" w:lineRule="auto"/>
        <w:textAlignment w:val="auto"/>
        <w:rPr>
          <w:rFonts w:ascii="楷体_GB2312" w:eastAsia="楷体_GB2312" w:cs="DengXian-Bold"/>
          <w:b/>
          <w:bCs/>
          <w:sz w:val="32"/>
          <w:szCs w:val="32"/>
        </w:rPr>
      </w:pPr>
      <w:r>
        <w:drawing>
          <wp:inline distT="0" distB="0" distL="114300" distR="114300">
            <wp:extent cx="4572000" cy="2743200"/>
            <wp:effectExtent l="4445" t="4445" r="14605" b="14605"/>
            <wp:docPr id="6"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pict>
          <v:group id="_x0000_s1055" o:spid="_x0000_s1055" o:spt="203" style="position:absolute;left:0pt;margin-left:86.35pt;margin-top:15.9pt;height:195.05pt;width:296.35pt;z-index:-251629568;mso-width-relative:page;mso-height-relative:page;" coordorigin="6921,180284" coordsize="5331,3886203"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o:lock v:ext="edit"/>
            <v:shape id="图片 1" o:spid="_x0000_s1057" o:spt="75" type="#_x0000_t75" style="position:absolute;left:7157;top:180284;height:2988;width:458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path/>
              <v:fill on="f" focussize="0,0"/>
              <v:stroke on="f" joinstyle="miter"/>
              <v:imagedata r:id="rId9" cropleft="2131f" croptop="1490f" cropright="1218f" cropbottom="5217f" o:title=""/>
              <o:lock v:ext="edit" aspectratio="t"/>
            </v:shape>
            <v:shape id="_x0000_s1056" o:spid="_x0000_s1056" o:spt="202" type="#_x0000_t202" style="position:absolute;left:6921;top:183134;height:1036;width:5331;" fillcolor="#FFFFFF" filled="t"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on="t" focussize="0,0"/>
              <v:stroke on="f" weight="0.5pt" joinstyle="miter"/>
              <v:imagedata o:title=""/>
              <o:lock v:ext="edit"/>
              <v:textbox>
                <w:txbxContent>
                  <w:p w14:paraId="766C0939">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14:paraId="7A02FE70">
                    <w:pPr>
                      <w:rPr>
                        <w:sz w:val="20"/>
                        <w:szCs w:val="22"/>
                      </w:rPr>
                    </w:pPr>
                  </w:p>
                </w:txbxContent>
              </v:textbox>
            </v:shape>
          </v:group>
        </w:pict>
      </w:r>
    </w:p>
    <w:p w14:paraId="4EFFB044">
      <w:pPr>
        <w:adjustRightInd w:val="0"/>
        <w:snapToGrid w:val="0"/>
        <w:spacing w:after="0" w:line="580" w:lineRule="exact"/>
        <w:rPr>
          <w:rFonts w:ascii="楷体_GB2312" w:eastAsia="楷体_GB2312" w:cs="DengXian-Bold"/>
          <w:b/>
          <w:bCs/>
          <w:sz w:val="32"/>
          <w:szCs w:val="32"/>
        </w:rPr>
      </w:pPr>
    </w:p>
    <w:p w14:paraId="0C5AC351">
      <w:pPr>
        <w:adjustRightInd w:val="0"/>
        <w:snapToGrid w:val="0"/>
        <w:spacing w:after="0" w:line="580" w:lineRule="exact"/>
        <w:ind w:left="420" w:leftChars="200"/>
        <w:rPr>
          <w:rFonts w:ascii="仿宋_GB2312" w:eastAsia="仿宋_GB2312" w:cs="DengXian-Regular"/>
          <w:sz w:val="32"/>
          <w:szCs w:val="32"/>
          <w:highlight w:val="yellow"/>
        </w:rPr>
      </w:pPr>
      <w:r>
        <w:rPr>
          <w:sz w:val="44"/>
        </w:rPr>
        <w:pict>
          <v:group id="_x0000_s1052" o:spid="_x0000_s1052" o:spt="203" style="position:absolute;left:0pt;margin-left:-0.55pt;margin-top:29.3pt;height:43.95pt;width:301.85pt;mso-position-horizontal-relative:page;mso-position-vertical-relative:page;z-index:251678720;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v:rect id="矩形 13" o:spid="_x0000_s1054" o:spt="1" style="position:absolute;left:4551;top:52615;height:1175;width:8546;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53"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6CEECBF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77946301">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r>
        <w:rPr>
          <w:sz w:val="44"/>
        </w:rPr>
        <w:pict>
          <v:group id="_x0000_s1049" o:spid="_x0000_s1049" o:spt="203" style="position:absolute;left:0pt;margin-left:-0.55pt;margin-top:29.3pt;height:43.95pt;width:301.85pt;mso-position-horizontal-relative:page;mso-position-vertical-relative:page;z-index:25168588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BJ+ys7bAAAACwEAAA8AAAAA&#10;AAAAAQAgAAAAIgAAAGRycy9kb3ducmV2LnhtbFBLAQIUABQAAAAIAIdO4kApN0n8LgMAAO4IAAAO&#10;AAAAAAAAAAEAIAAAACoBAABkcnMvZTJvRG9jLnhtbFBLBQYAAAAABgAGAFkBAADKBgAAAAA=&#10;">
            <o:lock v:ext="edit"/>
            <v:rect id="矩形 13" o:spid="_x0000_s1051" o:spt="1" style="position:absolute;left:4551;top:52615;height:1175;width:8546;v-text-anchor:middle;" fillcolor="#D9D9D9" filled="t" stroked="f" coordsize="21600,21600" o:gfxdata="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t4l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50" o:spt="1" style="position:absolute;left:4577;top:52890;height:1123;width:8324;v-text-anchor:middle;" fillcolor="#AD002D" filled="t" stroked="t" coordsize="21600,21600" o:gfxdata="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mTi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0080997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F120116">
                    <w:pPr>
                      <w:jc w:val="center"/>
                    </w:pPr>
                  </w:p>
                </w:txbxContent>
              </v:textbox>
            </v:rect>
            <w10:anchorlock/>
          </v:group>
        </w:pict>
      </w:r>
    </w:p>
    <w:p w14:paraId="2342C878">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仿宋_GB2312" w:eastAsia="仿宋_GB2312" w:cs="DengXian-Regular"/>
          <w:sz w:val="32"/>
          <w:szCs w:val="32"/>
          <w:lang w:val="en-US" w:eastAsia="zh-CN"/>
        </w:rPr>
        <w:t>5382.37</w:t>
      </w:r>
      <w:r>
        <w:rPr>
          <w:rFonts w:hint="eastAsia" w:ascii="仿宋_GB2312" w:eastAsia="仿宋_GB2312" w:cs="DengXian-Regular"/>
          <w:sz w:val="32"/>
          <w:szCs w:val="32"/>
        </w:rPr>
        <w:t xml:space="preserve">万元，其中：人员经费 </w:t>
      </w:r>
      <w:r>
        <w:rPr>
          <w:rFonts w:hint="eastAsia" w:ascii="仿宋_GB2312" w:eastAsia="仿宋_GB2312" w:cs="DengXian-Regular"/>
          <w:sz w:val="32"/>
          <w:szCs w:val="32"/>
          <w:lang w:val="en-US" w:eastAsia="zh-CN"/>
        </w:rPr>
        <w:t>5190.76</w:t>
      </w:r>
      <w:r>
        <w:rPr>
          <w:rFonts w:hint="eastAsia" w:ascii="仿宋_GB2312"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eastAsia="仿宋_GB2312" w:cs="DengXian-Regular"/>
          <w:sz w:val="32"/>
          <w:szCs w:val="32"/>
          <w:lang w:val="en-US" w:eastAsia="zh-CN"/>
        </w:rPr>
        <w:t>191.61</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45A686B8">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14:paraId="26AB3D4A">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eastAsia="仿宋_GB2312" w:cs="DengXian-Regular"/>
          <w:sz w:val="32"/>
          <w:szCs w:val="32"/>
          <w:lang w:val="en-US" w:eastAsia="zh-CN"/>
        </w:rPr>
        <w:t>5.5</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较年初预算减少</w:t>
      </w:r>
      <w:r>
        <w:rPr>
          <w:rFonts w:hint="eastAsia" w:ascii="仿宋_GB2312" w:eastAsia="仿宋_GB2312" w:cs="DengXian-Regular"/>
          <w:b/>
          <w:bCs/>
          <w:sz w:val="32"/>
          <w:szCs w:val="32"/>
          <w:lang w:val="en-US" w:eastAsia="zh-CN"/>
        </w:rPr>
        <w:t>0.05</w:t>
      </w:r>
      <w:r>
        <w:rPr>
          <w:rFonts w:hint="eastAsia" w:ascii="仿宋_GB2312" w:eastAsia="仿宋_GB2312" w:cs="DengXian-Regular"/>
          <w:b/>
          <w:bCs/>
          <w:sz w:val="32"/>
          <w:szCs w:val="32"/>
        </w:rPr>
        <w:t>万元，降低</w:t>
      </w:r>
      <w:r>
        <w:rPr>
          <w:rFonts w:hint="eastAsia" w:ascii="仿宋_GB2312" w:eastAsia="仿宋_GB2312" w:cs="DengXian-Regular"/>
          <w:b/>
          <w:bCs/>
          <w:sz w:val="32"/>
          <w:szCs w:val="32"/>
          <w:lang w:val="en-US" w:eastAsia="zh-CN"/>
        </w:rPr>
        <w:t>0.9</w:t>
      </w:r>
      <w:r>
        <w:rPr>
          <w:rFonts w:hint="eastAsia" w:ascii="仿宋_GB2312" w:eastAsia="仿宋_GB2312" w:cs="DengXian-Regular"/>
          <w:b/>
          <w:bCs/>
          <w:sz w:val="32"/>
          <w:szCs w:val="32"/>
        </w:rPr>
        <w:t>%，</w:t>
      </w:r>
      <w:r>
        <w:rPr>
          <w:rFonts w:hint="eastAsia" w:ascii="仿宋_GB2312" w:eastAsia="仿宋_GB2312" w:cs="DengXian-Regular"/>
          <w:sz w:val="32"/>
          <w:szCs w:val="32"/>
        </w:rPr>
        <w:t>主要是认真贯彻落实中央八项规定精神和厉行节约要求，从严控制“三公”经费开支，全年实际支出比预算有所节约。具体情况如下：</w:t>
      </w:r>
    </w:p>
    <w:p w14:paraId="7E425635">
      <w:pPr>
        <w:adjustRightInd w:val="0"/>
        <w:snapToGrid w:val="0"/>
        <w:spacing w:after="0" w:line="580" w:lineRule="exact"/>
        <w:ind w:firstLine="643" w:firstLineChars="200"/>
        <w:rPr>
          <w:rFonts w:hint="eastAsia" w:ascii="仿宋_GB2312" w:eastAsia="仿宋_GB2312" w:cs="DengXian-Regular"/>
          <w:sz w:val="32"/>
          <w:szCs w:val="32"/>
          <w:lang w:eastAsia="zh-CN"/>
        </w:rPr>
      </w:pPr>
      <w:r>
        <w:rPr>
          <w:rFonts w:hint="eastAsia" w:ascii="楷体_GB2312" w:eastAsia="楷体_GB2312" w:cs="DengXian-Bold"/>
          <w:b/>
          <w:bCs/>
          <w:sz w:val="32"/>
          <w:szCs w:val="32"/>
        </w:rPr>
        <w:t>（</w:t>
      </w:r>
      <w:r>
        <w:rPr>
          <w:sz w:val="44"/>
        </w:rPr>
        <w:pict>
          <v:group id="_x0000_s1046" o:spid="_x0000_s1046" o:spt="203" style="position:absolute;left:0pt;margin-left:-0.55pt;margin-top:29.3pt;height:43.95pt;width:301.85pt;mso-position-horizontal-relative:page;mso-position-vertical-relative:page;z-index:25167974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v:rect id="矩形 13" o:spid="_x0000_s1048" o:spt="1" style="position:absolute;left:4551;top:52615;height:1175;width:8546;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7"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1D6274C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EB46AC8">
                    <w:pPr>
                      <w:jc w:val="center"/>
                    </w:pPr>
                  </w:p>
                </w:txbxContent>
              </v:textbox>
            </v:rect>
            <w10:anchorlock/>
          </v:group>
        </w:pict>
      </w: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w:t>
      </w:r>
      <w:r>
        <w:rPr>
          <w:rFonts w:hint="eastAsia" w:ascii="仿宋_GB2312" w:eastAsia="仿宋_GB2312" w:cs="DengXian-Regular"/>
          <w:sz w:val="32"/>
          <w:szCs w:val="32"/>
          <w:lang w:eastAsia="zh-CN"/>
        </w:rPr>
        <w:t>部门</w:t>
      </w:r>
      <w:r>
        <w:rPr>
          <w:rFonts w:hint="eastAsia" w:ascii="仿宋_GB2312" w:eastAsia="仿宋_GB2312" w:cs="DengXian-Regular"/>
          <w:sz w:val="32"/>
          <w:szCs w:val="32"/>
        </w:rPr>
        <w:t>2018年度</w:t>
      </w:r>
      <w:r>
        <w:rPr>
          <w:rFonts w:hint="eastAsia" w:ascii="仿宋_GB2312" w:eastAsia="仿宋_GB2312" w:cs="DengXian-Regular"/>
          <w:sz w:val="32"/>
          <w:szCs w:val="32"/>
          <w:lang w:eastAsia="zh-CN"/>
        </w:rPr>
        <w:t>无</w:t>
      </w:r>
      <w:r>
        <w:rPr>
          <w:rFonts w:hint="eastAsia" w:ascii="仿宋_GB2312" w:eastAsia="仿宋_GB2312" w:cs="DengXian-Regular"/>
          <w:sz w:val="32"/>
          <w:szCs w:val="32"/>
        </w:rPr>
        <w:t>因公出国（境）</w:t>
      </w:r>
      <w:r>
        <w:rPr>
          <w:rFonts w:hint="eastAsia" w:ascii="仿宋_GB2312" w:eastAsia="仿宋_GB2312" w:cs="DengXian-Regular"/>
          <w:sz w:val="32"/>
          <w:szCs w:val="32"/>
          <w:lang w:eastAsia="zh-CN"/>
        </w:rPr>
        <w:t>情况发生。</w:t>
      </w:r>
    </w:p>
    <w:p w14:paraId="4000F855">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4.4</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加强公务用车管理，做到合理用车，不超预算</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14:paraId="5839780A">
      <w:pPr>
        <w:adjustRightInd w:val="0"/>
        <w:snapToGrid w:val="0"/>
        <w:spacing w:after="0" w:line="580" w:lineRule="exact"/>
        <w:ind w:firstLine="643" w:firstLineChars="200"/>
        <w:rPr>
          <w:rFonts w:hint="default" w:ascii="仿宋_GB2312" w:eastAsia="仿宋_GB2312" w:cs="DengXian-Regular"/>
          <w:color w:val="000000" w:themeColor="text1"/>
          <w:sz w:val="32"/>
          <w:szCs w:val="32"/>
          <w:lang w:val="en-US" w:eastAsia="zh-CN"/>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w:t>
      </w:r>
      <w:r>
        <w:rPr>
          <w:rFonts w:hint="eastAsia" w:ascii="仿宋_GB2312" w:eastAsia="仿宋_GB2312" w:cs="DengXian-Regular"/>
          <w:sz w:val="32"/>
          <w:szCs w:val="32"/>
          <w:lang w:eastAsia="zh-CN"/>
        </w:rPr>
        <w:t>无</w:t>
      </w:r>
      <w:r>
        <w:rPr>
          <w:rFonts w:hint="eastAsia" w:ascii="仿宋_GB2312" w:eastAsia="仿宋_GB2312" w:cs="DengXian-Regular"/>
          <w:sz w:val="32"/>
          <w:szCs w:val="32"/>
        </w:rPr>
        <w:t>公务用车购置</w:t>
      </w:r>
      <w:r>
        <w:rPr>
          <w:rFonts w:hint="eastAsia" w:ascii="仿宋_GB2312" w:eastAsia="仿宋_GB2312" w:cs="DengXian-Regular"/>
          <w:sz w:val="32"/>
          <w:szCs w:val="32"/>
          <w:lang w:eastAsia="zh-CN"/>
        </w:rPr>
        <w:t>情况。</w:t>
      </w:r>
    </w:p>
    <w:p w14:paraId="2F69E725">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辆。公车运行维护费支出</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年初预算</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加强公务用车管理，做到合理用车，不超预算</w:t>
      </w:r>
      <w:r>
        <w:rPr>
          <w:rFonts w:hint="eastAsia" w:ascii="仿宋_GB2312" w:eastAsia="仿宋_GB2312" w:cs="DengXian-Regular"/>
          <w:sz w:val="32"/>
          <w:szCs w:val="32"/>
        </w:rPr>
        <w:t>。</w:t>
      </w:r>
    </w:p>
    <w:p w14:paraId="729CB237">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1.1</w:t>
      </w:r>
      <w:r>
        <w:rPr>
          <w:rFonts w:hint="eastAsia" w:ascii="楷体_GB2312" w:eastAsia="楷体_GB2312" w:cs="DengXian-Bold"/>
          <w:b/>
          <w:bCs/>
          <w:sz w:val="32"/>
          <w:szCs w:val="32"/>
        </w:rPr>
        <w:t>万元。</w:t>
      </w:r>
      <w:r>
        <w:rPr>
          <w:sz w:val="44"/>
        </w:rPr>
        <w:pict>
          <v:group id="_x0000_s1043" o:spid="_x0000_s1043" o:spt="203" style="position:absolute;left:0pt;margin-left:-0.55pt;margin-top:29.3pt;height:43.95pt;width:301.85pt;mso-position-horizontal-relative:page;mso-position-vertical-relative:page;z-index:25168076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v:rect id="矩形 13" o:spid="_x0000_s1045" o:spt="1" style="position:absolute;left:4551;top:52615;height:1175;width:8546;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4"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6B38089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75472AC">
                    <w:pPr>
                      <w:jc w:val="center"/>
                    </w:pPr>
                  </w:p>
                </w:txbxContent>
              </v:textbox>
            </v:rect>
            <w10:anchorlock/>
          </v:group>
        </w:pict>
      </w:r>
      <w:r>
        <w:rPr>
          <w:rFonts w:hint="eastAsia" w:ascii="仿宋_GB2312" w:eastAsia="仿宋_GB2312" w:cs="DengXian-Regular"/>
          <w:sz w:val="32"/>
          <w:szCs w:val="32"/>
        </w:rPr>
        <w:t>本部门2018年度</w:t>
      </w:r>
      <w:r>
        <w:rPr>
          <w:rFonts w:hint="eastAsia" w:ascii="仿宋_GB2312" w:hAnsi="Times New Roman" w:eastAsia="仿宋_GB2312" w:cs="DengXian-Regular"/>
          <w:sz w:val="32"/>
          <w:szCs w:val="32"/>
        </w:rPr>
        <w:t>公务接待共</w:t>
      </w:r>
      <w:r>
        <w:rPr>
          <w:rFonts w:hint="eastAsia" w:ascii="仿宋_GB2312" w:hAnsi="Times New Roman" w:eastAsia="仿宋_GB2312" w:cs="DengXian-Regular"/>
          <w:sz w:val="32"/>
          <w:szCs w:val="32"/>
          <w:lang w:val="en-US" w:eastAsia="zh-CN"/>
        </w:rPr>
        <w:t>5</w:t>
      </w:r>
      <w:r>
        <w:rPr>
          <w:rFonts w:hint="eastAsia" w:ascii="仿宋_GB2312" w:eastAsia="仿宋_GB2312" w:cs="DengXian-Regular"/>
          <w:sz w:val="32"/>
          <w:szCs w:val="32"/>
          <w:lang w:val="en-US" w:eastAsia="zh-CN"/>
        </w:rPr>
        <w:t>6</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3</w:t>
      </w:r>
      <w:r>
        <w:rPr>
          <w:rFonts w:hint="eastAsia" w:ascii="仿宋_GB2312" w:eastAsia="仿宋_GB2312" w:cs="DengXian-Regular"/>
          <w:sz w:val="32"/>
          <w:szCs w:val="32"/>
          <w:lang w:val="en-US" w:eastAsia="zh-CN"/>
        </w:rPr>
        <w:t>71</w:t>
      </w:r>
      <w:r>
        <w:rPr>
          <w:rFonts w:hint="eastAsia" w:ascii="仿宋_GB2312" w:hAnsi="Times New Roman" w:eastAsia="仿宋_GB2312" w:cs="DengXian-Regular"/>
          <w:sz w:val="32"/>
          <w:szCs w:val="32"/>
        </w:rPr>
        <w:t>人次</w:t>
      </w:r>
      <w:r>
        <w:rPr>
          <w:rFonts w:hint="eastAsia" w:ascii="仿宋_GB2312" w:eastAsia="仿宋_GB2312" w:cs="DengXian-Regular"/>
          <w:sz w:val="32"/>
          <w:szCs w:val="32"/>
        </w:rPr>
        <w:t>公务接待费支出较年初预算减少</w:t>
      </w:r>
      <w:r>
        <w:rPr>
          <w:rFonts w:hint="eastAsia" w:ascii="仿宋_GB2312" w:eastAsia="仿宋_GB2312" w:cs="DengXian-Regular"/>
          <w:sz w:val="32"/>
          <w:szCs w:val="32"/>
          <w:lang w:val="en-US" w:eastAsia="zh-CN"/>
        </w:rPr>
        <w:t>0.05</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4.35</w:t>
      </w:r>
      <w:r>
        <w:rPr>
          <w:rFonts w:hint="eastAsia" w:ascii="仿宋_GB2312" w:eastAsia="仿宋_GB2312" w:cs="DengXian-Regular"/>
          <w:sz w:val="32"/>
          <w:szCs w:val="32"/>
        </w:rPr>
        <w:t>%,主要是</w:t>
      </w:r>
      <w:r>
        <w:rPr>
          <w:rFonts w:hint="eastAsia" w:ascii="仿宋_GB2312" w:hAnsi="仿宋_GB2312" w:eastAsia="仿宋_GB2312" w:cs="仿宋_GB2312"/>
          <w:i w:val="0"/>
          <w:caps w:val="0"/>
          <w:color w:val="000000"/>
          <w:spacing w:val="0"/>
          <w:sz w:val="32"/>
          <w:szCs w:val="32"/>
        </w:rPr>
        <w:t>认真贯彻落实中央八项规定</w:t>
      </w:r>
      <w:bookmarkStart w:id="0" w:name="_GoBack"/>
      <w:bookmarkEnd w:id="0"/>
      <w:r>
        <w:rPr>
          <w:rFonts w:hint="eastAsia" w:ascii="仿宋_GB2312" w:hAnsi="仿宋_GB2312" w:eastAsia="仿宋_GB2312" w:cs="仿宋_GB2312"/>
          <w:i w:val="0"/>
          <w:caps w:val="0"/>
          <w:color w:val="000000"/>
          <w:spacing w:val="0"/>
          <w:sz w:val="32"/>
          <w:szCs w:val="32"/>
        </w:rPr>
        <w:t>精神和厉行节约要求，从严控制“三公”经费开支</w:t>
      </w:r>
      <w:r>
        <w:rPr>
          <w:rFonts w:hint="eastAsia" w:ascii="仿宋_GB2312" w:eastAsia="仿宋_GB2312" w:cs="DengXian-Regular"/>
          <w:sz w:val="32"/>
          <w:szCs w:val="32"/>
        </w:rPr>
        <w:t>。</w:t>
      </w:r>
    </w:p>
    <w:p w14:paraId="577964CE">
      <w:pPr>
        <w:pStyle w:val="3"/>
        <w:spacing w:before="0" w:after="0" w:line="500" w:lineRule="exact"/>
        <w:ind w:firstLine="643" w:firstLineChars="200"/>
        <w:rPr>
          <w:rFonts w:ascii="黑体" w:eastAsia="黑体" w:cs="Times New Roman"/>
          <w:shd w:val="clear" w:color="auto" w:fill="auto"/>
        </w:rPr>
      </w:pPr>
      <w:r>
        <w:rPr>
          <w:rFonts w:hint="eastAsia" w:ascii="黑体" w:eastAsia="黑体"/>
          <w:szCs w:val="40"/>
        </w:rPr>
        <w:t>六、</w:t>
      </w:r>
      <w:r>
        <w:rPr>
          <w:rFonts w:hint="eastAsia" w:ascii="黑体" w:eastAsia="黑体" w:cs="Times New Roman"/>
          <w:shd w:val="clear" w:color="auto" w:fill="auto"/>
        </w:rPr>
        <w:t>绩效预算情况说明</w:t>
      </w:r>
    </w:p>
    <w:p w14:paraId="2BF7AE72">
      <w:pPr>
        <w:adjustRightInd w:val="0"/>
        <w:snapToGrid w:val="0"/>
        <w:spacing w:after="0" w:line="500" w:lineRule="exact"/>
        <w:ind w:firstLine="640" w:firstLineChars="200"/>
        <w:rPr>
          <w:rFonts w:hint="eastAsia" w:ascii="仿宋_GB2312" w:eastAsia="仿宋_GB2312" w:cs="DengXian-Regular"/>
          <w:color w:val="FF0000"/>
          <w:sz w:val="32"/>
          <w:szCs w:val="32"/>
          <w:shd w:val="clear" w:color="auto" w:fill="auto"/>
          <w:lang w:eastAsia="zh-CN"/>
        </w:rPr>
      </w:pPr>
      <w:r>
        <w:rPr>
          <w:rFonts w:hint="eastAsia" w:ascii="仿宋_GB2312" w:eastAsia="仿宋_GB2312" w:cs="DengXian-Regular"/>
          <w:sz w:val="32"/>
          <w:szCs w:val="32"/>
          <w:shd w:val="clear" w:color="auto" w:fill="auto"/>
        </w:rPr>
        <w:t>（一）绩效管理工作开展情况。根据《关于开展2018年度财政专项资金部门绩效自评价工作的通知》（石财绩</w:t>
      </w:r>
      <w:r>
        <w:rPr>
          <w:rFonts w:hint="eastAsia" w:ascii="宋体" w:hAnsi="宋体" w:cs="宋体"/>
          <w:sz w:val="32"/>
          <w:szCs w:val="32"/>
          <w:shd w:val="clear" w:color="auto" w:fill="auto"/>
        </w:rPr>
        <w:t>[2019]</w:t>
      </w:r>
      <w:r>
        <w:rPr>
          <w:rFonts w:hint="eastAsia" w:ascii="仿宋_GB2312" w:eastAsia="仿宋_GB2312" w:cs="DengXian-Regular"/>
          <w:sz w:val="32"/>
          <w:szCs w:val="32"/>
          <w:shd w:val="clear" w:color="auto" w:fill="auto"/>
        </w:rPr>
        <w:t>1号），本单位认真开展了预算绩效管理改革开展情况自查，对部门全面规范绩效预算编制、严格预算执行管理、推进绩效评价工作、推进预决算信息公开等方面进行了自评，考核结果为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sz w:val="32"/>
          <w:szCs w:val="32"/>
          <w:shd w:val="clear" w:color="auto" w:fill="auto"/>
          <w:lang w:eastAsia="zh-CN"/>
        </w:rPr>
        <w:t>良好。</w:t>
      </w:r>
    </w:p>
    <w:p w14:paraId="2D957836">
      <w:pPr>
        <w:adjustRightInd w:val="0"/>
        <w:snapToGrid w:val="0"/>
        <w:spacing w:after="0" w:line="500" w:lineRule="exact"/>
        <w:ind w:firstLine="640" w:firstLineChars="200"/>
        <w:rPr>
          <w:rFonts w:hint="eastAsia" w:ascii="仿宋_GB2312" w:eastAsia="仿宋_GB2312" w:cs="DengXian-Regular"/>
          <w:sz w:val="32"/>
          <w:szCs w:val="32"/>
          <w:shd w:val="clear" w:color="auto" w:fill="auto"/>
          <w:lang w:eastAsia="zh-CN"/>
        </w:rPr>
      </w:pPr>
      <w:r>
        <w:rPr>
          <w:rFonts w:hint="eastAsia" w:ascii="仿宋_GB2312" w:eastAsia="仿宋_GB2312" w:cs="DengXian-Regular"/>
          <w:sz w:val="32"/>
          <w:szCs w:val="32"/>
          <w:shd w:val="clear" w:color="auto" w:fill="auto"/>
        </w:rPr>
        <w:t>（二）预算项目绩效评价开展情况根据预算绩效管理要求，本单位组织对201</w:t>
      </w:r>
      <w:r>
        <w:rPr>
          <w:rFonts w:hint="eastAsia" w:ascii="仿宋_GB2312" w:eastAsia="仿宋_GB2312" w:cs="DengXian-Regular"/>
          <w:sz w:val="32"/>
          <w:szCs w:val="32"/>
          <w:shd w:val="clear" w:color="auto" w:fill="auto"/>
          <w:lang w:val="en-US" w:eastAsia="zh-CN"/>
        </w:rPr>
        <w:t>8</w:t>
      </w:r>
      <w:r>
        <w:rPr>
          <w:rFonts w:hint="eastAsia" w:ascii="仿宋_GB2312" w:eastAsia="仿宋_GB2312" w:cs="DengXian-Regular"/>
          <w:sz w:val="32"/>
          <w:szCs w:val="32"/>
          <w:shd w:val="clear" w:color="auto" w:fill="auto"/>
        </w:rPr>
        <w:t>年度一般公共预算项目支出全面开展绩效自评，涉及</w:t>
      </w:r>
      <w:r>
        <w:rPr>
          <w:rFonts w:hint="eastAsia" w:ascii="仿宋_GB2312" w:eastAsia="仿宋_GB2312" w:cs="DengXian-Regular"/>
          <w:sz w:val="32"/>
          <w:szCs w:val="32"/>
          <w:shd w:val="clear" w:color="auto" w:fill="auto"/>
          <w:lang w:eastAsia="zh-CN"/>
        </w:rPr>
        <w:t>农村综合改革和对村民委员会和村党支部的补助</w:t>
      </w:r>
      <w:r>
        <w:rPr>
          <w:rFonts w:hint="eastAsia" w:ascii="仿宋_GB2312" w:eastAsia="仿宋_GB2312" w:cs="DengXian-Regular"/>
          <w:sz w:val="32"/>
          <w:szCs w:val="32"/>
          <w:shd w:val="clear" w:color="auto" w:fill="auto"/>
        </w:rPr>
        <w:t>等</w:t>
      </w:r>
      <w:r>
        <w:rPr>
          <w:rFonts w:hint="eastAsia" w:ascii="仿宋_GB2312" w:eastAsia="仿宋_GB2312" w:cs="DengXian-Regular"/>
          <w:sz w:val="32"/>
          <w:szCs w:val="32"/>
          <w:shd w:val="clear" w:color="auto" w:fill="auto"/>
          <w:lang w:val="en-US" w:eastAsia="zh-CN"/>
        </w:rPr>
        <w:t>2</w:t>
      </w:r>
      <w:r>
        <w:rPr>
          <w:rFonts w:hint="eastAsia" w:ascii="仿宋_GB2312" w:eastAsia="仿宋_GB2312" w:cs="DengXian-Regular"/>
          <w:sz w:val="32"/>
          <w:szCs w:val="32"/>
          <w:shd w:val="clear" w:color="auto" w:fill="auto"/>
        </w:rPr>
        <w:t>个项目，涉及资金</w:t>
      </w:r>
      <w:r>
        <w:rPr>
          <w:rFonts w:hint="eastAsia" w:ascii="仿宋_GB2312" w:eastAsia="仿宋_GB2312" w:cs="DengXian-Regular"/>
          <w:sz w:val="32"/>
          <w:szCs w:val="32"/>
          <w:shd w:val="clear" w:color="auto" w:fill="auto"/>
          <w:lang w:val="en-US" w:eastAsia="zh-CN"/>
        </w:rPr>
        <w:t>26</w:t>
      </w:r>
      <w:r>
        <w:rPr>
          <w:rFonts w:hint="eastAsia" w:ascii="仿宋_GB2312" w:eastAsia="仿宋_GB2312" w:cs="DengXian-Regular"/>
          <w:sz w:val="32"/>
          <w:szCs w:val="32"/>
          <w:shd w:val="clear" w:color="auto" w:fill="auto"/>
        </w:rPr>
        <w:t>万元。从评价情况看，评价结果为优秀的项目有</w:t>
      </w:r>
      <w:r>
        <w:rPr>
          <w:rFonts w:hint="eastAsia" w:ascii="仿宋_GB2312" w:eastAsia="仿宋_GB2312" w:cs="DengXian-Regular"/>
          <w:sz w:val="32"/>
          <w:szCs w:val="32"/>
          <w:shd w:val="clear" w:color="auto" w:fill="auto"/>
          <w:lang w:val="en-US" w:eastAsia="zh-CN"/>
        </w:rPr>
        <w:t>2</w:t>
      </w:r>
      <w:r>
        <w:rPr>
          <w:rFonts w:hint="eastAsia" w:ascii="仿宋_GB2312" w:eastAsia="仿宋_GB2312" w:cs="DengXian-Regular"/>
          <w:sz w:val="32"/>
          <w:szCs w:val="32"/>
          <w:shd w:val="clear" w:color="auto" w:fill="auto"/>
        </w:rPr>
        <w:t>个</w:t>
      </w:r>
      <w:r>
        <w:rPr>
          <w:rFonts w:hint="eastAsia" w:ascii="仿宋_GB2312" w:eastAsia="仿宋_GB2312" w:cs="DengXian-Regular"/>
          <w:sz w:val="32"/>
          <w:szCs w:val="32"/>
          <w:shd w:val="clear" w:color="auto" w:fill="auto"/>
          <w:lang w:eastAsia="zh-CN"/>
        </w:rPr>
        <w:t>。</w:t>
      </w:r>
    </w:p>
    <w:p w14:paraId="22CB7ADD">
      <w:pPr>
        <w:adjustRightInd w:val="0"/>
        <w:snapToGrid w:val="0"/>
        <w:spacing w:after="0" w:line="500" w:lineRule="exact"/>
        <w:ind w:firstLine="640" w:firstLineChars="200"/>
        <w:rPr>
          <w:rFonts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（三）预算项目绩效自评选例</w:t>
      </w:r>
    </w:p>
    <w:p w14:paraId="4AE136ED">
      <w:pPr>
        <w:adjustRightInd w:val="0"/>
        <w:snapToGrid w:val="0"/>
        <w:spacing w:after="0" w:line="500" w:lineRule="exact"/>
        <w:ind w:firstLine="640" w:firstLineChars="200"/>
        <w:rPr>
          <w:rFonts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本单位无民生项目和重点支出项目。</w:t>
      </w:r>
    </w:p>
    <w:p w14:paraId="50DDDE8C">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14:paraId="3805A364">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14:paraId="245030F7">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w:t>
      </w:r>
      <w:r>
        <w:rPr>
          <w:rFonts w:hint="eastAsia" w:ascii="仿宋_GB2312" w:eastAsia="仿宋_GB2312" w:cs="DengXian-Regular"/>
          <w:sz w:val="32"/>
          <w:szCs w:val="32"/>
          <w:lang w:val="en-US" w:eastAsia="zh-CN"/>
        </w:rPr>
        <w:t>191.61</w:t>
      </w:r>
      <w:r>
        <w:rPr>
          <w:rFonts w:hint="eastAsia" w:ascii="仿宋_GB2312" w:eastAsia="仿宋_GB2312" w:cs="DengXian-Regular"/>
          <w:sz w:val="32"/>
          <w:szCs w:val="32"/>
        </w:rPr>
        <w:t>万元，比年初预算数增加</w:t>
      </w:r>
      <w:r>
        <w:rPr>
          <w:rFonts w:hint="eastAsia" w:ascii="仿宋_GB2312" w:eastAsia="仿宋_GB2312" w:cs="DengXian-Regular"/>
          <w:sz w:val="32"/>
          <w:szCs w:val="32"/>
          <w:lang w:val="en-US" w:eastAsia="zh-CN"/>
        </w:rPr>
        <w:t>69.53</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56.95</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年初劳务费归入人员预算，但实际调整到机关运行费中</w:t>
      </w:r>
      <w:r>
        <w:rPr>
          <w:rFonts w:hint="eastAsia" w:ascii="仿宋_GB2312" w:eastAsia="仿宋_GB2312" w:cs="DengXian-Regular"/>
          <w:sz w:val="32"/>
          <w:szCs w:val="32"/>
        </w:rPr>
        <w:t>。</w:t>
      </w:r>
    </w:p>
    <w:p w14:paraId="2F454D3A">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14:paraId="7B42D1C9">
      <w:pPr>
        <w:widowControl/>
        <w:spacing w:after="0" w:line="580" w:lineRule="exact"/>
        <w:ind w:firstLine="640" w:firstLineChars="200"/>
        <w:jc w:val="left"/>
        <w:rPr>
          <w:rFonts w:hint="eastAsia" w:ascii="仿宋_GB2312" w:eastAsia="仿宋_GB2312" w:cs="DengXian-Regular"/>
          <w:sz w:val="32"/>
          <w:szCs w:val="32"/>
          <w:lang w:eastAsia="zh-CN"/>
        </w:rPr>
      </w:pPr>
      <w:r>
        <w:rPr>
          <w:rFonts w:hint="eastAsia" w:ascii="仿宋_GB2312" w:eastAsia="仿宋_GB2312" w:cs="DengXian-Regular"/>
          <w:sz w:val="32"/>
          <w:szCs w:val="32"/>
        </w:rPr>
        <w:t>本部门2018年度政府采购支出总额</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本年度本单位无采购情况发生。</w:t>
      </w:r>
    </w:p>
    <w:p w14:paraId="43F7816C">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14:paraId="32EE749C">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上年</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。其中，</w:t>
      </w:r>
      <w:r>
        <w:rPr>
          <w:rFonts w:hint="eastAsia" w:ascii="仿宋_GB2312" w:eastAsia="仿宋_GB2312" w:cs="DengXian-Regular"/>
          <w:sz w:val="32"/>
          <w:szCs w:val="32"/>
          <w:lang w:eastAsia="zh-CN"/>
        </w:rPr>
        <w:t>一般公务用车</w:t>
      </w:r>
      <w:r>
        <w:rPr>
          <w:rFonts w:hint="eastAsia" w:ascii="仿宋_GB2312" w:eastAsia="仿宋_GB2312" w:cs="DengXian-Regular"/>
          <w:sz w:val="32"/>
          <w:szCs w:val="32"/>
          <w:lang w:val="en-US" w:eastAsia="zh-CN"/>
        </w:rPr>
        <w:t>2辆</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w:t>
      </w:r>
    </w:p>
    <w:p w14:paraId="0A3D8811">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14:paraId="2BDC16C2">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w:t>
      </w:r>
      <w:r>
        <w:rPr>
          <w:rFonts w:hint="eastAsia" w:ascii="仿宋_GB2312" w:eastAsia="仿宋_GB2312" w:cs="DengXian-Regular"/>
          <w:sz w:val="32"/>
          <w:szCs w:val="32"/>
          <w:lang w:eastAsia="zh-CN"/>
        </w:rPr>
        <w:t>无国有资本经营预算、政府性基金、政府采购</w:t>
      </w:r>
      <w:r>
        <w:rPr>
          <w:rFonts w:hint="eastAsia" w:ascii="仿宋_GB2312" w:eastAsia="仿宋_GB2312" w:cs="DengXian-Regular"/>
          <w:sz w:val="32"/>
          <w:szCs w:val="32"/>
        </w:rPr>
        <w:t>收支及结转结余情况，故国有资本经营预算财政拨款支出决算表</w:t>
      </w:r>
      <w:r>
        <w:rPr>
          <w:rFonts w:hint="eastAsia" w:ascii="仿宋_GB2312" w:eastAsia="仿宋_GB2312" w:cs="DengXian-Regular"/>
          <w:sz w:val="32"/>
          <w:szCs w:val="32"/>
          <w:lang w:eastAsia="zh-CN"/>
        </w:rPr>
        <w:t>、政府性基金预算财政拨款收入支出决算表、</w:t>
      </w:r>
      <w:r>
        <w:rPr>
          <w:rFonts w:hint="eastAsia" w:ascii="仿宋_GB2312" w:eastAsia="仿宋_GB2312" w:cs="DengXian-Regular"/>
          <w:sz w:val="32"/>
          <w:szCs w:val="32"/>
        </w:rPr>
        <w:t>政府采购情况表表以空表列示。</w:t>
      </w:r>
    </w:p>
    <w:p w14:paraId="2EFEE666">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037" o:spid="_x0000_s1037" o:spt="203" style="position:absolute;left:0pt;margin-left:-0.55pt;margin-top:29.3pt;height:43.95pt;width:301.85pt;mso-position-horizontal-relative:page;mso-position-vertical-relative:page;z-index:25168179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v:rect id="矩形 13" o:spid="_x0000_s1039" o:spt="1" style="position:absolute;left:4551;top:52615;height:1175;width:8546;v-text-anchor:middle;" fillcolor="#D9D9D9"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8" o:spid="_x0000_s1038"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14:paraId="6D2B9ED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335EF1B">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14:paraId="697CA1AB">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14:paraId="307E0562">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14:paraId="3A1126FE">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14:paraId="6CBF22DE">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14:paraId="1698CC89">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14:paraId="32E68F20">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14:paraId="51CEED15">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14:paraId="540BAE65">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7E787949">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14:paraId="2586952F">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14:paraId="58108080">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w:pict>
          <v:group id="_x0000_s1033" o:spid="_x0000_s1033" o:spt="203" style="position:absolute;left:0pt;margin-left:-81.05pt;margin-top:39.65pt;height:43.95pt;width:264.85pt;mso-position-vertical-relative:page;z-index:251673600;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v:rect id="矩形 13" o:spid="_x0000_s1035"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4"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216C779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5A71EC73">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14:paraId="6556AA9B">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14:paraId="39429B75">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14:paraId="0D3C2C7A">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14:paraId="50AF8A76">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14:paraId="34277FE2">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030" o:spid="_x0000_s1030" o:spt="203" style="position:absolute;left:0pt;margin-left:-81.05pt;margin-top:39.65pt;height:43.95pt;width:264.85pt;mso-position-vertical-relative:page;z-index:251682816;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v:rect id="矩形 13" o:spid="_x0000_s1032"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31"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00FF678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6F7913A9">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14:paraId="6CC5AFBF">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w:pict>
          <v:group id="_x0000_s1027" o:spid="_x0000_s1027" o:spt="203" style="position:absolute;left:0pt;margin-left:-81.05pt;margin-top:39.65pt;height:43.95pt;width:264.85pt;mso-position-vertical-relative:page;z-index:251683840;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v:rect id="矩形 13" o:spid="_x0000_s1029"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28"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0AB7FCC0">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3A4906B2">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14:paraId="7EB56F24">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14:paraId="52878DF9">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14:paraId="1FA26CDB">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78C98BD2">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14:paraId="648E4D90">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7155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6"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550CC2A-4E53-414F-99B0-988A6663A5F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CA2D236B-2611-4C65-8144-3B263679A5A2}"/>
  </w:font>
  <w:font w:name="Cambria">
    <w:panose1 w:val="02040503050406030204"/>
    <w:charset w:val="00"/>
    <w:family w:val="roman"/>
    <w:pitch w:val="default"/>
    <w:sig w:usb0="E00006FF" w:usb1="420024FF" w:usb2="02000000" w:usb3="00000000" w:csb0="2000019F" w:csb1="00000000"/>
    <w:embedRegular r:id="rId3" w:fontKey="{6B5D3FB6-6876-452C-BF1E-E0DB8B071324}"/>
  </w:font>
  <w:font w:name="楷体">
    <w:panose1 w:val="02010609060101010101"/>
    <w:charset w:val="86"/>
    <w:family w:val="modern"/>
    <w:pitch w:val="default"/>
    <w:sig w:usb0="800002BF" w:usb1="38CF7CFA" w:usb2="00000016" w:usb3="00000000" w:csb0="00040001" w:csb1="00000000"/>
    <w:embedRegular r:id="rId4" w:fontKey="{E4E53E53-2F82-42BB-9FA2-717AE2FD7CBA}"/>
  </w:font>
  <w:font w:name="楷体_GB2312">
    <w:panose1 w:val="02010609030101010101"/>
    <w:charset w:val="86"/>
    <w:family w:val="modern"/>
    <w:pitch w:val="default"/>
    <w:sig w:usb0="00000001" w:usb1="080E0000" w:usb2="00000000" w:usb3="00000000" w:csb0="00040000" w:csb1="00000000"/>
    <w:embedRegular r:id="rId5" w:fontKey="{DEA131E1-CAB3-40BA-8FC8-93A17DC96A9C}"/>
  </w:font>
  <w:font w:name="仿宋_GB2312">
    <w:panose1 w:val="02010609030101010101"/>
    <w:charset w:val="86"/>
    <w:family w:val="modern"/>
    <w:pitch w:val="default"/>
    <w:sig w:usb0="00000001" w:usb1="080E0000" w:usb2="00000000" w:usb3="00000000" w:csb0="00040000" w:csb1="00000000"/>
    <w:embedRegular r:id="rId6" w:fontKey="{EE92B201-F6D0-4673-BADB-E2B02F18E8A5}"/>
  </w:font>
  <w:font w:name="ArialUnicodeMS">
    <w:altName w:val="Malgun Gothic"/>
    <w:panose1 w:val="00000000000000000000"/>
    <w:charset w:val="81"/>
    <w:family w:val="auto"/>
    <w:pitch w:val="default"/>
    <w:sig w:usb0="00000000" w:usb1="00000000" w:usb2="00000010" w:usb3="00000000" w:csb0="00080001" w:csb1="00000000"/>
    <w:embedRegular r:id="rId7" w:fontKey="{25DBEBEC-6953-4A17-8F58-4962C84BB7E7}"/>
  </w:font>
  <w:font w:name="方正书宋_GBK">
    <w:altName w:val="宋体"/>
    <w:panose1 w:val="00000000000000000000"/>
    <w:charset w:val="86"/>
    <w:family w:val="auto"/>
    <w:pitch w:val="default"/>
    <w:sig w:usb0="00000000" w:usb1="00000000" w:usb2="00000010" w:usb3="00000000" w:csb0="00040000" w:csb1="00000000"/>
    <w:embedRegular r:id="rId8" w:fontKey="{F310A28C-F05D-42A3-B6DD-5BFE03F94828}"/>
  </w:font>
  <w:font w:name="MS-UIGothic,Bold">
    <w:altName w:val="Malgun Gothic"/>
    <w:panose1 w:val="00000000000000000000"/>
    <w:charset w:val="81"/>
    <w:family w:val="auto"/>
    <w:pitch w:val="default"/>
    <w:sig w:usb0="00000000" w:usb1="00000000" w:usb2="00000010" w:usb3="00000000" w:csb0="00080000" w:csb1="00000000"/>
    <w:embedRegular r:id="rId9" w:fontKey="{61EAE86A-2BE2-415F-B247-06D6F891E55A}"/>
  </w:font>
  <w:font w:name="DengXian-Regular">
    <w:altName w:val="宋体"/>
    <w:panose1 w:val="00000000000000000000"/>
    <w:charset w:val="86"/>
    <w:family w:val="auto"/>
    <w:pitch w:val="default"/>
    <w:sig w:usb0="00000000" w:usb1="00000000" w:usb2="00000010" w:usb3="00000000" w:csb0="00040001" w:csb1="00000000"/>
    <w:embedRegular r:id="rId10" w:fontKey="{32EFB976-29D0-4467-9837-AD92AFCBC812}"/>
  </w:font>
  <w:font w:name="DengXian-Bold">
    <w:altName w:val="宋体"/>
    <w:panose1 w:val="00000000000000000000"/>
    <w:charset w:val="86"/>
    <w:family w:val="auto"/>
    <w:pitch w:val="default"/>
    <w:sig w:usb0="00000000" w:usb1="00000000" w:usb2="00000010" w:usb3="00000000" w:csb0="00040001" w:csb1="00000000"/>
    <w:embedRegular r:id="rId11" w:fontKey="{BCA62FAF-B5C4-4223-9967-40326E4E4BA1}"/>
  </w:font>
  <w:font w:name="仿宋">
    <w:panose1 w:val="02010609060101010101"/>
    <w:charset w:val="86"/>
    <w:family w:val="modern"/>
    <w:pitch w:val="default"/>
    <w:sig w:usb0="800002BF" w:usb1="38CF7CFA" w:usb2="00000016" w:usb3="00000000" w:csb0="00040001" w:csb1="00000000"/>
    <w:embedRegular r:id="rId12" w:fontKey="{7D7A739A-1A59-4E87-B1C0-0C59E985D0AA}"/>
  </w:font>
  <w:font w:name="TimesNewRomanPSMT">
    <w:altName w:val="Arial"/>
    <w:panose1 w:val="00000000000000000000"/>
    <w:charset w:val="00"/>
    <w:family w:val="swiss"/>
    <w:pitch w:val="default"/>
    <w:sig w:usb0="00000000" w:usb1="00000000" w:usb2="00000000" w:usb3="00000000" w:csb0="00000001" w:csb1="00000000"/>
  </w:font>
  <w:font w:name="Malgun Gothic">
    <w:panose1 w:val="020B0503020000020004"/>
    <w:charset w:val="81"/>
    <w:family w:val="auto"/>
    <w:pitch w:val="default"/>
    <w:sig w:usb0="9000002F" w:usb1="2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TMzZmIyODEyYmQwZGE2MGU2MDg2NjQ2ZDRlZTY2ODcifQ=="/>
  </w:docVars>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B76CA"/>
    <w:rsid w:val="004C32BA"/>
    <w:rsid w:val="004C5812"/>
    <w:rsid w:val="004F615E"/>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D781D"/>
    <w:rsid w:val="007E5500"/>
    <w:rsid w:val="007F055B"/>
    <w:rsid w:val="0080644C"/>
    <w:rsid w:val="00811C2F"/>
    <w:rsid w:val="00833D46"/>
    <w:rsid w:val="00840A97"/>
    <w:rsid w:val="008C0149"/>
    <w:rsid w:val="008D5DED"/>
    <w:rsid w:val="008E25CA"/>
    <w:rsid w:val="008F34FC"/>
    <w:rsid w:val="00905622"/>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20FBF"/>
    <w:rsid w:val="00B56722"/>
    <w:rsid w:val="00B74D39"/>
    <w:rsid w:val="00B91DA4"/>
    <w:rsid w:val="00C12630"/>
    <w:rsid w:val="00C34562"/>
    <w:rsid w:val="00C3774E"/>
    <w:rsid w:val="00C57456"/>
    <w:rsid w:val="00C65387"/>
    <w:rsid w:val="00C87FAB"/>
    <w:rsid w:val="00C91FF7"/>
    <w:rsid w:val="00C94E53"/>
    <w:rsid w:val="00D0048E"/>
    <w:rsid w:val="00D10A96"/>
    <w:rsid w:val="00D23E7A"/>
    <w:rsid w:val="00D61063"/>
    <w:rsid w:val="00DB35AF"/>
    <w:rsid w:val="00DD72D7"/>
    <w:rsid w:val="00DF5B88"/>
    <w:rsid w:val="00E0589E"/>
    <w:rsid w:val="00E241FA"/>
    <w:rsid w:val="00E2595E"/>
    <w:rsid w:val="00E35374"/>
    <w:rsid w:val="00E37A19"/>
    <w:rsid w:val="00E50C19"/>
    <w:rsid w:val="00E64655"/>
    <w:rsid w:val="00E73081"/>
    <w:rsid w:val="00E856C9"/>
    <w:rsid w:val="00EB6A8B"/>
    <w:rsid w:val="00EF38C6"/>
    <w:rsid w:val="00F679C7"/>
    <w:rsid w:val="00F7711A"/>
    <w:rsid w:val="00FA0D58"/>
    <w:rsid w:val="00FA56F4"/>
    <w:rsid w:val="00FB4EDA"/>
    <w:rsid w:val="00FD3BD5"/>
    <w:rsid w:val="00FE3DC8"/>
    <w:rsid w:val="031420ED"/>
    <w:rsid w:val="04073F84"/>
    <w:rsid w:val="05A83EBE"/>
    <w:rsid w:val="0B60750A"/>
    <w:rsid w:val="0C615820"/>
    <w:rsid w:val="0D5656DF"/>
    <w:rsid w:val="0E5C0655"/>
    <w:rsid w:val="10686488"/>
    <w:rsid w:val="10DF728A"/>
    <w:rsid w:val="1264200E"/>
    <w:rsid w:val="141C5B77"/>
    <w:rsid w:val="141C7C05"/>
    <w:rsid w:val="18D8339D"/>
    <w:rsid w:val="1A21388F"/>
    <w:rsid w:val="1A570D2F"/>
    <w:rsid w:val="225E34F7"/>
    <w:rsid w:val="28FB0B8D"/>
    <w:rsid w:val="28FB1A02"/>
    <w:rsid w:val="2A9870FC"/>
    <w:rsid w:val="2D2B7942"/>
    <w:rsid w:val="2D46481D"/>
    <w:rsid w:val="2E733B28"/>
    <w:rsid w:val="31852B5A"/>
    <w:rsid w:val="32D01238"/>
    <w:rsid w:val="34AB1E7E"/>
    <w:rsid w:val="36697635"/>
    <w:rsid w:val="371C21AA"/>
    <w:rsid w:val="3DFC59A8"/>
    <w:rsid w:val="3E15175C"/>
    <w:rsid w:val="3ECF245E"/>
    <w:rsid w:val="3FB96314"/>
    <w:rsid w:val="53A44FAF"/>
    <w:rsid w:val="594329EC"/>
    <w:rsid w:val="598D111D"/>
    <w:rsid w:val="5BEE1540"/>
    <w:rsid w:val="5DE61A5D"/>
    <w:rsid w:val="63AF2399"/>
    <w:rsid w:val="63C04243"/>
    <w:rsid w:val="649C01C7"/>
    <w:rsid w:val="65C82775"/>
    <w:rsid w:val="6763094B"/>
    <w:rsid w:val="699A3F60"/>
    <w:rsid w:val="711978C6"/>
    <w:rsid w:val="72902E62"/>
    <w:rsid w:val="73C61104"/>
    <w:rsid w:val="76723D3E"/>
    <w:rsid w:val="776452EA"/>
    <w:rsid w:val="7DC663B9"/>
    <w:rsid w:val="7F703570"/>
    <w:rsid w:val="7FA562F4"/>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autoRedefine/>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autoRedefine/>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autoRedefine/>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autoRedefine/>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autoRedefine/>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autoRedefine/>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autoRedefine/>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autoRedefine/>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autoRedefine/>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autoRedefine/>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autoRedefine/>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autoRedefine/>
    <w:qFormat/>
    <w:uiPriority w:val="1"/>
    <w:rPr>
      <w:rFonts w:asciiTheme="minorHAnsi" w:hAnsiTheme="minorEastAsia" w:eastAsiaTheme="minorEastAsia" w:cstheme="minorBidi"/>
      <w:szCs w:val="22"/>
      <w:lang w:eastAsia="zh-CN"/>
    </w:rPr>
  </w:style>
  <w:style w:type="character" w:customStyle="1" w:styleId="26">
    <w:name w:val="Style5"/>
    <w:basedOn w:val="14"/>
    <w:autoRedefine/>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autoRedefine/>
    <w:qFormat/>
    <w:uiPriority w:val="9"/>
    <w:rPr>
      <w:rFonts w:ascii="Times New Roman" w:hAnsi="Times New Roman" w:eastAsia="宋体" w:cs="Times New Roman"/>
      <w:b/>
      <w:bCs/>
      <w:kern w:val="44"/>
      <w:sz w:val="44"/>
      <w:szCs w:val="44"/>
    </w:rPr>
  </w:style>
  <w:style w:type="character" w:customStyle="1" w:styleId="28">
    <w:name w:val="标题 2 Char"/>
    <w:basedOn w:val="14"/>
    <w:link w:val="3"/>
    <w:autoRedefine/>
    <w:qFormat/>
    <w:uiPriority w:val="9"/>
    <w:rPr>
      <w:rFonts w:asciiTheme="majorHAnsi" w:hAnsiTheme="majorHAnsi" w:eastAsiaTheme="majorEastAsia" w:cstheme="majorBidi"/>
      <w:b/>
      <w:bCs/>
      <w:sz w:val="32"/>
      <w:szCs w:val="32"/>
    </w:rPr>
  </w:style>
  <w:style w:type="character" w:customStyle="1" w:styleId="29">
    <w:name w:val="标题 3 Char"/>
    <w:basedOn w:val="14"/>
    <w:link w:val="4"/>
    <w:autoRedefine/>
    <w:qFormat/>
    <w:uiPriority w:val="9"/>
    <w:rPr>
      <w:rFonts w:ascii="Times New Roman" w:hAnsi="Times New Roman" w:eastAsia="宋体" w:cs="Times New Roman"/>
      <w:b/>
      <w:bCs/>
      <w:sz w:val="32"/>
      <w:szCs w:val="32"/>
    </w:rPr>
  </w:style>
  <w:style w:type="character" w:customStyle="1" w:styleId="30">
    <w:name w:val="标题 4 Char"/>
    <w:basedOn w:val="14"/>
    <w:link w:val="5"/>
    <w:autoRedefine/>
    <w:qFormat/>
    <w:uiPriority w:val="9"/>
    <w:rPr>
      <w:rFonts w:asciiTheme="majorHAnsi" w:hAnsiTheme="majorHAnsi" w:eastAsiaTheme="majorEastAsia" w:cstheme="majorBidi"/>
      <w:b/>
      <w:bCs/>
      <w:sz w:val="28"/>
      <w:szCs w:val="28"/>
    </w:rPr>
  </w:style>
  <w:style w:type="character" w:customStyle="1" w:styleId="31">
    <w:name w:val="日期 Char"/>
    <w:basedOn w:val="14"/>
    <w:link w:val="6"/>
    <w:autoRedefine/>
    <w:semiHidden/>
    <w:qFormat/>
    <w:uiPriority w:val="99"/>
    <w:rPr>
      <w:rFonts w:ascii="Times New Roman" w:hAnsi="Times New Roman" w:eastAsia="宋体" w:cs="Times New Roman"/>
      <w:szCs w:val="24"/>
    </w:rPr>
  </w:style>
  <w:style w:type="paragraph" w:styleId="32">
    <w:name w:val="List Paragraph"/>
    <w:basedOn w:val="1"/>
    <w:autoRedefine/>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fontTable" Target="fontTable.xml"/><Relationship Id="rId20" Type="http://schemas.openxmlformats.org/officeDocument/2006/relationships/customXml" Target="../customXml/item3.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6.jpeg"/><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image" Target="media/image5.png"/><Relationship Id="rId12" Type="http://schemas.openxmlformats.org/officeDocument/2006/relationships/chart" Target="charts/chart3.xml"/><Relationship Id="rId11" Type="http://schemas.openxmlformats.org/officeDocument/2006/relationships/image" Target="media/image4.png"/><Relationship Id="rId10" Type="http://schemas.openxmlformats.org/officeDocument/2006/relationships/chart" Target="charts/chart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24037;&#20316;&#31807;1"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Documents%20and%20Settings\Administrator\&#26700;&#38754;\&#26032;&#24314;%20XLS%20&#24037;&#20316;&#34920;.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C:\Documents%20and%20Settings\Administrator\&#26700;&#38754;\&#21016;&#20811;&#24378;\2018&#20915;&#31639;&#20844;&#24320;\&#26032;&#24314;%20XLS%20&#24037;&#20316;&#34920;.xls"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Documents%20and%20Settings\Administrator\&#26700;&#38754;\&#21016;&#20811;&#24378;\2018&#20915;&#31639;&#20844;&#24320;\&#26032;&#24314;%20XLS%20&#24037;&#20316;&#34920;.xls"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C:\Documents%20and%20Settings\Administrator\&#26700;&#38754;\&#21016;&#20811;&#24378;\2018&#20915;&#31639;&#20844;&#24320;\&#26032;&#24314;%20XLS%20&#24037;&#20316;&#349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[工作簿1]Sheet1!$D$2</c:f>
              <c:strCache>
                <c:ptCount val="1"/>
                <c:pt idx="0">
                  <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strRef>
              <c:f>[工作簿1]Sheet1!$C$3:$C$7</c:f>
              <c:strCache>
                <c:ptCount val="5"/>
                <c:pt idx="1">
                  <c:v>财政拨款收入</c:v>
                </c:pt>
              </c:strCache>
            </c:strRef>
          </c:cat>
          <c:val>
            <c:numRef>
              <c:f>[工作簿1]Sheet1!$D$3:$D$7</c:f>
              <c:numCache>
                <c:formatCode>General</c:formatCode>
                <c:ptCount val="5"/>
                <c:pt idx="1">
                  <c:v>5092.63</c:v>
                </c:pt>
              </c:numCache>
            </c:numRef>
          </c:val>
        </c:ser>
        <c:ser>
          <c:idx val="1"/>
          <c:order val="1"/>
          <c:tx>
            <c:strRef>
              <c:f>[工作簿1]Sheet1!$E$2</c:f>
              <c:strCache>
                <c:ptCount val="1"/>
                <c:pt idx="0">
                  <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strRef>
              <c:f>[工作簿1]Sheet1!$C$3:$C$7</c:f>
              <c:strCache>
                <c:ptCount val="5"/>
                <c:pt idx="1">
                  <c:v>财政拨款收入</c:v>
                </c:pt>
              </c:strCache>
            </c:strRef>
          </c:cat>
          <c:val>
            <c:numRef>
              <c:f>[工作簿1]Sheet1!$E$3:$E$7</c:f>
              <c:numCache>
                <c:formatCode>General</c:formatCode>
                <c:ptCount val="5"/>
              </c:numCache>
            </c:numRef>
          </c:val>
        </c:ser>
        <c:ser>
          <c:idx val="2"/>
          <c:order val="2"/>
          <c:tx>
            <c:strRef>
              <c:f>[工作簿1]Sheet1!$F$2</c:f>
              <c:strCache>
                <c:ptCount val="1"/>
                <c:pt idx="0">
                  <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strRef>
              <c:f>[工作簿1]Sheet1!$C$3:$C$7</c:f>
              <c:strCache>
                <c:ptCount val="5"/>
                <c:pt idx="1">
                  <c:v>财政拨款收入</c:v>
                </c:pt>
              </c:strCache>
            </c:strRef>
          </c:cat>
          <c:val>
            <c:numRef>
              <c:f>[工作簿1]Sheet1!$F$3:$F$7</c:f>
              <c:numCache>
                <c:formatCode>General</c:formatCode>
                <c:ptCount val="5"/>
              </c:numCache>
            </c:numRef>
          </c:val>
        </c:ser>
        <c:ser>
          <c:idx val="3"/>
          <c:order val="3"/>
          <c:tx>
            <c:strRef>
              <c:f>[工作簿1]Sheet1!$G$2</c:f>
              <c:strCache>
                <c:ptCount val="1"/>
                <c:pt idx="0">
                  <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strRef>
              <c:f>[工作簿1]Sheet1!$C$3:$C$7</c:f>
              <c:strCache>
                <c:ptCount val="5"/>
                <c:pt idx="1">
                  <c:v>财政拨款收入</c:v>
                </c:pt>
              </c:strCache>
            </c:strRef>
          </c:cat>
          <c:val>
            <c:numRef>
              <c:f>[工作簿1]Sheet1!$G$3:$G$7</c:f>
              <c:numCache>
                <c:formatCode>General</c:formatCode>
                <c:ptCount val="5"/>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0"/>
        <c:delete val="1"/>
      </c:legendEntry>
      <c:legendEntry>
        <c:idx val="2"/>
        <c:delete val="1"/>
      </c:legendEntry>
      <c:legendEntry>
        <c:idx val="3"/>
        <c:delete val="1"/>
      </c:legendEntry>
      <c:legendEntry>
        <c:idx val="4"/>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rgbClr val="595959">
                    <a:lumMod val="65000"/>
                    <a:lumOff val="35000"/>
                  </a:srgbClr>
                </a:solidFill>
                <a:latin typeface="+mn-lt"/>
                <a:ea typeface="+mn-ea"/>
                <a:cs typeface="+mn-cs"/>
              </a:defRPr>
            </a:pPr>
            <a:r>
              <a:t>决算收支占比图</a:t>
            </a:r>
          </a:p>
        </c:rich>
      </c:tx>
      <c:layout/>
      <c:overlay val="0"/>
      <c:spPr>
        <a:noFill/>
        <a:ln>
          <a:noFill/>
        </a:ln>
        <a:effectLst/>
      </c:spPr>
    </c:title>
    <c:autoTitleDeleted val="0"/>
    <c:plotArea>
      <c:layout/>
      <c:pieChart>
        <c:varyColors val="1"/>
        <c:ser>
          <c:idx val="0"/>
          <c:order val="0"/>
          <c:tx>
            <c:strRef>
              <c:f>'[新建 XLS 工作表.xls]Sheet1'!$C$3</c:f>
              <c:strCache>
                <c:ptCount val="1"/>
                <c:pt idx="0">
                  <c:v>基本支出</c:v>
                </c:pt>
              </c:strCache>
            </c:strRef>
          </c:tx>
          <c:spPr/>
          <c:explosion val="0"/>
          <c:dPt>
            <c:idx val="0"/>
            <c:bubble3D val="0"/>
            <c:spPr>
              <a:solidFill>
                <a:srgbClr val="4F81BD"/>
              </a:solidFill>
              <a:ln w="19050">
                <a:solidFill>
                  <a:srgbClr val="FFFFFF"/>
                </a:solidFill>
              </a:ln>
              <a:effectLst/>
            </c:spPr>
          </c:dPt>
          <c:dPt>
            <c:idx val="1"/>
            <c:bubble3D val="0"/>
            <c:spPr>
              <a:solidFill>
                <a:srgbClr val="C0504D"/>
              </a:solidFill>
              <a:ln w="19050">
                <a:solidFill>
                  <a:srgbClr val="FFFFFF"/>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lumMod val="75000"/>
                        <a:lumOff val="25000"/>
                      </a:srgb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rgbClr val="A6A6A6">
                          <a:lumMod val="35000"/>
                          <a:lumOff val="65000"/>
                        </a:srgbClr>
                      </a:solidFill>
                      <a:round/>
                    </a:ln>
                    <a:effectLst/>
                  </c:spPr>
                </c15:leaderLines>
              </c:ext>
            </c:extLst>
          </c:dLbls>
          <c:cat>
            <c:strRef>
              <c:f>'[新建 XLS 工作表.xls]Sheet1'!$C$3:$C$4</c:f>
              <c:strCache>
                <c:ptCount val="2"/>
                <c:pt idx="0">
                  <c:v>基本支出</c:v>
                </c:pt>
                <c:pt idx="1">
                  <c:v>项目支出</c:v>
                </c:pt>
              </c:strCache>
            </c:strRef>
          </c:cat>
          <c:val>
            <c:numRef>
              <c:f>'[新建 XLS 工作表.xls]Sheet1'!$A$3:$A$4</c:f>
              <c:numCache>
                <c:formatCode>General</c:formatCode>
                <c:ptCount val="2"/>
                <c:pt idx="0">
                  <c:v>98.8</c:v>
                </c:pt>
                <c:pt idx="1">
                  <c:v>1.2</c:v>
                </c:pt>
              </c:numCache>
            </c:numRef>
          </c:val>
        </c:ser>
        <c:ser>
          <c:idx val="1"/>
          <c:order val="1"/>
          <c:tx>
            <c:strRef>
              <c:f>'[新建 XLS 工作表.xls]Sheet1'!$C$4</c:f>
              <c:strCache>
                <c:ptCount val="1"/>
                <c:pt idx="0">
                  <c:v>项目支出</c:v>
                </c:pt>
              </c:strCache>
            </c:strRef>
          </c:tx>
          <c:spPr/>
          <c:explosion val="0"/>
          <c:dPt>
            <c:idx val="0"/>
            <c:bubble3D val="0"/>
            <c:spPr>
              <a:solidFill>
                <a:srgbClr val="4F81BD"/>
              </a:solidFill>
              <a:ln w="19050">
                <a:solidFill>
                  <a:srgbClr val="FFFFFF"/>
                </a:solidFill>
              </a:ln>
              <a:effectLst/>
            </c:spPr>
          </c:dPt>
          <c:dLbls>
            <c:delete val="1"/>
          </c:dLbls>
          <c:cat>
            <c:strRef>
              <c:f>'[新建 XLS 工作表.xls]Sheet1'!$C$3:$C$4</c:f>
              <c:strCache>
                <c:ptCount val="2"/>
                <c:pt idx="0">
                  <c:v>基本支出</c:v>
                </c:pt>
                <c:pt idx="1">
                  <c:v>项目支出</c:v>
                </c:pt>
              </c:strCache>
            </c:strRef>
          </c:cat>
          <c:val>
            <c:numRef>
              <c:f>{1}</c:f>
              <c:numCache>
                <c:formatCode>General</c:formatCode>
                <c:ptCount val="1"/>
                <c:pt idx="0">
                  <c:v>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legend>
    <c:plotVisOnly val="1"/>
    <c:dispBlanksAs val="gap"/>
    <c:showDLblsOverMax val="0"/>
  </c:chart>
  <c:spPr>
    <a:solidFill>
      <a:srgbClr val="FFFFFF"/>
    </a:solidFill>
    <a:ln w="9525" cap="flat" cmpd="sng" algn="ctr">
      <a:solidFill>
        <a:srgbClr val="D9D9D9">
          <a:lumMod val="15000"/>
          <a:lumOff val="85000"/>
        </a:srgb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财政拨款收支与</a:t>
            </a:r>
            <a:r>
              <a:rPr lang="en-US" altLang="zh-CN"/>
              <a:t>2017</a:t>
            </a:r>
            <a:r>
              <a:rPr altLang="en-US"/>
              <a:t>年度决算对比情况</a:t>
            </a:r>
            <a:endParaRPr altLang="en-US"/>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'[新建 XLS 工作表.xls]Sheet1'!$A$1:$A$4</c:f>
              <c:strCache>
                <c:ptCount val="4"/>
                <c:pt idx="0">
                  <c:v>2017年收入</c:v>
                </c:pt>
                <c:pt idx="1">
                  <c:v>2018年收入</c:v>
                </c:pt>
                <c:pt idx="2">
                  <c:v>2017年支出</c:v>
                </c:pt>
                <c:pt idx="3">
                  <c:v>2018年支出</c:v>
                </c:pt>
              </c:strCache>
            </c:strRef>
          </c:cat>
          <c:val>
            <c:numRef>
              <c:f>'[新建 XLS 工作表.xls]Sheet1'!$B$1:$B$4</c:f>
              <c:numCache>
                <c:formatCode>General</c:formatCode>
                <c:ptCount val="4"/>
                <c:pt idx="0">
                  <c:v>4529</c:v>
                </c:pt>
                <c:pt idx="1">
                  <c:v>5447.489393</c:v>
                </c:pt>
                <c:pt idx="2">
                  <c:v>4529</c:v>
                </c:pt>
                <c:pt idx="3">
                  <c:v>5447.489393</c:v>
                </c:pt>
              </c:numCache>
            </c:numRef>
          </c:val>
        </c:ser>
        <c:dLbls>
          <c:showLegendKey val="0"/>
          <c:showVal val="0"/>
          <c:showCatName val="0"/>
          <c:showSerName val="0"/>
          <c:showPercent val="0"/>
          <c:showBubbleSize val="0"/>
        </c:dLbls>
        <c:gapWidth val="219"/>
        <c:overlap val="-27"/>
        <c:axId val="430273075"/>
        <c:axId val="993753614"/>
      </c:barChart>
      <c:catAx>
        <c:axId val="43027307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93753614"/>
        <c:crosses val="autoZero"/>
        <c:auto val="1"/>
        <c:lblAlgn val="ctr"/>
        <c:lblOffset val="100"/>
        <c:noMultiLvlLbl val="0"/>
      </c:catAx>
      <c:valAx>
        <c:axId val="99375361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3027307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预决算收支对比</a:t>
            </a:r>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'[新建 XLS 工作表.xls]Sheet1'!$A$1:$A$4</c:f>
              <c:strCache>
                <c:ptCount val="4"/>
                <c:pt idx="0">
                  <c:v>2018财政拨款收入</c:v>
                </c:pt>
                <c:pt idx="1">
                  <c:v>2018年初预算</c:v>
                </c:pt>
                <c:pt idx="2">
                  <c:v>2018决算支出</c:v>
                </c:pt>
                <c:pt idx="3">
                  <c:v>2018预算支出</c:v>
                </c:pt>
              </c:strCache>
            </c:strRef>
          </c:cat>
          <c:val>
            <c:numRef>
              <c:f>'[新建 XLS 工作表.xls]Sheet1'!$B$1:$B$4</c:f>
              <c:numCache>
                <c:formatCode>General</c:formatCode>
                <c:ptCount val="4"/>
                <c:pt idx="0">
                  <c:v>5447.489393</c:v>
                </c:pt>
                <c:pt idx="1">
                  <c:v>5490.21</c:v>
                </c:pt>
                <c:pt idx="2">
                  <c:v>5447.489393</c:v>
                </c:pt>
                <c:pt idx="3">
                  <c:v>5490.21</c:v>
                </c:pt>
              </c:numCache>
            </c:numRef>
          </c:val>
        </c:ser>
        <c:dLbls>
          <c:showLegendKey val="0"/>
          <c:showVal val="0"/>
          <c:showCatName val="0"/>
          <c:showSerName val="0"/>
          <c:showPercent val="0"/>
          <c:showBubbleSize val="0"/>
        </c:dLbls>
        <c:gapWidth val="219"/>
        <c:overlap val="-27"/>
        <c:axId val="210144728"/>
        <c:axId val="915344465"/>
      </c:barChart>
      <c:catAx>
        <c:axId val="21014472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15344465"/>
        <c:crosses val="autoZero"/>
        <c:auto val="1"/>
        <c:lblAlgn val="ctr"/>
        <c:lblOffset val="100"/>
        <c:noMultiLvlLbl val="0"/>
      </c:catAx>
      <c:valAx>
        <c:axId val="91534446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101447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财政拨款支出决算结构情况</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'[新建 XLS 工作表.xls]Sheet1'!$A$1:$A$4</c:f>
              <c:strCache>
                <c:ptCount val="4"/>
                <c:pt idx="0">
                  <c:v>一般公共服务（类）</c:v>
                </c:pt>
                <c:pt idx="1">
                  <c:v>教育（类）</c:v>
                </c:pt>
                <c:pt idx="2">
                  <c:v>社会保障和就业（类）</c:v>
                </c:pt>
                <c:pt idx="3">
                  <c:v>农林水支出</c:v>
                </c:pt>
              </c:strCache>
            </c:strRef>
          </c:cat>
          <c:val>
            <c:numRef>
              <c:f>'[新建 XLS 工作表.xls]Sheet1'!$B$1:$B$4</c:f>
              <c:numCache>
                <c:formatCode>0.00%</c:formatCode>
                <c:ptCount val="4"/>
                <c:pt idx="0">
                  <c:v>0.1834</c:v>
                </c:pt>
                <c:pt idx="1">
                  <c:v>0.7089</c:v>
                </c:pt>
                <c:pt idx="2">
                  <c:v>0.1053</c:v>
                </c:pt>
                <c:pt idx="3">
                  <c:v>0.0024</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rgbClr val="4F81BD"/>
  <a:srgbClr val="C0504D"/>
  <a:srgbClr val="9BBB59"/>
  <a:srgbClr val="8064A2"/>
  <a:srgbClr val="4BACC6"/>
  <a:srgbClr val="F7964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rgbClr val="595959">
        <a:lumMod val="65000"/>
        <a:lumOff val="35000"/>
      </a:srgbClr>
    </cs:fontRef>
    <cs:defRPr sz="1000" kern="1200"/>
  </cs:axisTitle>
  <cs:categoryAxis>
    <cs:lnRef idx="0"/>
    <cs:fillRef idx="0"/>
    <cs:effectRef idx="0"/>
    <cs:fontRef idx="minor">
      <a:srgbClr val="595959">
        <a:lumMod val="65000"/>
        <a:lumOff val="35000"/>
      </a:srgbClr>
    </cs:fontRef>
    <cs:spPr>
      <a:ln w="9525" cap="flat" cmpd="sng" algn="ctr">
        <a:solidFill>
          <a:srgbClr val="D9D9D9">
            <a:lumMod val="15000"/>
            <a:lumOff val="85000"/>
          </a:srgbClr>
        </a:solidFill>
        <a:round/>
      </a:ln>
    </cs:spPr>
    <cs:defRPr sz="900" kern="1200"/>
  </cs:categoryAxis>
  <cs:chartArea mods="allowNoFillOverride allowNoLineOverride">
    <cs:lnRef idx="0"/>
    <cs:fillRef idx="0"/>
    <cs:effectRef idx="0"/>
    <cs:fontRef idx="minor">
      <a:srgbClr val="000000"/>
    </cs:fontRef>
    <cs:spPr>
      <a:solidFill>
        <a:srgbClr val="FFFFFF"/>
      </a:solidFill>
      <a:ln w="9525" cap="flat" cmpd="sng" algn="ctr">
        <a:solidFill>
          <a:srgbClr val="D9D9D9">
            <a:lumMod val="15000"/>
            <a:lumOff val="85000"/>
          </a:srgbClr>
        </a:solidFill>
        <a:round/>
      </a:ln>
    </cs:spPr>
    <cs:defRPr sz="900" kern="1200"/>
  </cs:chartArea>
  <cs:dataLabel>
    <cs:lnRef idx="0"/>
    <cs:fillRef idx="0"/>
    <cs:effectRef idx="0"/>
    <cs:fontRef idx="minor">
      <a:srgbClr val="404040">
        <a:lumMod val="75000"/>
        <a:lumOff val="25000"/>
      </a:srgbClr>
    </cs:fontRef>
    <cs:defRPr sz="900" kern="1200"/>
  </cs:dataLabel>
  <cs:dataLabelCallout>
    <cs:lnRef idx="0"/>
    <cs:fillRef idx="0"/>
    <cs:effectRef idx="0"/>
    <cs:fontRef idx="minor">
      <a:srgbClr val="595959">
        <a:lumMod val="65000"/>
        <a:lumOff val="35000"/>
      </a:srgbClr>
    </cs:fontRef>
    <cs:spPr>
      <a:solidFill>
        <a:srgbClr val="FFFFFF"/>
      </a:solidFill>
      <a:ln>
        <a:solidFill>
          <a:srgbClr val="BFBFBF">
            <a:lumMod val="25000"/>
            <a:lumOff val="75000"/>
          </a:srgb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rgbClr val="000000"/>
    </cs:fontRef>
    <cs:spPr>
      <a:ln w="19050">
        <a:solidFill>
          <a:srgbClr val="FFFFFF"/>
        </a:solidFill>
      </a:ln>
    </cs:spPr>
  </cs:dataPoint>
  <cs:dataPoint3D>
    <cs:lnRef idx="0"/>
    <cs:fillRef idx="1">
      <cs:styleClr val="auto"/>
    </cs:fillRef>
    <cs:effectRef idx="0"/>
    <cs:fontRef idx="minor">
      <a:srgbClr val="000000"/>
    </cs:fontRef>
    <cs:spPr>
      <a:ln w="25400">
        <a:solidFill>
          <a:srgbClr val="FFFFFF"/>
        </a:solidFill>
      </a:ln>
    </cs:spPr>
  </cs:dataPoint3D>
  <cs:dataPointLine>
    <cs:lnRef idx="0">
      <cs:styleClr val="auto"/>
    </cs:lnRef>
    <cs:fillRef idx="0"/>
    <cs:effectRef idx="0"/>
    <cs:fontRef idx="minor">
      <a:srgbClr val="000000"/>
    </cs:fontRef>
    <cs:spPr>
      <a:ln w="28575" cap="rnd">
        <a:solidFill>
          <a:srgbClr val="FFFFFF"/>
        </a:solidFill>
        <a:round/>
      </a:ln>
    </cs:spPr>
  </cs:dataPointLine>
  <cs:dataPointMarker>
    <cs:lnRef idx="0">
      <cs:styleClr val="auto"/>
    </cs:lnRef>
    <cs:fillRef idx="1">
      <cs:styleClr val="auto"/>
    </cs:fillRef>
    <cs:effectRef idx="0"/>
    <cs:fontRef idx="minor">
      <a:srgbClr val="000000"/>
    </cs:fontRef>
    <cs:spPr>
      <a:ln w="9525">
        <a:solidFill>
          <a:srgbClr val="FFFFFF"/>
        </a:solidFill>
      </a:ln>
    </cs:spPr>
  </cs:dataPointMarker>
  <cs:dataPointMarkerLayout symbol="circle" size="5"/>
  <cs:dataPointWireframe>
    <cs:lnRef idx="0">
      <cs:styleClr val="auto"/>
    </cs:lnRef>
    <cs:fillRef idx="0"/>
    <cs:effectRef idx="0"/>
    <cs:fontRef idx="minor">
      <a:srgbClr val="000000"/>
    </cs:fontRef>
    <cs:spPr>
      <a:ln w="9525" cap="rnd">
        <a:solidFill>
          <a:srgbClr val="FFFFFF"/>
        </a:solidFill>
        <a:round/>
      </a:ln>
    </cs:spPr>
  </cs:dataPointWireframe>
  <cs:dataTable>
    <cs:lnRef idx="0"/>
    <cs:fillRef idx="0"/>
    <cs:effectRef idx="0"/>
    <cs:fontRef idx="minor">
      <a:srgbClr val="595959">
        <a:lumMod val="65000"/>
        <a:lumOff val="35000"/>
      </a:srgbClr>
    </cs:fontRef>
    <cs:spPr>
      <a:noFill/>
      <a:ln w="9525" cap="flat" cmpd="sng" algn="ctr">
        <a:solidFill>
          <a:srgbClr val="D9D9D9">
            <a:lumMod val="15000"/>
            <a:lumOff val="85000"/>
          </a:srgbClr>
        </a:solidFill>
        <a:round/>
      </a:ln>
    </cs:spPr>
    <cs:defRPr sz="900" kern="1200"/>
  </cs:dataTable>
  <cs:downBar>
    <cs:lnRef idx="0"/>
    <cs:fillRef idx="0"/>
    <cs:effectRef idx="0"/>
    <cs:fontRef idx="minor">
      <a:srgbClr val="000000"/>
    </cs:fontRef>
    <cs:spPr>
      <a:solidFill>
        <a:srgbClr val="404040">
          <a:lumMod val="75000"/>
          <a:lumOff val="25000"/>
        </a:srgbClr>
      </a:solidFill>
      <a:ln w="9525" cap="flat" cmpd="sng" algn="ctr">
        <a:solidFill>
          <a:srgbClr val="595959">
            <a:lumMod val="65000"/>
            <a:lumOff val="35000"/>
          </a:srgbClr>
        </a:solidFill>
        <a:round/>
      </a:ln>
    </cs:spPr>
  </cs:downBar>
  <cs:dropLine>
    <cs:lnRef idx="0"/>
    <cs:fillRef idx="0"/>
    <cs:effectRef idx="0"/>
    <cs:fontRef idx="minor">
      <a:srgbClr val="000000"/>
    </cs:fontRef>
    <cs:spPr>
      <a:ln w="9525" cap="flat" cmpd="sng" algn="ctr">
        <a:solidFill>
          <a:srgbClr val="A6A6A6">
            <a:lumMod val="35000"/>
            <a:lumOff val="65000"/>
          </a:srgbClr>
        </a:solidFill>
        <a:round/>
      </a:ln>
    </cs:spPr>
  </cs:dropLine>
  <cs:errorBar>
    <cs:lnRef idx="0"/>
    <cs:fillRef idx="0"/>
    <cs:effectRef idx="0"/>
    <cs:fontRef idx="minor">
      <a:srgbClr val="000000"/>
    </cs:fontRef>
    <cs:spPr>
      <a:ln w="9525" cap="flat" cmpd="sng" algn="ctr">
        <a:solidFill>
          <a:srgbClr val="595959">
            <a:lumMod val="65000"/>
            <a:lumOff val="35000"/>
          </a:srgbClr>
        </a:solidFill>
        <a:round/>
      </a:ln>
    </cs:spPr>
  </cs:errorBar>
  <cs:floor>
    <cs:lnRef idx="0"/>
    <cs:fillRef idx="0"/>
    <cs:effectRef idx="0"/>
    <cs:fontRef idx="minor">
      <a:srgbClr val="000000"/>
    </cs:fontRef>
    <cs:spPr>
      <a:noFill/>
      <a:ln>
        <a:noFill/>
      </a:ln>
    </cs:spPr>
  </cs:floor>
  <cs:gridlineMajor>
    <cs:lnRef idx="0"/>
    <cs:fillRef idx="0"/>
    <cs:effectRef idx="0"/>
    <cs:fontRef idx="minor">
      <a:srgbClr val="000000"/>
    </cs:fontRef>
    <cs:spPr>
      <a:ln w="9525" cap="flat" cmpd="sng" algn="ctr">
        <a:solidFill>
          <a:srgbClr val="D9D9D9">
            <a:lumMod val="15000"/>
            <a:lumOff val="85000"/>
          </a:srgbClr>
        </a:solidFill>
        <a:round/>
      </a:ln>
    </cs:spPr>
  </cs:gridlineMajor>
  <cs:gridlineMinor>
    <cs:lnRef idx="0"/>
    <cs:fillRef idx="0"/>
    <cs:effectRef idx="0"/>
    <cs:fontRef idx="minor">
      <a:srgbClr val="000000"/>
    </cs:fontRef>
    <cs:spPr>
      <a:ln w="9525" cap="flat" cmpd="sng" algn="ctr">
        <a:solidFill>
          <a:srgbClr val="F2F2F2">
            <a:lumMod val="5000"/>
            <a:lumOff val="95000"/>
          </a:srgbClr>
        </a:solidFill>
        <a:round/>
      </a:ln>
    </cs:spPr>
  </cs:gridlineMinor>
  <cs:hiLoLine>
    <cs:lnRef idx="0"/>
    <cs:fillRef idx="0"/>
    <cs:effectRef idx="0"/>
    <cs:fontRef idx="minor">
      <a:srgbClr val="000000"/>
    </cs:fontRef>
    <cs:spPr>
      <a:ln w="9525" cap="flat" cmpd="sng" algn="ctr">
        <a:solidFill>
          <a:srgbClr val="808080">
            <a:lumMod val="50000"/>
            <a:lumOff val="50000"/>
          </a:srgbClr>
        </a:solidFill>
        <a:round/>
      </a:ln>
    </cs:spPr>
  </cs:hiLoLine>
  <cs:leaderLine>
    <cs:lnRef idx="0"/>
    <cs:fillRef idx="0"/>
    <cs:effectRef idx="0"/>
    <cs:fontRef idx="minor">
      <a:srgbClr val="000000"/>
    </cs:fontRef>
    <cs:spPr>
      <a:ln w="9525" cap="flat" cmpd="sng" algn="ctr">
        <a:solidFill>
          <a:srgbClr val="A6A6A6">
            <a:lumMod val="35000"/>
            <a:lumOff val="65000"/>
          </a:srgbClr>
        </a:solidFill>
        <a:round/>
      </a:ln>
    </cs:spPr>
  </cs:leaderLine>
  <cs:legend>
    <cs:lnRef idx="0"/>
    <cs:fillRef idx="0"/>
    <cs:effectRef idx="0"/>
    <cs:fontRef idx="minor">
      <a:srgbClr val="595959">
        <a:lumMod val="65000"/>
        <a:lumOff val="35000"/>
      </a:srgbClr>
    </cs:fontRef>
    <cs:defRPr sz="900" kern="1200"/>
  </cs:legend>
  <cs:plotArea mods="allowNoFillOverride allowNoLineOverride">
    <cs:lnRef idx="0"/>
    <cs:fillRef idx="0"/>
    <cs:effectRef idx="0"/>
    <cs:fontRef idx="minor">
      <a:srgbClr val="000000"/>
    </cs:fontRef>
  </cs:plotArea>
  <cs:plotArea3D mods="allowNoFillOverride allowNoLineOverride">
    <cs:lnRef idx="0"/>
    <cs:fillRef idx="0"/>
    <cs:effectRef idx="0"/>
    <cs:fontRef idx="minor">
      <a:srgbClr val="000000"/>
    </cs:fontRef>
  </cs:plotArea3D>
  <cs:seriesAxis>
    <cs:lnRef idx="0"/>
    <cs:fillRef idx="0"/>
    <cs:effectRef idx="0"/>
    <cs:fontRef idx="minor">
      <a:srgbClr val="595959">
        <a:lumMod val="65000"/>
        <a:lumOff val="35000"/>
      </a:srgbClr>
    </cs:fontRef>
    <cs:defRPr sz="900" kern="1200"/>
  </cs:seriesAxis>
  <cs:seriesLine>
    <cs:lnRef idx="0"/>
    <cs:fillRef idx="0"/>
    <cs:effectRef idx="0"/>
    <cs:fontRef idx="minor">
      <a:srgbClr val="000000"/>
    </cs:fontRef>
    <cs:spPr>
      <a:ln w="9525" cap="flat" cmpd="sng" algn="ctr">
        <a:solidFill>
          <a:srgbClr val="A6A6A6">
            <a:lumMod val="35000"/>
            <a:lumOff val="65000"/>
          </a:srgbClr>
        </a:solidFill>
        <a:round/>
      </a:ln>
    </cs:spPr>
  </cs:seriesLine>
  <cs:title>
    <cs:lnRef idx="0"/>
    <cs:fillRef idx="0"/>
    <cs:effectRef idx="0"/>
    <cs:fontRef idx="minor">
      <a:srgbClr val="595959">
        <a:lumMod val="65000"/>
        <a:lumOff val="35000"/>
      </a:srgbClr>
    </cs:fontRef>
    <cs:defRPr sz="1400" b="0" kern="1200" spc="0" baseline="0"/>
  </cs:title>
  <cs:trendline>
    <cs:lnRef idx="0">
      <cs:styleClr val="auto"/>
    </cs:lnRef>
    <cs:fillRef idx="0"/>
    <cs:effectRef idx="0"/>
    <cs:fontRef idx="minor">
      <a:srgbClr val="000000"/>
    </cs:fontRef>
    <cs:spPr>
      <a:ln w="19050" cap="rnd">
        <a:solidFill>
          <a:srgbClr val="FFFFFF"/>
        </a:solidFill>
        <a:prstDash val="sysDot"/>
      </a:ln>
    </cs:spPr>
  </cs:trendline>
  <cs:trendlineLabel>
    <cs:lnRef idx="0"/>
    <cs:fillRef idx="0"/>
    <cs:effectRef idx="0"/>
    <cs:fontRef idx="minor">
      <a:srgbClr val="595959">
        <a:lumMod val="65000"/>
        <a:lumOff val="35000"/>
      </a:srgbClr>
    </cs:fontRef>
    <cs:defRPr sz="900" kern="1200"/>
  </cs:trendlineLabel>
  <cs:upBar>
    <cs:lnRef idx="0"/>
    <cs:fillRef idx="0"/>
    <cs:effectRef idx="0"/>
    <cs:fontRef idx="minor">
      <a:srgbClr val="000000"/>
    </cs:fontRef>
    <cs:spPr>
      <a:solidFill>
        <a:srgbClr val="FFFFFF"/>
      </a:solidFill>
      <a:ln w="9525" cap="flat" cmpd="sng" algn="ctr">
        <a:solidFill>
          <a:srgbClr val="595959">
            <a:lumMod val="65000"/>
            <a:lumOff val="35000"/>
          </a:srgbClr>
        </a:solidFill>
        <a:round/>
      </a:ln>
    </cs:spPr>
  </cs:upBar>
  <cs:valueAxis>
    <cs:lnRef idx="0"/>
    <cs:fillRef idx="0"/>
    <cs:effectRef idx="0"/>
    <cs:fontRef idx="minor">
      <a:srgbClr val="595959">
        <a:lumMod val="65000"/>
        <a:lumOff val="35000"/>
      </a:srgbClr>
    </cs:fontRef>
    <cs:defRPr sz="900" kern="1200"/>
  </cs:valueAxis>
  <cs:wall>
    <cs:lnRef idx="0"/>
    <cs:fillRef idx="0"/>
    <cs:effectRef idx="0"/>
    <cs:fontRef idx="minor">
      <a:srgbClr val="000000"/>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customShpInfo spid="_x0000_s1123"/>
    <customShpInfo spid="_x0000_s1122"/>
    <customShpInfo spid="_x0000_s1121"/>
    <customShpInfo spid="_x0000_s1120"/>
    <customShpInfo spid="_x0000_s1119"/>
    <customShpInfo spid="_x0000_s1118"/>
    <customShpInfo spid="_x0000_s1117"/>
    <customShpInfo spid="_x0000_s1116"/>
    <customShpInfo spid="_x0000_s1115"/>
    <customShpInfo spid="_x0000_s1114"/>
    <customShpInfo spid="_x0000_s1113"/>
    <customShpInfo spid="_x0000_s1082"/>
    <customShpInfo spid="_x0000_s1081"/>
    <customShpInfo spid="_x0000_s1080"/>
    <customShpInfo spid="_x0000_s1079"/>
    <customShpInfo spid="_x0000_s1078"/>
    <customShpInfo spid="_x0000_s1077"/>
    <customShpInfo spid="_x0000_s1076"/>
    <customShpInfo spid="_x0000_s1075"/>
    <customShpInfo spid="_x0000_s1074"/>
    <customShpInfo spid="_x0000_s1073"/>
    <customShpInfo spid="_x0000_s1072"/>
    <customShpInfo spid="_x0000_s1071"/>
    <customShpInfo spid="_x0000_s1070"/>
    <customShpInfo spid="_x0000_s1066"/>
    <customShpInfo spid="_x0000_s1065"/>
    <customShpInfo spid="_x0000_s1064"/>
    <customShpInfo spid="_x0000_s1063"/>
    <customShpInfo spid="_x0000_s1062"/>
    <customShpInfo spid="_x0000_s1061"/>
    <customShpInfo spid="_x0000_s1060"/>
    <customShpInfo spid="_x0000_s1059"/>
    <customShpInfo spid="_x0000_s1058"/>
    <customShpInfo spid="_x0000_s1057"/>
    <customShpInfo spid="_x0000_s1056"/>
    <customShpInfo spid="_x0000_s1055"/>
    <customShpInfo spid="_x0000_s1054"/>
    <customShpInfo spid="_x0000_s1053"/>
    <customShpInfo spid="_x0000_s1052"/>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C94ECB2-1DAF-4240-AB65-51141F4A8E82}">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23</Pages>
  <Words>4937</Words>
  <Characters>5301</Characters>
  <Lines>46</Lines>
  <Paragraphs>13</Paragraphs>
  <TotalTime>5</TotalTime>
  <ScaleCrop>false</ScaleCrop>
  <LinksUpToDate>false</LinksUpToDate>
  <CharactersWithSpaces>5326</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 </cp:lastModifiedBy>
  <cp:lastPrinted>2019-01-11T07:45:00Z</cp:lastPrinted>
  <dcterms:modified xsi:type="dcterms:W3CDTF">2024-09-21T07:03:59Z</dcterms:modified>
  <dc:subject>石家庄市xxx部门</dc:subject>
  <dc:title>2017年度部门决算</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A148B16167274EF8B2EDA41A6852D409_12</vt:lpwstr>
  </property>
</Properties>
</file>