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hd w:val="clear" w:fill="FFFFFF" w:themeFill="background1"/>
        <w:snapToGrid w:val="0"/>
        <w:jc w:val="cente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石家庄市藁城区九门回族乡人民政府</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tbl>
      <w:tblPr>
        <w:tblStyle w:val="6"/>
        <w:tblW w:w="81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72"/>
        <w:gridCol w:w="47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tblHeader/>
          <w:jc w:val="center"/>
        </w:trPr>
        <w:tc>
          <w:tcPr>
            <w:tcW w:w="3372" w:type="dxa"/>
            <w:noWrap w:val="0"/>
            <w:vAlign w:val="center"/>
          </w:tcPr>
          <w:p>
            <w:pPr>
              <w:jc w:val="center"/>
              <w:rPr>
                <w:rFonts w:ascii="Calibri" w:hAnsi="Calibri" w:eastAsia="宋体" w:cs="Times New Roman"/>
                <w:b/>
                <w:sz w:val="36"/>
                <w:szCs w:val="36"/>
              </w:rPr>
            </w:pPr>
            <w:r>
              <w:rPr>
                <w:rFonts w:hint="eastAsia" w:ascii="Calibri" w:hAnsi="Calibri" w:eastAsia="宋体" w:cs="Times New Roman"/>
                <w:b/>
                <w:sz w:val="36"/>
                <w:szCs w:val="36"/>
              </w:rPr>
              <w:t>职责活动</w:t>
            </w:r>
          </w:p>
        </w:tc>
        <w:tc>
          <w:tcPr>
            <w:tcW w:w="4768" w:type="dxa"/>
            <w:noWrap w:val="0"/>
            <w:vAlign w:val="center"/>
          </w:tcPr>
          <w:p>
            <w:pPr>
              <w:jc w:val="center"/>
              <w:rPr>
                <w:rFonts w:ascii="Calibri" w:hAnsi="Calibri" w:eastAsia="宋体" w:cs="Times New Roman"/>
                <w:b/>
                <w:sz w:val="36"/>
                <w:szCs w:val="36"/>
              </w:rPr>
            </w:pPr>
            <w:r>
              <w:rPr>
                <w:rFonts w:hint="eastAsia" w:ascii="Calibri" w:hAnsi="Calibri" w:eastAsia="宋体" w:cs="Times New Roman"/>
                <w:b/>
                <w:sz w:val="36"/>
                <w:szCs w:val="36"/>
              </w:rPr>
              <w:t>内容描述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政务管理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依法依规履行机关日常管理职责。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综合业务管理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加强推进党的基层组织建设、纪检监察、党风廉政建设、统一战线、人民武装、精神文明建设、组织人事工作。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综合事务管理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加强机关事务性管理，开展机关自身能力建设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应急管理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有效保证乡政府日常应急值守和突发事件应对处置工作；完善应急预案体系建设，确保遇突发事件能够有效应对。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应急管理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做好各类突发事件得到及时妥善处置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维护社会稳定和国家安全</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保证乡政府每日有日接待上访人，限时间完成信访事件的跟进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信访接待</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保证信访人到乡反</w:t>
            </w:r>
            <w:r>
              <w:rPr>
                <w:rFonts w:hint="eastAsia" w:ascii="方正书宋_GBK" w:hAnsi="Calibri" w:eastAsia="方正书宋_GBK" w:cs="Times New Roman"/>
                <w:lang w:eastAsia="zh-CN"/>
              </w:rPr>
              <w:t>映</w:t>
            </w:r>
            <w:bookmarkStart w:id="0" w:name="_GoBack"/>
            <w:bookmarkEnd w:id="0"/>
            <w:r>
              <w:rPr>
                <w:rFonts w:hint="eastAsia" w:ascii="方正书宋_GBK" w:hAnsi="Calibri" w:eastAsia="方正书宋_GBK" w:cs="Times New Roman"/>
              </w:rPr>
              <w:t>问题时有专人接待，并能够负责信访事件的跟踪保证信访事件的解决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协调维护社会稳定和国家安全</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指导、协调和督导各级各部门排查、化解影响社会稳定的重大不稳定隐患、群体性事件和突发事件及影响国家安全的事件。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推动经济发展，完善基础设施，惠及民生。</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承担经济发展和民生改善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经济发展</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制定经济发展规划，促进民营企业发展，招商引资，发展支柱产业。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加强土地使用管理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管理土地使用情况管理汇报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土地管理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环境保护与治理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承担环境保护和治理环境污染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环境管理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强化环境管理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食品安全管理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依法进行食品安全管理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食品安全</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强化食品安全管理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推动经济发展，完善基础设施，惠及民生。</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承担经济发展和民生改善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民生改善</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加强基础设施建设，落实强农惠农措施，搞好技术推广应用。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社会救助政策及管理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承担社会救助体系建设，负责农村居民最低生活保障、五保供养、医疗救助。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农村居民最低生活保障</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负责符合条件的农村居民最低生活保障工作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9"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计划生育奖励扶持政策</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采取奖励、扶助、社会保障等机制，引导家庭和个人打取计划生育措施，提高计划生育家庭发展能力。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9"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出生人口性别比治理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做好出生人口性别比治理工作的组织领导、宣传倡导、利益导向、全程服务、严查</w:t>
            </w:r>
            <w:r>
              <w:rPr>
                <w:rFonts w:hint="cs" w:ascii="方正书宋_GBK" w:hAnsi="Calibri" w:eastAsia="方正书宋_GBK" w:cs="Times New Roman"/>
                <w:cs/>
              </w:rPr>
              <w:t>“</w:t>
            </w:r>
            <w:r>
              <w:rPr>
                <w:rFonts w:hint="eastAsia" w:ascii="方正书宋_GBK" w:hAnsi="Calibri" w:eastAsia="方正书宋_GBK" w:cs="Times New Roman"/>
              </w:rPr>
              <w:t>两非</w:t>
            </w:r>
            <w:r>
              <w:rPr>
                <w:rFonts w:hint="cs" w:ascii="方正书宋_GBK" w:hAnsi="Calibri" w:eastAsia="方正书宋_GBK" w:cs="Times New Roman"/>
                <w:cs/>
              </w:rPr>
              <w:t>”</w:t>
            </w:r>
            <w:r>
              <w:rPr>
                <w:rFonts w:hint="eastAsia" w:ascii="方正书宋_GBK" w:hAnsi="Calibri" w:eastAsia="方正书宋_GBK" w:cs="Times New Roman"/>
              </w:rPr>
              <w:t>、统计监测、考核评估等重点工作。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政务管理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落实计生相关法律法规，业务宣传工作，加强计生能力建设</w:t>
            </w:r>
            <w:r>
              <w:rPr>
                <w:rFonts w:ascii="方正书宋_GBK" w:hAnsi="Calibri" w:eastAsia="方正书宋_GBK" w:cs="Times New Roman"/>
              </w:rPr>
              <w:t>,</w:t>
            </w:r>
            <w:r>
              <w:rPr>
                <w:rFonts w:hint="eastAsia" w:ascii="方正书宋_GBK" w:hAnsi="Calibri" w:eastAsia="方正书宋_GBK" w:cs="Times New Roman"/>
              </w:rPr>
              <w:t>落实计划生育一票否决制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综合业务管理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开展计生宣传教育，政策落实等综合业务工作。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预算管理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负责乡财政预算管理与执行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合理安排预算</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按照保工资、保运转的顺序做好预算安排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财务管理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负责乡机关收支活动，组织实施乡财务核算及监督工作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严格村财务管理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按时间要求报账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村财乡代管</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负责村级财务核算及监督工作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严格票据管理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涉农资金</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负责涉农资金的落实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坚持抽查制度</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不定期进村入户抽查涉农资金落实情况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国有资产管理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负责管理乡镇国有资产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坚持定期核查</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采用按月进行资产核查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债权债务管理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实施债权债务监督管理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坚持以收定支</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坚持以收定支，杜绝举债行为发生。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农村管理</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农村村容村貌维护提升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新农村建设</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负责农村卫生长效管理及基础设施建设等强狂落实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完善农村经营管理体制</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推进农村集体产权制度改革，完善农村土地承包制度，引导农村土地合理流转。创新农业经营主体。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促进土地流转</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建设土地流转有形市场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计生服务</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开展计划生育各种知识宣传和咨询服务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计划生育服务</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免费为农村计划怀孕夫妇实行孕前优生健康检查；免费为公民提供计划生育避孕节育基本技术服务；免费为农村已婚育龄妇女提供生殖健康检查服务。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计划生育咨询服务</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开展计划生育、生殖保健、优生优育知识宣传教育和咨询服务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noWrap w:val="0"/>
            <w:vAlign w:val="center"/>
          </w:tcPr>
          <w:p>
            <w:pPr>
              <w:jc w:val="center"/>
              <w:rPr>
                <w:rFonts w:ascii="Calibri" w:hAnsi="Calibri" w:eastAsia="宋体" w:cs="Times New Roman"/>
                <w:b/>
                <w:sz w:val="24"/>
                <w:szCs w:val="24"/>
              </w:rPr>
            </w:pPr>
            <w:r>
              <w:rPr>
                <w:rFonts w:hint="eastAsia" w:ascii="Calibri" w:hAnsi="Calibri" w:eastAsia="宋体" w:cs="Times New Roman"/>
                <w:b/>
                <w:sz w:val="24"/>
                <w:szCs w:val="24"/>
              </w:rPr>
              <w:t>计划生育保健及优生服务</w:t>
            </w:r>
          </w:p>
        </w:tc>
        <w:tc>
          <w:tcPr>
            <w:tcW w:w="4768" w:type="dxa"/>
            <w:noWrap w:val="0"/>
            <w:vAlign w:val="center"/>
          </w:tcPr>
          <w:p>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开展力所能及的母婴保健及优生服务</w:t>
            </w:r>
          </w:p>
        </w:tc>
      </w:tr>
    </w:tbl>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center"/>
          </w:tcPr>
          <w:p>
            <w:pPr>
              <w:spacing w:line="3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sz w:val="28"/>
                <w:szCs w:val="28"/>
              </w:rPr>
              <w:t>石家庄市藁城区九门回族乡人民政府</w:t>
            </w:r>
          </w:p>
        </w:tc>
        <w:tc>
          <w:tcPr>
            <w:tcW w:w="2445" w:type="dxa"/>
            <w:vAlign w:val="center"/>
          </w:tcPr>
          <w:p>
            <w:pPr>
              <w:spacing w:line="300" w:lineRule="exact"/>
              <w:jc w:val="center"/>
              <w:rPr>
                <w:rFonts w:hint="eastAsia" w:ascii="仿宋_GB2312" w:hAnsi="仿宋_GB2312" w:eastAsia="仿宋_GB2312" w:cs="仿宋_GB2312"/>
                <w:kern w:val="0"/>
                <w:sz w:val="28"/>
                <w:szCs w:val="28"/>
                <w:lang w:eastAsia="zh-CN"/>
              </w:rPr>
            </w:pPr>
            <w:r>
              <w:rPr>
                <w:rFonts w:hint="eastAsia" w:ascii="仿宋_GB2312" w:hAnsi="仿宋_GB2312" w:eastAsia="仿宋_GB2312" w:cs="仿宋_GB2312"/>
                <w:sz w:val="28"/>
                <w:szCs w:val="28"/>
              </w:rPr>
              <w:t>行政</w:t>
            </w:r>
            <w:r>
              <w:rPr>
                <w:rFonts w:hint="eastAsia" w:ascii="仿宋_GB2312" w:hAnsi="仿宋_GB2312" w:eastAsia="仿宋_GB2312" w:cs="仿宋_GB2312"/>
                <w:sz w:val="28"/>
                <w:szCs w:val="28"/>
                <w:lang w:eastAsia="zh-CN"/>
              </w:rPr>
              <w:t>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center"/>
          </w:tcPr>
          <w:p>
            <w:pPr>
              <w:spacing w:line="3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sz w:val="28"/>
                <w:szCs w:val="28"/>
              </w:rPr>
              <w:t>石家庄市藁城区九门回族乡学区</w:t>
            </w:r>
          </w:p>
        </w:tc>
        <w:tc>
          <w:tcPr>
            <w:tcW w:w="2445" w:type="dxa"/>
            <w:vAlign w:val="center"/>
          </w:tcPr>
          <w:p>
            <w:pPr>
              <w:spacing w:line="3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sz w:val="28"/>
                <w:szCs w:val="28"/>
                <w:lang w:eastAsia="zh-CN"/>
              </w:rPr>
              <w:t>参公</w:t>
            </w:r>
            <w:r>
              <w:rPr>
                <w:rFonts w:hint="eastAsia" w:ascii="仿宋_GB2312" w:hAnsi="仿宋_GB2312" w:eastAsia="仿宋_GB2312" w:cs="仿宋_GB2312"/>
                <w:sz w:val="28"/>
                <w:szCs w:val="28"/>
              </w:rPr>
              <w:t>事业</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仿宋_GB2312" w:eastAsia="仿宋_GB2312" w:cs="仿宋_GB2312"/>
                <w:sz w:val="28"/>
                <w:szCs w:val="28"/>
              </w:rPr>
              <w:t>财政性资金基本保证经费</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155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4125.09</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1365.12</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24.86</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sz w:val="32"/>
          <w:szCs w:val="32"/>
          <w:lang w:eastAsia="zh-CN"/>
        </w:rPr>
        <w:t>今年税收减少，经费缩减</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4125.09</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4125.09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仿宋" w:eastAsia="仿宋_GB2312"/>
          <w:sz w:val="32"/>
          <w:szCs w:val="32"/>
          <w:lang w:eastAsia="zh-CN"/>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4118.91</w:t>
      </w:r>
      <w:r>
        <w:rPr>
          <w:rFonts w:hint="eastAsia" w:ascii="仿宋_GB2312" w:hAnsi="Times New Roman" w:eastAsia="仿宋_GB2312" w:cs="DengXian-Regular"/>
          <w:sz w:val="32"/>
          <w:szCs w:val="32"/>
        </w:rPr>
        <w:t>万元，其中：基本支出</w:t>
      </w:r>
      <w:r>
        <w:rPr>
          <w:rFonts w:hint="eastAsia" w:ascii="仿宋_GB2312" w:eastAsia="仿宋_GB2312"/>
          <w:sz w:val="32"/>
          <w:szCs w:val="32"/>
          <w:lang w:val="en-US" w:eastAsia="zh-CN"/>
        </w:rPr>
        <w:t>3934.44</w:t>
      </w:r>
      <w:r>
        <w:rPr>
          <w:rFonts w:hint="eastAsia" w:ascii="仿宋_GB2312" w:hAnsi="Times New Roman" w:eastAsia="仿宋_GB2312" w:cs="DengXian-Regular"/>
          <w:sz w:val="32"/>
          <w:szCs w:val="32"/>
        </w:rPr>
        <w:t>万元，占</w:t>
      </w:r>
      <w:r>
        <w:rPr>
          <w:rFonts w:hint="eastAsia" w:ascii="仿宋_GB2312" w:eastAsia="仿宋_GB2312"/>
          <w:sz w:val="32"/>
          <w:szCs w:val="32"/>
        </w:rPr>
        <w:t>9</w:t>
      </w:r>
      <w:r>
        <w:rPr>
          <w:rFonts w:hint="eastAsia" w:ascii="仿宋_GB2312" w:eastAsia="仿宋_GB2312"/>
          <w:sz w:val="32"/>
          <w:szCs w:val="32"/>
          <w:lang w:val="en-US" w:eastAsia="zh-CN"/>
        </w:rPr>
        <w:t>5.52</w:t>
      </w:r>
      <w:r>
        <w:rPr>
          <w:rFonts w:hint="eastAsia" w:ascii="仿宋_GB2312" w:hAnsi="Times New Roman" w:eastAsia="仿宋_GB2312" w:cs="DengXian-Regular"/>
          <w:sz w:val="32"/>
          <w:szCs w:val="32"/>
        </w:rPr>
        <w:t>%；项目支出</w:t>
      </w:r>
      <w:r>
        <w:rPr>
          <w:rFonts w:hint="eastAsia" w:ascii="仿宋_GB2312" w:eastAsia="仿宋_GB2312"/>
          <w:sz w:val="32"/>
          <w:szCs w:val="32"/>
          <w:lang w:val="en-US" w:eastAsia="zh-CN"/>
        </w:rPr>
        <w:t>184.47</w:t>
      </w:r>
      <w:r>
        <w:rPr>
          <w:rFonts w:hint="eastAsia" w:ascii="仿宋_GB2312" w:hAnsi="Times New Roman" w:eastAsia="仿宋_GB2312" w:cs="DengXian-Regular"/>
          <w:sz w:val="32"/>
          <w:szCs w:val="32"/>
        </w:rPr>
        <w:t>万元，占</w:t>
      </w:r>
      <w:r>
        <w:rPr>
          <w:rFonts w:hint="eastAsia" w:ascii="仿宋_GB2312" w:eastAsia="仿宋_GB2312"/>
          <w:sz w:val="32"/>
          <w:szCs w:val="32"/>
          <w:lang w:val="en-US" w:eastAsia="zh-CN"/>
        </w:rPr>
        <w:t>4.48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pPr>
        <w:adjustRightInd w:val="0"/>
        <w:snapToGrid w:val="0"/>
        <w:spacing w:line="240" w:lineRule="auto"/>
        <w:rPr>
          <w:rFonts w:hint="eastAsia" w:ascii="仿宋_GB2312" w:hAnsi="仿宋" w:eastAsia="仿宋_GB2312"/>
          <w:sz w:val="32"/>
          <w:szCs w:val="32"/>
          <w:lang w:eastAsia="zh-CN"/>
        </w:rPr>
      </w:pPr>
      <w:r>
        <w:rPr>
          <w:rFonts w:hint="eastAsia" w:ascii="仿宋_GB2312" w:hAnsi="仿宋" w:eastAsia="仿宋_GB2312"/>
          <w:sz w:val="32"/>
          <w:szCs w:val="32"/>
          <w:lang w:eastAsia="zh-CN"/>
        </w:rPr>
        <w:drawing>
          <wp:inline distT="0" distB="0" distL="114300" distR="114300">
            <wp:extent cx="4584065" cy="2755265"/>
            <wp:effectExtent l="0" t="0" r="6985" b="6985"/>
            <wp:docPr id="35" name="图片 35"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图片1"/>
                    <pic:cNvPicPr>
                      <a:picLocks noChangeAspect="1"/>
                    </pic:cNvPicPr>
                  </pic:nvPicPr>
                  <pic:blipFill>
                    <a:blip r:embed="rId29"/>
                    <a:stretch>
                      <a:fillRect/>
                    </a:stretch>
                  </pic:blipFill>
                  <pic:spPr>
                    <a:xfrm>
                      <a:off x="0" y="0"/>
                      <a:ext cx="4584065" cy="2755265"/>
                    </a:xfrm>
                    <a:prstGeom prst="rect">
                      <a:avLst/>
                    </a:prstGeom>
                  </pic:spPr>
                </pic:pic>
              </a:graphicData>
            </a:graphic>
          </wp:inline>
        </w:drawing>
      </w:r>
    </w:p>
    <w:p>
      <w:pPr>
        <w:adjustRightInd w:val="0"/>
        <w:snapToGrid w:val="0"/>
        <w:spacing w:line="580" w:lineRule="exact"/>
        <w:ind w:firstLine="1920" w:firstLineChars="600"/>
        <w:rPr>
          <w:rFonts w:ascii="黑体" w:hAnsi="Calibri" w:eastAsia="黑体" w:cs="Times New Roman"/>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1059815</wp:posOffset>
                </wp:positionH>
                <wp:positionV relativeFrom="paragraph">
                  <wp:posOffset>303530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44370" y="7439025"/>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45pt;margin-top:23.9pt;height:38.05pt;width:260.95pt;z-index:-251645952;mso-width-relative:page;mso-height-relative:page;" fillcolor="#FFFFFF" filled="t" stroked="f" coordsize="21600,21600" o:gfxdata="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ROyxv9QAAAAKAQAADwAAAAAAAAABACAAAAAiAAAAZHJzL2Rvd25yZXYueG1sUEsBAhQAFAAA&#10;AAgAh07iQOuOogllAgAAqwQAAA4AAAAAAAAAAQAgAAAAIwEAAGRycy9lMm9Eb2MueG1sUEsFBgAA&#10;AAAGAAYAWQEAAPoFA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4125.09</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1365.12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24.86</w:t>
      </w:r>
      <w:r>
        <w:rPr>
          <w:rFonts w:hint="eastAsia" w:ascii="仿宋_GB2312" w:hAnsi="Times New Roman" w:eastAsia="仿宋_GB2312" w:cs="DengXian-Regular"/>
          <w:sz w:val="32"/>
          <w:szCs w:val="32"/>
        </w:rPr>
        <w:t>%，主要是</w:t>
      </w:r>
      <w:r>
        <w:rPr>
          <w:rFonts w:hint="eastAsia" w:ascii="仿宋_GB2312" w:hAnsi="仿宋_GB2312" w:eastAsia="仿宋_GB2312" w:cs="仿宋_GB2312"/>
          <w:sz w:val="32"/>
          <w:szCs w:val="32"/>
          <w:lang w:eastAsia="zh-CN"/>
        </w:rPr>
        <w:t>今年人员减少，税收减少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4118.91</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1371.3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24.98</w:t>
      </w:r>
      <w:r>
        <w:rPr>
          <w:rFonts w:hint="eastAsia" w:ascii="仿宋_GB2312" w:hAnsi="Times New Roman" w:eastAsia="仿宋_GB2312" w:cs="DengXian-Regular"/>
          <w:sz w:val="32"/>
          <w:szCs w:val="32"/>
        </w:rPr>
        <w:t>%，主要是</w:t>
      </w:r>
      <w:r>
        <w:rPr>
          <w:rFonts w:hint="eastAsia" w:ascii="仿宋_GB2312" w:hAnsi="仿宋_GB2312" w:eastAsia="仿宋_GB2312" w:cs="仿宋_GB2312"/>
          <w:sz w:val="32"/>
          <w:szCs w:val="32"/>
          <w:lang w:eastAsia="zh-CN"/>
        </w:rPr>
        <w:t>今年税收减少，经费缩减</w:t>
      </w:r>
      <w:r>
        <w:rPr>
          <w:rFonts w:hint="eastAsia" w:ascii="仿宋_GB2312" w:hAnsi="Times New Roman" w:eastAsia="仿宋_GB2312" w:cs="DengXian-Regular"/>
          <w:sz w:val="32"/>
          <w:szCs w:val="32"/>
        </w:rPr>
        <w:t>。</w:t>
      </w:r>
    </w:p>
    <w:p>
      <w:pPr>
        <w:keepNext w:val="0"/>
        <w:keepLines w:val="0"/>
        <w:pageBreakBefore w:val="0"/>
        <w:widowControl w:val="0"/>
        <w:kinsoku/>
        <w:wordWrap/>
        <w:overflowPunct/>
        <w:topLinePunct w:val="0"/>
        <w:autoSpaceDE/>
        <w:autoSpaceDN/>
        <w:bidi w:val="0"/>
        <w:adjustRightInd w:val="0"/>
        <w:snapToGrid w:val="0"/>
        <w:spacing w:line="240" w:lineRule="auto"/>
        <w:ind w:firstLine="640" w:firstLineChars="200"/>
        <w:textAlignment w:val="auto"/>
        <w:rPr>
          <w:rFonts w:ascii="仿宋_GB2312" w:hAnsi="Times New Roman" w:eastAsia="仿宋_GB2312" w:cs="DengXian-Regular"/>
          <w:sz w:val="32"/>
          <w:szCs w:val="32"/>
          <w:highlight w:val="yellow"/>
        </w:rPr>
      </w:pPr>
      <w:r>
        <w:rPr>
          <w:sz w:val="32"/>
        </w:rPr>
        <mc:AlternateContent>
          <mc:Choice Requires="wps">
            <w:drawing>
              <wp:anchor distT="0" distB="0" distL="114300" distR="114300" simplePos="0" relativeHeight="251675648" behindDoc="1" locked="0" layoutInCell="1" allowOverlap="1">
                <wp:simplePos x="0" y="0"/>
                <wp:positionH relativeFrom="column">
                  <wp:posOffset>1050290</wp:posOffset>
                </wp:positionH>
                <wp:positionV relativeFrom="paragraph">
                  <wp:posOffset>2757805</wp:posOffset>
                </wp:positionV>
                <wp:extent cx="3314065" cy="483235"/>
                <wp:effectExtent l="0" t="0" r="635" b="12065"/>
                <wp:wrapNone/>
                <wp:docPr id="41" name="文本框 41"/>
                <wp:cNvGraphicFramePr/>
                <a:graphic xmlns:a="http://schemas.openxmlformats.org/drawingml/2006/main">
                  <a:graphicData uri="http://schemas.microsoft.com/office/word/2010/wordprocessingShape">
                    <wps:wsp>
                      <wps:cNvSpPr txBox="1"/>
                      <wps:spPr>
                        <a:xfrm>
                          <a:off x="0" y="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hint="eastAsia" w:ascii="仿宋_GB2312" w:hAnsi="Times New Roman" w:eastAsia="仿宋_GB2312" w:cs="DengXian-Regular"/>
                                <w:sz w:val="28"/>
                                <w:szCs w:val="28"/>
                                <w:lang w:eastAsia="zh-CN"/>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w:t>
                            </w:r>
                            <w:r>
                              <w:rPr>
                                <w:rFonts w:hint="eastAsia" w:ascii="仿宋_GB2312" w:hAnsi="Times New Roman" w:eastAsia="仿宋_GB2312" w:cs="DengXian-Regular"/>
                                <w:sz w:val="28"/>
                                <w:szCs w:val="28"/>
                                <w:lang w:eastAsia="zh-CN"/>
                              </w:rPr>
                              <w:t>收入支出与上年度对比情况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2.7pt;margin-top:217.15pt;height:38.05pt;width:260.95pt;z-index:-251640832;mso-width-relative:page;mso-height-relative:page;" fillcolor="#FFFFFF" filled="t" stroked="f" coordsize="21600,21600" o:gfxdata="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BAa/57WAAAACwEA&#10;AA8AAAAAAAAAAQAgAAAAIgAAAGRycy9kb3ducmV2LnhtbFBLAQIUABQAAAAIAIdO4kDlvGiCVQIA&#10;AJ8EAAAOAAAAAAAAAAEAIAAAACUBAABkcnMvZTJvRG9jLnhtbFBLBQYAAAAABgAGAFkBAADsBQAA&#10;AAA=&#10;">
                <v:fill on="t" focussize="0,0"/>
                <v:stroke on="f" weight="0.5pt"/>
                <v:imagedata o:title=""/>
                <o:lock v:ext="edit" aspectratio="f"/>
                <v:textbox>
                  <w:txbxContent>
                    <w:p>
                      <w:pPr>
                        <w:adjustRightInd w:val="0"/>
                        <w:snapToGrid w:val="0"/>
                        <w:spacing w:after="160" w:line="560" w:lineRule="exact"/>
                        <w:jc w:val="center"/>
                        <w:rPr>
                          <w:rFonts w:hint="eastAsia" w:ascii="仿宋_GB2312" w:hAnsi="Times New Roman" w:eastAsia="仿宋_GB2312" w:cs="DengXian-Regular"/>
                          <w:sz w:val="28"/>
                          <w:szCs w:val="28"/>
                          <w:lang w:eastAsia="zh-CN"/>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w:t>
                      </w:r>
                      <w:r>
                        <w:rPr>
                          <w:rFonts w:hint="eastAsia" w:ascii="仿宋_GB2312" w:hAnsi="Times New Roman" w:eastAsia="仿宋_GB2312" w:cs="DengXian-Regular"/>
                          <w:sz w:val="28"/>
                          <w:szCs w:val="28"/>
                          <w:lang w:eastAsia="zh-CN"/>
                        </w:rPr>
                        <w:t>收入支出与上年度对比情况</w:t>
                      </w:r>
                    </w:p>
                    <w:p>
                      <w:pPr>
                        <w:spacing w:after="160" w:line="480" w:lineRule="auto"/>
                        <w:rPr>
                          <w:rFonts w:ascii="Times New Roman" w:hAnsi="Times New Roman" w:eastAsia="宋体" w:cs="Times New Roman"/>
                          <w:sz w:val="20"/>
                        </w:rPr>
                      </w:pPr>
                    </w:p>
                  </w:txbxContent>
                </v:textbox>
              </v:shape>
            </w:pict>
          </mc:Fallback>
        </mc:AlternateContent>
      </w:r>
      <w:r>
        <w:drawing>
          <wp:inline distT="0" distB="0" distL="114300" distR="114300">
            <wp:extent cx="4572000" cy="2743200"/>
            <wp:effectExtent l="4445" t="4445" r="14605" b="14605"/>
            <wp:docPr id="36"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4125.09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91.64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376.41</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人员减少，</w:t>
      </w:r>
      <w:r>
        <w:rPr>
          <w:rFonts w:hint="eastAsia" w:ascii="仿宋_GB2312" w:hAnsi="仿宋_GB2312" w:eastAsia="仿宋_GB2312" w:cs="仿宋_GB2312"/>
          <w:sz w:val="32"/>
          <w:szCs w:val="32"/>
          <w:lang w:eastAsia="zh-CN"/>
        </w:rPr>
        <w:t>税收减少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4118.91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382.59</w:t>
      </w:r>
      <w:r>
        <w:rPr>
          <w:rFonts w:hint="eastAsia" w:ascii="仿宋_GB2312" w:hAnsi="Times New Roman" w:eastAsia="仿宋_GB2312" w:cs="DengXian-Regular"/>
          <w:sz w:val="32"/>
          <w:szCs w:val="32"/>
        </w:rPr>
        <w:t>万元，决算数小于预算数主要原因是主要是</w:t>
      </w:r>
      <w:r>
        <w:rPr>
          <w:rFonts w:hint="eastAsia" w:ascii="仿宋_GB2312" w:hAnsi="仿宋_GB2312" w:eastAsia="仿宋_GB2312" w:cs="仿宋_GB2312"/>
          <w:sz w:val="32"/>
          <w:szCs w:val="32"/>
          <w:lang w:eastAsia="zh-CN"/>
        </w:rPr>
        <w:t>税收减少，压减支出</w:t>
      </w:r>
      <w:r>
        <w:rPr>
          <w:rFonts w:hint="eastAsia" w:ascii="仿宋_GB2312" w:hAnsi="Times New Roman" w:eastAsia="仿宋_GB2312" w:cs="DengXian-Regular"/>
          <w:sz w:val="32"/>
          <w:szCs w:val="32"/>
        </w:rPr>
        <w:t>。</w:t>
      </w:r>
    </w:p>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auto"/>
        <w:rPr>
          <w:rFonts w:ascii="仿宋_GB2312" w:hAnsi="Times New Roman" w:eastAsia="仿宋_GB2312" w:cs="DengXian-Regular"/>
          <w:sz w:val="32"/>
          <w:szCs w:val="32"/>
          <w:highlight w:val="yellow"/>
        </w:rPr>
      </w:pPr>
      <w:r>
        <w:drawing>
          <wp:inline distT="0" distB="0" distL="114300" distR="114300">
            <wp:extent cx="4572000" cy="2743200"/>
            <wp:effectExtent l="4445" t="4445" r="14605" b="14605"/>
            <wp:docPr id="2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4118.91</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842.91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20.46</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3191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77.47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；节能环保支出</w:t>
      </w:r>
      <w:r>
        <w:rPr>
          <w:rFonts w:hint="eastAsia" w:ascii="仿宋_GB2312" w:hAnsi="Times New Roman" w:eastAsia="仿宋_GB2312" w:cs="DengXian-Regular"/>
          <w:sz w:val="32"/>
          <w:szCs w:val="32"/>
          <w:lang w:val="en-US" w:eastAsia="zh-CN"/>
        </w:rPr>
        <w:t>15万元，占0.36%；城乡社区支出70万元，占1.71%。</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ascii="楷体_GB2312" w:hAnsi="Times New Roman" w:eastAsia="楷体_GB2312" w:cs="DengXian-Bold"/>
          <w:b/>
          <w:bCs/>
          <w:sz w:val="32"/>
          <w:szCs w:val="32"/>
        </w:rPr>
      </w:pPr>
      <w:r>
        <w:drawing>
          <wp:inline distT="0" distB="0" distL="114300" distR="114300">
            <wp:extent cx="4572000" cy="2743200"/>
            <wp:effectExtent l="4445" t="4445" r="14605" b="14605"/>
            <wp:docPr id="3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78720" behindDoc="1" locked="0" layoutInCell="1" allowOverlap="1">
                <wp:simplePos x="0" y="0"/>
                <wp:positionH relativeFrom="column">
                  <wp:posOffset>1059815</wp:posOffset>
                </wp:positionH>
                <wp:positionV relativeFrom="paragraph">
                  <wp:posOffset>-64770</wp:posOffset>
                </wp:positionV>
                <wp:extent cx="3314065" cy="483235"/>
                <wp:effectExtent l="0" t="0" r="635" b="12065"/>
                <wp:wrapNone/>
                <wp:docPr id="42" name="文本框 42"/>
                <wp:cNvGraphicFramePr/>
                <a:graphic xmlns:a="http://schemas.openxmlformats.org/drawingml/2006/main">
                  <a:graphicData uri="http://schemas.microsoft.com/office/word/2010/wordprocessingShape">
                    <wps:wsp>
                      <wps:cNvSpPr txBox="1"/>
                      <wps:spPr>
                        <a:xfrm>
                          <a:off x="0" y="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hint="eastAsia" w:ascii="仿宋_GB2312" w:hAnsi="Times New Roman" w:eastAsia="仿宋_GB2312" w:cs="DengXian-Regular"/>
                                <w:sz w:val="28"/>
                                <w:szCs w:val="28"/>
                                <w:lang w:eastAsia="zh-CN"/>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w:t>
                            </w:r>
                            <w:r>
                              <w:rPr>
                                <w:rFonts w:hint="eastAsia" w:ascii="仿宋_GB2312" w:hAnsi="Times New Roman" w:eastAsia="仿宋_GB2312" w:cs="DengXian-Regular"/>
                                <w:sz w:val="28"/>
                                <w:szCs w:val="28"/>
                                <w:lang w:eastAsia="zh-CN"/>
                              </w:rPr>
                              <w:t>财政拨款支出决算结构</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45pt;margin-top:-5.1pt;height:38.05pt;width:260.95pt;z-index:-251637760;mso-width-relative:page;mso-height-relative:page;" fillcolor="#FFFFFF" filled="t" stroked="f" coordsize="21600,21600" o:gfxdata="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dXfUaNUAAAAKAQAA&#10;DwAAAAAAAAABACAAAAAiAAAAZHJzL2Rvd25yZXYueG1sUEsBAhQAFAAAAAgAh07iQB/vZH5VAgAA&#10;nwQAAA4AAAAAAAAAAQAgAAAAJAEAAGRycy9lMm9Eb2MueG1sUEsFBgAAAAAGAAYAWQEAAOsFAAAA&#10;AA==&#10;">
                <v:fill on="t" focussize="0,0"/>
                <v:stroke on="f" weight="0.5pt"/>
                <v:imagedata o:title=""/>
                <o:lock v:ext="edit" aspectratio="f"/>
                <v:textbox>
                  <w:txbxContent>
                    <w:p>
                      <w:pPr>
                        <w:adjustRightInd w:val="0"/>
                        <w:snapToGrid w:val="0"/>
                        <w:spacing w:after="160" w:line="560" w:lineRule="exact"/>
                        <w:jc w:val="center"/>
                        <w:rPr>
                          <w:rFonts w:hint="eastAsia" w:ascii="仿宋_GB2312" w:hAnsi="Times New Roman" w:eastAsia="仿宋_GB2312" w:cs="DengXian-Regular"/>
                          <w:sz w:val="28"/>
                          <w:szCs w:val="28"/>
                          <w:lang w:eastAsia="zh-CN"/>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w:t>
                      </w:r>
                      <w:r>
                        <w:rPr>
                          <w:rFonts w:hint="eastAsia" w:ascii="仿宋_GB2312" w:hAnsi="Times New Roman" w:eastAsia="仿宋_GB2312" w:cs="DengXian-Regular"/>
                          <w:sz w:val="28"/>
                          <w:szCs w:val="28"/>
                          <w:lang w:eastAsia="zh-CN"/>
                        </w:rPr>
                        <w:t>财政拨款支出决算结构</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4118.91</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3799.38</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135.06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5.48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99.64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0.36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控制支出，不超预算</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0.36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控制支出，不超预算</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4.39</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控制支出，不超预算</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控制支出，不超预算</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无相关支出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控制支出，不超预算</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控制支出，不超预算</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1.09</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51</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363</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0.91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控制支出，不超预算</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0.91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控制支出，不超预算</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172.8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eastAsia="zh-CN"/>
        </w:rPr>
        <w:t>综合办公经费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个预算项目支出开展绩效自评，共涉及资金</w:t>
      </w:r>
      <w:r>
        <w:rPr>
          <w:rFonts w:hint="eastAsia" w:ascii="仿宋_GB2312" w:hAnsi="仿宋_GB2312" w:eastAsia="仿宋_GB2312" w:cs="仿宋_GB2312"/>
          <w:sz w:val="32"/>
          <w:szCs w:val="32"/>
          <w:lang w:val="en-US" w:eastAsia="zh-CN"/>
        </w:rPr>
        <w:t>172.8</w:t>
      </w:r>
      <w:r>
        <w:rPr>
          <w:rFonts w:hint="eastAsia" w:ascii="仿宋_GB2312" w:hAnsi="仿宋_GB2312" w:eastAsia="仿宋_GB2312" w:cs="仿宋_GB2312"/>
          <w:sz w:val="32"/>
          <w:szCs w:val="32"/>
        </w:rPr>
        <w:t>万元，占预算项目支出总额的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eastAsia="zh-CN"/>
        </w:rPr>
        <w:t>绩效评价工作能够按照规定进行开展，各项指标设定能够符合项目实际，对提升项目绩效管理水平、预算管理水平起到一定支撑保障作用。</w:t>
      </w:r>
    </w:p>
    <w:p>
      <w:pPr>
        <w:adjustRightInd w:val="0"/>
        <w:snapToGrid w:val="0"/>
        <w:spacing w:line="580" w:lineRule="exact"/>
        <w:ind w:firstLine="640" w:firstLineChars="200"/>
        <w:rPr>
          <w:rFonts w:ascii="仿宋_GB2312" w:hAnsi="仿宋_GB2312" w:eastAsia="仿宋_GB2312" w:cs="仿宋_GB2312"/>
          <w:sz w:val="32"/>
          <w:szCs w:val="32"/>
        </w:rPr>
      </w:pP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本部门在今年部门决算公开中反映 </w:t>
      </w:r>
      <w:r>
        <w:rPr>
          <w:rFonts w:hint="eastAsia" w:ascii="仿宋_GB2312" w:hAnsi="仿宋_GB2312" w:eastAsia="仿宋_GB2312" w:cs="仿宋_GB2312"/>
          <w:sz w:val="32"/>
          <w:szCs w:val="32"/>
          <w:lang w:eastAsia="zh-CN"/>
        </w:rPr>
        <w:t>综合办公经费</w:t>
      </w:r>
      <w:r>
        <w:rPr>
          <w:rFonts w:hint="eastAsia" w:ascii="仿宋_GB2312" w:hAnsi="仿宋_GB2312" w:eastAsia="仿宋_GB2312" w:cs="仿宋_GB2312"/>
          <w:sz w:val="32"/>
          <w:szCs w:val="32"/>
        </w:rPr>
        <w:t xml:space="preserve">项目及 </w:t>
      </w: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综合办公经费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综合办公经费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80.8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80.47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99.6%</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实际完成支出率</w:t>
      </w:r>
      <w:r>
        <w:rPr>
          <w:rFonts w:hint="eastAsia" w:ascii="仿宋_GB2312" w:hAnsi="仿宋_GB2312" w:eastAsia="仿宋_GB2312" w:cs="仿宋_GB2312"/>
          <w:sz w:val="32"/>
          <w:szCs w:val="32"/>
          <w:lang w:val="en-US" w:eastAsia="zh-CN"/>
        </w:rPr>
        <w:t>99.6%</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群众满意率</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eastAsia="zh-CN"/>
        </w:rPr>
        <w:t>项目财力有限，不能全方位保障</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具体支出指标不够细化</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加强经费保障水平，二是进一步细化项目内容</w:t>
      </w:r>
      <w:r>
        <w:rPr>
          <w:rFonts w:hint="eastAsia" w:ascii="仿宋_GB2312" w:hAnsi="仿宋_GB2312" w:eastAsia="仿宋_GB2312" w:cs="仿宋_GB2312"/>
          <w:sz w:val="32"/>
          <w:szCs w:val="32"/>
        </w:rPr>
        <w:t>。</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10"/>
        <w:gridCol w:w="645"/>
        <w:gridCol w:w="645"/>
        <w:gridCol w:w="75"/>
        <w:gridCol w:w="1275"/>
        <w:gridCol w:w="1275"/>
        <w:gridCol w:w="1125"/>
        <w:gridCol w:w="735"/>
        <w:gridCol w:w="480"/>
        <w:gridCol w:w="17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9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1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73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4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70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10" w:hRule="atLeast"/>
        </w:trPr>
        <w:tc>
          <w:tcPr>
            <w:tcW w:w="91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ascii="仿宋_GB2312" w:hAnsi="宋体" w:eastAsia="仿宋_GB2312" w:cs="仿宋_GB2312"/>
                <w:i w:val="0"/>
                <w:color w:val="000000"/>
                <w:sz w:val="32"/>
                <w:szCs w:val="32"/>
                <w:u w:val="none"/>
              </w:rPr>
            </w:pPr>
            <w:r>
              <w:rPr>
                <w:rFonts w:hint="eastAsia" w:ascii="仿宋_GB2312" w:hAnsi="宋体" w:eastAsia="仿宋_GB2312" w:cs="仿宋_GB2312"/>
                <w:i w:val="0"/>
                <w:color w:val="000000"/>
                <w:kern w:val="0"/>
                <w:sz w:val="32"/>
                <w:szCs w:val="32"/>
                <w:u w:val="none"/>
                <w:lang w:val="en-US" w:eastAsia="zh-CN" w:bidi="ar"/>
              </w:rPr>
              <w:t>附件</w:t>
            </w:r>
            <w:r>
              <w:rPr>
                <w:rStyle w:val="12"/>
                <w:rFonts w:hAnsi="宋体"/>
                <w:lang w:val="en-US" w:eastAsia="zh-CN" w:bidi="ar"/>
              </w:rPr>
              <w:t>1</w:t>
            </w: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1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73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4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170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8874"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36"/>
                <w:szCs w:val="36"/>
                <w:u w:val="none"/>
              </w:rPr>
            </w:pPr>
            <w:r>
              <w:rPr>
                <w:rFonts w:hint="eastAsia" w:ascii="宋体" w:hAnsi="宋体" w:eastAsia="宋体" w:cs="宋体"/>
                <w:i w:val="0"/>
                <w:color w:val="000000"/>
                <w:kern w:val="0"/>
                <w:sz w:val="36"/>
                <w:szCs w:val="36"/>
                <w:u w:val="none"/>
                <w:lang w:val="en-US" w:eastAsia="zh-CN" w:bidi="ar"/>
              </w:rPr>
              <w:t>石家庄市藁城区财政项目支出绩效自评表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8874"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2200" w:type="dxa"/>
            <w:gridSpan w:val="3"/>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项目名称</w:t>
            </w:r>
          </w:p>
        </w:tc>
        <w:tc>
          <w:tcPr>
            <w:tcW w:w="6674" w:type="dxa"/>
            <w:gridSpan w:val="7"/>
            <w:tcBorders>
              <w:top w:val="single" w:color="000000" w:sz="8" w:space="0"/>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综合工作经费（环保、信访、土地、综合执法等）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2200" w:type="dxa"/>
            <w:gridSpan w:val="3"/>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主管部门</w:t>
            </w:r>
          </w:p>
        </w:tc>
        <w:tc>
          <w:tcPr>
            <w:tcW w:w="2625" w:type="dxa"/>
            <w:gridSpan w:val="3"/>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九门回族乡人民政府</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实施单位</w:t>
            </w:r>
          </w:p>
        </w:tc>
        <w:tc>
          <w:tcPr>
            <w:tcW w:w="2924" w:type="dxa"/>
            <w:gridSpan w:val="3"/>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九门回族乡人民政府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2200" w:type="dxa"/>
            <w:gridSpan w:val="3"/>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项目资金</w:t>
            </w:r>
            <w:r>
              <w:rPr>
                <w:rStyle w:val="13"/>
                <w:rFonts w:hAnsi="宋体"/>
                <w:lang w:val="en-US" w:eastAsia="zh-CN" w:bidi="ar"/>
              </w:rPr>
              <w:t>(万元)</w:t>
            </w: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7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全年预算数</w:t>
            </w:r>
            <w:r>
              <w:rPr>
                <w:rStyle w:val="13"/>
                <w:rFonts w:hAnsi="宋体"/>
                <w:lang w:val="en-US" w:eastAsia="zh-CN" w:bidi="ar"/>
              </w:rPr>
              <w:t>(A)</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全年执行数</w:t>
            </w:r>
            <w:r>
              <w:rPr>
                <w:rStyle w:val="13"/>
                <w:rFonts w:hAnsi="宋体"/>
                <w:lang w:val="en-US" w:eastAsia="zh-CN" w:bidi="ar"/>
              </w:rPr>
              <w:t>(B)</w:t>
            </w:r>
          </w:p>
        </w:tc>
        <w:tc>
          <w:tcPr>
            <w:tcW w:w="218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执行率</w:t>
            </w:r>
            <w:r>
              <w:rPr>
                <w:rStyle w:val="13"/>
                <w:rFonts w:hAnsi="宋体"/>
                <w:lang w:val="en-US" w:eastAsia="zh-CN" w:bidi="ar"/>
              </w:rPr>
              <w:t>(B/A)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2200"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年度资金总额</w:t>
            </w:r>
          </w:p>
        </w:tc>
        <w:tc>
          <w:tcPr>
            <w:tcW w:w="127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80.8</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80.470261</w:t>
            </w:r>
          </w:p>
        </w:tc>
        <w:tc>
          <w:tcPr>
            <w:tcW w:w="218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5" w:hRule="atLeast"/>
        </w:trPr>
        <w:tc>
          <w:tcPr>
            <w:tcW w:w="2200"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其中</w:t>
            </w:r>
            <w:r>
              <w:rPr>
                <w:rStyle w:val="13"/>
                <w:rFonts w:hAnsi="宋体"/>
                <w:lang w:val="en-US" w:eastAsia="zh-CN" w:bidi="ar"/>
              </w:rPr>
              <w:t>:上级资金</w:t>
            </w:r>
          </w:p>
        </w:tc>
        <w:tc>
          <w:tcPr>
            <w:tcW w:w="127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18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2200"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r>
              <w:rPr>
                <w:rStyle w:val="13"/>
                <w:rFonts w:hAnsi="宋体"/>
                <w:lang w:val="en-US" w:eastAsia="zh-CN" w:bidi="ar"/>
              </w:rPr>
              <w:t>区级资金</w:t>
            </w:r>
          </w:p>
        </w:tc>
        <w:tc>
          <w:tcPr>
            <w:tcW w:w="127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80.8</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80.470261</w:t>
            </w:r>
          </w:p>
        </w:tc>
        <w:tc>
          <w:tcPr>
            <w:tcW w:w="218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2200"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r>
              <w:rPr>
                <w:rStyle w:val="13"/>
                <w:rFonts w:hAnsi="宋体"/>
                <w:lang w:val="en-US" w:eastAsia="zh-CN" w:bidi="ar"/>
              </w:rPr>
              <w:t>其他资金(包括结转结余)</w:t>
            </w:r>
          </w:p>
        </w:tc>
        <w:tc>
          <w:tcPr>
            <w:tcW w:w="127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18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910" w:type="dxa"/>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年度总体目标</w:t>
            </w:r>
          </w:p>
        </w:tc>
        <w:tc>
          <w:tcPr>
            <w:tcW w:w="3915" w:type="dxa"/>
            <w:gridSpan w:val="5"/>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年初设定目标</w:t>
            </w:r>
          </w:p>
        </w:tc>
        <w:tc>
          <w:tcPr>
            <w:tcW w:w="4049" w:type="dxa"/>
            <w:gridSpan w:val="4"/>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0"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3915" w:type="dxa"/>
            <w:gridSpan w:val="5"/>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根据年度工作计划统筹，确保工作顺利开展</w:t>
            </w:r>
          </w:p>
        </w:tc>
        <w:tc>
          <w:tcPr>
            <w:tcW w:w="4049" w:type="dxa"/>
            <w:gridSpan w:val="4"/>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全部完成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910" w:type="dxa"/>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绩</w:t>
            </w:r>
            <w:r>
              <w:rPr>
                <w:rStyle w:val="13"/>
                <w:rFonts w:hAnsi="宋体"/>
                <w:lang w:val="en-US" w:eastAsia="zh-CN" w:bidi="ar"/>
              </w:rPr>
              <w:t xml:space="preserve">      效    指    标</w:t>
            </w:r>
          </w:p>
        </w:tc>
        <w:tc>
          <w:tcPr>
            <w:tcW w:w="64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一级指标</w:t>
            </w:r>
          </w:p>
        </w:tc>
        <w:tc>
          <w:tcPr>
            <w:tcW w:w="72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二级指标</w:t>
            </w:r>
          </w:p>
        </w:tc>
        <w:tc>
          <w:tcPr>
            <w:tcW w:w="25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三级指标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年度指标值</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全年完成值</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未完成原因和整改措施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产</w:t>
            </w:r>
            <w:r>
              <w:rPr>
                <w:rStyle w:val="13"/>
                <w:rFonts w:hAnsi="宋体"/>
                <w:lang w:val="en-US" w:eastAsia="zh-CN" w:bidi="ar"/>
              </w:rPr>
              <w:t xml:space="preserve">   出   指   标</w:t>
            </w:r>
          </w:p>
        </w:tc>
        <w:tc>
          <w:tcPr>
            <w:tcW w:w="720"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数量指标</w:t>
            </w:r>
          </w:p>
        </w:tc>
        <w:tc>
          <w:tcPr>
            <w:tcW w:w="25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实际完成率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99.6%%</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5"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质量指标</w:t>
            </w: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质量达标率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5"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时效指标</w:t>
            </w: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完成及时率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5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效</w:t>
            </w:r>
            <w:r>
              <w:rPr>
                <w:rStyle w:val="13"/>
                <w:rFonts w:hAnsi="宋体"/>
                <w:lang w:val="en-US" w:eastAsia="zh-CN" w:bidi="ar"/>
              </w:rPr>
              <w:t xml:space="preserve">   益   指   标</w:t>
            </w:r>
          </w:p>
        </w:tc>
        <w:tc>
          <w:tcPr>
            <w:tcW w:w="720"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经济效益指标</w:t>
            </w: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社会效益指标</w:t>
            </w: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社会影响力：群众认可度</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90%</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90%</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生态效益指标</w:t>
            </w: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可持续影响指标</w:t>
            </w: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满意度指标</w:t>
            </w:r>
          </w:p>
        </w:tc>
        <w:tc>
          <w:tcPr>
            <w:tcW w:w="720"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服务对象满意度指标</w:t>
            </w: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群众满意度</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80%</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85%</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91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2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55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70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910" w:type="dxa"/>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说明</w:t>
            </w:r>
          </w:p>
        </w:tc>
        <w:tc>
          <w:tcPr>
            <w:tcW w:w="7964" w:type="dxa"/>
            <w:gridSpan w:val="9"/>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请在此处简要说明各级审计和财政监督检查中发现的问题及其所涉及的金额</w:t>
            </w:r>
            <w:r>
              <w:rPr>
                <w:rStyle w:val="13"/>
                <w:rFonts w:hAnsi="宋体"/>
                <w:lang w:val="en-US" w:eastAsia="zh-CN" w:bidi="ar"/>
              </w:rPr>
              <w:t>,如没有请填无。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8874" w:type="dxa"/>
            <w:gridSpan w:val="10"/>
            <w:vMerge w:val="restart"/>
            <w:tcBorders>
              <w:top w:val="nil"/>
              <w:left w:val="nil"/>
              <w:bottom w:val="nil"/>
              <w:right w:val="nil"/>
            </w:tcBorders>
            <w:shd w:val="clear" w:color="auto" w:fill="FFFFFF"/>
            <w:noWrap/>
            <w:tcMar>
              <w:top w:w="15" w:type="dxa"/>
              <w:left w:w="15" w:type="dxa"/>
              <w:right w:w="15" w:type="dxa"/>
            </w:tcMar>
            <w:vAlign w:val="center"/>
          </w:tcPr>
          <w:p>
            <w:pPr>
              <w:keepNext w:val="0"/>
              <w:keepLines w:val="0"/>
              <w:widowControl/>
              <w:suppressLineNumbers w:val="0"/>
              <w:jc w:val="both"/>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定性指标根据完成情况分为：全部或基本达成预期指标</w:t>
            </w:r>
            <w:r>
              <w:rPr>
                <w:rStyle w:val="13"/>
                <w:rFonts w:hAnsi="宋体"/>
                <w:lang w:val="en-US" w:eastAsia="zh-CN" w:bidi="ar"/>
              </w:rPr>
              <w:t>100-80%（含）、部分达成并具有一定效果80-60%（含）、未达成预期指标且效果较差60%-0%。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8874" w:type="dxa"/>
            <w:gridSpan w:val="10"/>
            <w:vMerge w:val="continue"/>
            <w:tcBorders>
              <w:top w:val="nil"/>
              <w:left w:val="nil"/>
              <w:bottom w:val="nil"/>
              <w:right w:val="nil"/>
            </w:tcBorders>
            <w:shd w:val="clear" w:color="auto" w:fill="FFFFFF"/>
            <w:noWrap/>
            <w:tcMar>
              <w:top w:w="15" w:type="dxa"/>
              <w:left w:w="15" w:type="dxa"/>
              <w:right w:w="15" w:type="dxa"/>
            </w:tcMar>
            <w:vAlign w:val="center"/>
          </w:tcPr>
          <w:p>
            <w:pPr>
              <w:jc w:val="both"/>
              <w:rPr>
                <w:rFonts w:hint="eastAsia" w:ascii="楷体_GB2312" w:hAnsi="宋体" w:eastAsia="楷体_GB2312" w:cs="楷体_GB2312"/>
                <w:i w:val="0"/>
                <w:color w:val="000000"/>
                <w:sz w:val="22"/>
                <w:szCs w:val="22"/>
                <w:u w:val="none"/>
              </w:rPr>
            </w:pPr>
          </w:p>
        </w:tc>
      </w:tr>
    </w:tbl>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综合办公经费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综合办公经费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实际完成支出率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群众满意率</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eastAsia="zh-CN"/>
        </w:rPr>
        <w:t>项目财力有限，不能全方位保障</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具体支出指标不够细化</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加强经费保障水平，二是进一步细化项目内容</w:t>
      </w:r>
      <w:r>
        <w:rPr>
          <w:rFonts w:hint="eastAsia" w:ascii="仿宋_GB2312" w:hAnsi="仿宋_GB2312" w:eastAsia="仿宋_GB2312" w:cs="仿宋_GB2312"/>
          <w:sz w:val="32"/>
          <w:szCs w:val="32"/>
        </w:rPr>
        <w:t>。</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90"/>
        <w:gridCol w:w="645"/>
        <w:gridCol w:w="660"/>
        <w:gridCol w:w="75"/>
        <w:gridCol w:w="1275"/>
        <w:gridCol w:w="1095"/>
        <w:gridCol w:w="1125"/>
        <w:gridCol w:w="735"/>
        <w:gridCol w:w="480"/>
        <w:gridCol w:w="20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50" w:hRule="atLeast"/>
        </w:trPr>
        <w:tc>
          <w:tcPr>
            <w:tcW w:w="8874"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36"/>
                <w:szCs w:val="36"/>
                <w:u w:val="none"/>
              </w:rPr>
            </w:pPr>
            <w:r>
              <w:rPr>
                <w:rFonts w:hint="eastAsia" w:ascii="宋体" w:hAnsi="宋体" w:eastAsia="宋体" w:cs="宋体"/>
                <w:i w:val="0"/>
                <w:color w:val="000000"/>
                <w:kern w:val="0"/>
                <w:sz w:val="36"/>
                <w:szCs w:val="36"/>
                <w:u w:val="none"/>
                <w:lang w:val="en-US" w:eastAsia="zh-CN" w:bidi="ar"/>
              </w:rPr>
              <w:t>石家庄市藁城区财政项目支出绩效自评表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8874"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1995" w:type="dxa"/>
            <w:gridSpan w:val="3"/>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项目名称</w:t>
            </w:r>
          </w:p>
        </w:tc>
        <w:tc>
          <w:tcPr>
            <w:tcW w:w="6879" w:type="dxa"/>
            <w:gridSpan w:val="7"/>
            <w:tcBorders>
              <w:top w:val="single" w:color="000000" w:sz="8" w:space="0"/>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综合工作经费（环保、信访、土地、综合执法等）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1995" w:type="dxa"/>
            <w:gridSpan w:val="3"/>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主管部门</w:t>
            </w:r>
          </w:p>
        </w:tc>
        <w:tc>
          <w:tcPr>
            <w:tcW w:w="2445" w:type="dxa"/>
            <w:gridSpan w:val="3"/>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九门回族乡人民政府</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实施单位</w:t>
            </w:r>
          </w:p>
        </w:tc>
        <w:tc>
          <w:tcPr>
            <w:tcW w:w="3309" w:type="dxa"/>
            <w:gridSpan w:val="3"/>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九门回族乡人民政府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995" w:type="dxa"/>
            <w:gridSpan w:val="3"/>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项目资金(万元)</w:t>
            </w: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09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全年预算数(A)</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全年执行数(B)</w:t>
            </w:r>
          </w:p>
        </w:tc>
        <w:tc>
          <w:tcPr>
            <w:tcW w:w="257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执行率(B/A)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1995"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年度资金总额</w:t>
            </w:r>
          </w:p>
        </w:tc>
        <w:tc>
          <w:tcPr>
            <w:tcW w:w="109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70</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70</w:t>
            </w:r>
          </w:p>
        </w:tc>
        <w:tc>
          <w:tcPr>
            <w:tcW w:w="257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5" w:hRule="atLeast"/>
        </w:trPr>
        <w:tc>
          <w:tcPr>
            <w:tcW w:w="1995"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其中:上级资金</w:t>
            </w:r>
          </w:p>
        </w:tc>
        <w:tc>
          <w:tcPr>
            <w:tcW w:w="109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57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995"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区级资金</w:t>
            </w:r>
          </w:p>
        </w:tc>
        <w:tc>
          <w:tcPr>
            <w:tcW w:w="109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70</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70</w:t>
            </w:r>
          </w:p>
        </w:tc>
        <w:tc>
          <w:tcPr>
            <w:tcW w:w="257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1995"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其他资金(包括结转结余)</w:t>
            </w:r>
          </w:p>
        </w:tc>
        <w:tc>
          <w:tcPr>
            <w:tcW w:w="109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57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90" w:type="dxa"/>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年度总体目标</w:t>
            </w:r>
          </w:p>
        </w:tc>
        <w:tc>
          <w:tcPr>
            <w:tcW w:w="3750" w:type="dxa"/>
            <w:gridSpan w:val="5"/>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年初设定目标</w:t>
            </w:r>
          </w:p>
        </w:tc>
        <w:tc>
          <w:tcPr>
            <w:tcW w:w="4434" w:type="dxa"/>
            <w:gridSpan w:val="4"/>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0"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3750" w:type="dxa"/>
            <w:gridSpan w:val="5"/>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根据年度工作计划统筹，确保工作顺利开展</w:t>
            </w:r>
          </w:p>
        </w:tc>
        <w:tc>
          <w:tcPr>
            <w:tcW w:w="4434" w:type="dxa"/>
            <w:gridSpan w:val="4"/>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全部完成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690" w:type="dxa"/>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绩      效    指    标</w:t>
            </w:r>
          </w:p>
        </w:tc>
        <w:tc>
          <w:tcPr>
            <w:tcW w:w="64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一级指标</w:t>
            </w:r>
          </w:p>
        </w:tc>
        <w:tc>
          <w:tcPr>
            <w:tcW w:w="73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二级指标</w:t>
            </w:r>
          </w:p>
        </w:tc>
        <w:tc>
          <w:tcPr>
            <w:tcW w:w="237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三级指标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年度指标值</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全年完成值</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未完成原因和整改措施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产   出   指   标</w:t>
            </w:r>
          </w:p>
        </w:tc>
        <w:tc>
          <w:tcPr>
            <w:tcW w:w="73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数量指标</w:t>
            </w:r>
          </w:p>
        </w:tc>
        <w:tc>
          <w:tcPr>
            <w:tcW w:w="237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实际完成率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5"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质量指标</w:t>
            </w: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质量达标率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5"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时效指标</w:t>
            </w: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完成及时率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37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效   益   指   标</w:t>
            </w:r>
          </w:p>
        </w:tc>
        <w:tc>
          <w:tcPr>
            <w:tcW w:w="73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经济效益指标</w:t>
            </w: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社会效益指标</w:t>
            </w: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社会影响力：群众认可度</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90%</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90%</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生态效益指标</w:t>
            </w: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可持续影响指标</w:t>
            </w: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满意度指标</w:t>
            </w:r>
          </w:p>
        </w:tc>
        <w:tc>
          <w:tcPr>
            <w:tcW w:w="73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服务对象满意度指标</w:t>
            </w: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群众满意度</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85%</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85%</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9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3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37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09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690" w:type="dxa"/>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说明</w:t>
            </w:r>
          </w:p>
        </w:tc>
        <w:tc>
          <w:tcPr>
            <w:tcW w:w="8184" w:type="dxa"/>
            <w:gridSpan w:val="9"/>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请在此处简要说明各级审计和财政监督检查中发现的问题及其所涉及的金额,如没有请填无。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8874" w:type="dxa"/>
            <w:gridSpan w:val="10"/>
            <w:vMerge w:val="restart"/>
            <w:tcBorders>
              <w:top w:val="nil"/>
              <w:left w:val="nil"/>
              <w:bottom w:val="nil"/>
              <w:right w:val="nil"/>
            </w:tcBorders>
            <w:shd w:val="clear" w:color="auto" w:fill="FFFFFF"/>
            <w:noWrap/>
            <w:tcMar>
              <w:top w:w="15" w:type="dxa"/>
              <w:left w:w="15" w:type="dxa"/>
              <w:right w:w="15" w:type="dxa"/>
            </w:tcMar>
            <w:vAlign w:val="center"/>
          </w:tcPr>
          <w:p>
            <w:pPr>
              <w:keepNext w:val="0"/>
              <w:keepLines w:val="0"/>
              <w:widowControl/>
              <w:suppressLineNumbers w:val="0"/>
              <w:jc w:val="both"/>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定性指标根据完成情况分为：全部或基本达成预期指标100-80%（含）、部分达成并具有一定效果80-60%（含）、未达成预期指标且效果较差60%-0%。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8874" w:type="dxa"/>
            <w:gridSpan w:val="10"/>
            <w:vMerge w:val="continue"/>
            <w:tcBorders>
              <w:top w:val="nil"/>
              <w:left w:val="nil"/>
              <w:bottom w:val="nil"/>
              <w:right w:val="nil"/>
            </w:tcBorders>
            <w:shd w:val="clear" w:color="auto" w:fill="FFFFFF"/>
            <w:noWrap/>
            <w:tcMar>
              <w:top w:w="15" w:type="dxa"/>
              <w:left w:w="15" w:type="dxa"/>
              <w:right w:w="15" w:type="dxa"/>
            </w:tcMar>
            <w:vAlign w:val="center"/>
          </w:tcPr>
          <w:p>
            <w:pPr>
              <w:jc w:val="both"/>
              <w:rPr>
                <w:rFonts w:hint="eastAsia" w:ascii="楷体_GB2312" w:hAnsi="宋体" w:eastAsia="楷体_GB2312" w:cs="楷体_GB2312"/>
                <w:i w:val="0"/>
                <w:color w:val="000000"/>
                <w:sz w:val="22"/>
                <w:szCs w:val="22"/>
                <w:u w:val="none"/>
              </w:rPr>
            </w:pPr>
          </w:p>
        </w:tc>
      </w:tr>
    </w:tbl>
    <w:p>
      <w:pPr>
        <w:numPr>
          <w:ilvl w:val="0"/>
          <w:numId w:val="0"/>
        </w:numPr>
        <w:adjustRightInd w:val="0"/>
        <w:snapToGrid w:val="0"/>
        <w:spacing w:line="580" w:lineRule="exact"/>
        <w:rPr>
          <w:rFonts w:ascii="仿宋_GB2312" w:hAnsi="仿宋_GB2312" w:eastAsia="仿宋_GB2312" w:cs="仿宋_GB2312"/>
          <w:sz w:val="32"/>
          <w:szCs w:val="32"/>
        </w:rPr>
      </w:pPr>
    </w:p>
    <w:p>
      <w:pPr>
        <w:keepNext w:val="0"/>
        <w:keepLines w:val="0"/>
        <w:pageBreakBefore w:val="0"/>
        <w:widowControl w:val="0"/>
        <w:numPr>
          <w:ilvl w:val="0"/>
          <w:numId w:val="2"/>
        </w:numPr>
        <w:kinsoku/>
        <w:wordWrap/>
        <w:overflowPunct/>
        <w:topLinePunct w:val="0"/>
        <w:autoSpaceDE/>
        <w:autoSpaceDN/>
        <w:bidi w:val="0"/>
        <w:adjustRightInd w:val="0"/>
        <w:snapToGrid w:val="0"/>
        <w:spacing w:line="580" w:lineRule="exact"/>
        <w:ind w:left="0" w:leftChars="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政府工会费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综合办公经费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实际完成支出率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支出及时率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。发现的主要问题及原因：一是工会工作形式相对单一，活动内容活动形式需要提升。下一步改进措施：一是</w:t>
      </w:r>
      <w:r>
        <w:rPr>
          <w:rFonts w:hint="eastAsia" w:ascii="仿宋_GB2312" w:hAnsi="仿宋_GB2312" w:eastAsia="仿宋_GB2312" w:cs="仿宋_GB2312"/>
          <w:sz w:val="32"/>
          <w:szCs w:val="32"/>
          <w:lang w:eastAsia="zh-CN"/>
        </w:rPr>
        <w:t>改进工作做法、提升工会工作水平。</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60"/>
        <w:gridCol w:w="645"/>
        <w:gridCol w:w="690"/>
        <w:gridCol w:w="75"/>
        <w:gridCol w:w="1275"/>
        <w:gridCol w:w="1050"/>
        <w:gridCol w:w="1125"/>
        <w:gridCol w:w="735"/>
        <w:gridCol w:w="480"/>
        <w:gridCol w:w="21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50" w:hRule="atLeast"/>
        </w:trPr>
        <w:tc>
          <w:tcPr>
            <w:tcW w:w="8874"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36"/>
                <w:szCs w:val="36"/>
                <w:u w:val="none"/>
              </w:rPr>
            </w:pPr>
            <w:r>
              <w:rPr>
                <w:rFonts w:hint="eastAsia" w:ascii="宋体" w:hAnsi="宋体" w:eastAsia="宋体" w:cs="宋体"/>
                <w:i w:val="0"/>
                <w:color w:val="000000"/>
                <w:kern w:val="0"/>
                <w:sz w:val="36"/>
                <w:szCs w:val="36"/>
                <w:u w:val="none"/>
                <w:lang w:val="en-US" w:eastAsia="zh-CN" w:bidi="ar"/>
              </w:rPr>
              <w:t>石家庄市藁城区财政项目支出绩效自评表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8874"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1995" w:type="dxa"/>
            <w:gridSpan w:val="3"/>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项目名称</w:t>
            </w:r>
          </w:p>
        </w:tc>
        <w:tc>
          <w:tcPr>
            <w:tcW w:w="6879" w:type="dxa"/>
            <w:gridSpan w:val="7"/>
            <w:tcBorders>
              <w:top w:val="single" w:color="000000" w:sz="8" w:space="0"/>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政府工会费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1995" w:type="dxa"/>
            <w:gridSpan w:val="3"/>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主管部门</w:t>
            </w:r>
          </w:p>
        </w:tc>
        <w:tc>
          <w:tcPr>
            <w:tcW w:w="2400" w:type="dxa"/>
            <w:gridSpan w:val="3"/>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九门回族乡人民政府</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实施单位</w:t>
            </w:r>
          </w:p>
        </w:tc>
        <w:tc>
          <w:tcPr>
            <w:tcW w:w="3354" w:type="dxa"/>
            <w:gridSpan w:val="3"/>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九门回族乡人民政府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995" w:type="dxa"/>
            <w:gridSpan w:val="3"/>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项目资金(万元)</w:t>
            </w: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05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全年预算数(A)</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全年执行数(B)</w:t>
            </w:r>
          </w:p>
        </w:tc>
        <w:tc>
          <w:tcPr>
            <w:tcW w:w="261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执行率(B/A)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1995"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年度资金总额</w:t>
            </w:r>
          </w:p>
        </w:tc>
        <w:tc>
          <w:tcPr>
            <w:tcW w:w="105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3</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3</w:t>
            </w:r>
          </w:p>
        </w:tc>
        <w:tc>
          <w:tcPr>
            <w:tcW w:w="261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5" w:hRule="atLeast"/>
        </w:trPr>
        <w:tc>
          <w:tcPr>
            <w:tcW w:w="1995"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其中:上级资金</w:t>
            </w:r>
          </w:p>
        </w:tc>
        <w:tc>
          <w:tcPr>
            <w:tcW w:w="105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61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995"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区级资金</w:t>
            </w:r>
          </w:p>
        </w:tc>
        <w:tc>
          <w:tcPr>
            <w:tcW w:w="105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3</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3</w:t>
            </w:r>
          </w:p>
        </w:tc>
        <w:tc>
          <w:tcPr>
            <w:tcW w:w="261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1995"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其他资金(包括结转结余)</w:t>
            </w:r>
          </w:p>
        </w:tc>
        <w:tc>
          <w:tcPr>
            <w:tcW w:w="105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619"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年度总体目标</w:t>
            </w:r>
          </w:p>
        </w:tc>
        <w:tc>
          <w:tcPr>
            <w:tcW w:w="3735" w:type="dxa"/>
            <w:gridSpan w:val="5"/>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年初设定目标</w:t>
            </w:r>
          </w:p>
        </w:tc>
        <w:tc>
          <w:tcPr>
            <w:tcW w:w="4479" w:type="dxa"/>
            <w:gridSpan w:val="4"/>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0"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3735" w:type="dxa"/>
            <w:gridSpan w:val="5"/>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根据藁城区总工会安排及时上缴政府工会费</w:t>
            </w:r>
          </w:p>
        </w:tc>
        <w:tc>
          <w:tcPr>
            <w:tcW w:w="4479" w:type="dxa"/>
            <w:gridSpan w:val="4"/>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全部完成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660" w:type="dxa"/>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绩      效    指    标</w:t>
            </w:r>
          </w:p>
        </w:tc>
        <w:tc>
          <w:tcPr>
            <w:tcW w:w="64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一级指标</w:t>
            </w:r>
          </w:p>
        </w:tc>
        <w:tc>
          <w:tcPr>
            <w:tcW w:w="76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二级指标</w:t>
            </w: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三级指标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年度指标值</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全年完成值</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未完成原因和整改措施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产   出   指   标</w:t>
            </w: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数量指标</w:t>
            </w: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上缴工会费数量</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3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3 </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5"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质量指标</w:t>
            </w: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上缴资金完成率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5"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时效指标</w:t>
            </w: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上缴资金及时率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32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效   益   指   标</w:t>
            </w: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经济效益指标</w:t>
            </w: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社会效益指标</w:t>
            </w: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生态效益指标</w:t>
            </w: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可持续影响指标</w:t>
            </w: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满意度指标</w:t>
            </w: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服务对象满意度指标</w:t>
            </w: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工会满意度</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95%</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95%</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60"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32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13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660" w:type="dxa"/>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说明</w:t>
            </w:r>
          </w:p>
        </w:tc>
        <w:tc>
          <w:tcPr>
            <w:tcW w:w="8214" w:type="dxa"/>
            <w:gridSpan w:val="9"/>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请在此处简要说明各级审计和财政监督检查中发现的问题及其所涉及的金额,如没有请填无。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8874" w:type="dxa"/>
            <w:gridSpan w:val="10"/>
            <w:vMerge w:val="restart"/>
            <w:tcBorders>
              <w:top w:val="nil"/>
              <w:left w:val="nil"/>
              <w:bottom w:val="nil"/>
              <w:right w:val="nil"/>
            </w:tcBorders>
            <w:shd w:val="clear" w:color="auto" w:fill="FFFFFF"/>
            <w:noWrap/>
            <w:tcMar>
              <w:top w:w="15" w:type="dxa"/>
              <w:left w:w="15" w:type="dxa"/>
              <w:right w:w="15" w:type="dxa"/>
            </w:tcMar>
            <w:vAlign w:val="center"/>
          </w:tcPr>
          <w:p>
            <w:pPr>
              <w:keepNext w:val="0"/>
              <w:keepLines w:val="0"/>
              <w:widowControl/>
              <w:suppressLineNumbers w:val="0"/>
              <w:jc w:val="both"/>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定性指标根据完成情况分为：全部或基本达成预期指标100-80%（含）、部分达成并具有一定效果80-60%（含）、未达成预期指标且效果较差60%-0%。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8874" w:type="dxa"/>
            <w:gridSpan w:val="10"/>
            <w:vMerge w:val="continue"/>
            <w:tcBorders>
              <w:top w:val="nil"/>
              <w:left w:val="nil"/>
              <w:bottom w:val="nil"/>
              <w:right w:val="nil"/>
            </w:tcBorders>
            <w:shd w:val="clear" w:color="auto" w:fill="FFFFFF"/>
            <w:noWrap/>
            <w:tcMar>
              <w:top w:w="15" w:type="dxa"/>
              <w:left w:w="15" w:type="dxa"/>
              <w:right w:w="15" w:type="dxa"/>
            </w:tcMar>
            <w:vAlign w:val="center"/>
          </w:tcPr>
          <w:p>
            <w:pPr>
              <w:jc w:val="both"/>
              <w:rPr>
                <w:rFonts w:hint="eastAsia" w:ascii="楷体_GB2312" w:hAnsi="宋体" w:eastAsia="楷体_GB2312" w:cs="楷体_GB2312"/>
                <w:i w:val="0"/>
                <w:color w:val="000000"/>
                <w:sz w:val="22"/>
                <w:szCs w:val="22"/>
                <w:u w:val="none"/>
              </w:rPr>
            </w:pPr>
          </w:p>
        </w:tc>
      </w:tr>
    </w:tbl>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Chars="200"/>
        <w:textAlignment w:val="auto"/>
        <w:rPr>
          <w:rFonts w:hint="eastAsia" w:ascii="仿宋_GB2312" w:hAnsi="仿宋_GB2312" w:eastAsia="仿宋_GB2312" w:cs="仿宋_GB2312"/>
          <w:sz w:val="32"/>
          <w:szCs w:val="32"/>
          <w:lang w:eastAsia="zh-CN"/>
        </w:rPr>
      </w:pP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综合办公经费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实际完成支出率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支出及时率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。发现的主要问题及原因：一是工会工作形式相对单一，活动内容活动形式需要提升。下一步改进措施：一是</w:t>
      </w:r>
      <w:r>
        <w:rPr>
          <w:rFonts w:hint="eastAsia" w:ascii="仿宋_GB2312" w:hAnsi="仿宋_GB2312" w:eastAsia="仿宋_GB2312" w:cs="仿宋_GB2312"/>
          <w:sz w:val="32"/>
          <w:szCs w:val="32"/>
          <w:lang w:eastAsia="zh-CN"/>
        </w:rPr>
        <w:t>改进工作做法、提升工会工作水平。</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15"/>
        <w:gridCol w:w="645"/>
        <w:gridCol w:w="690"/>
        <w:gridCol w:w="75"/>
        <w:gridCol w:w="1275"/>
        <w:gridCol w:w="930"/>
        <w:gridCol w:w="1125"/>
        <w:gridCol w:w="735"/>
        <w:gridCol w:w="480"/>
        <w:gridCol w:w="23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50" w:hRule="atLeast"/>
        </w:trPr>
        <w:tc>
          <w:tcPr>
            <w:tcW w:w="8874"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36"/>
                <w:szCs w:val="36"/>
                <w:u w:val="none"/>
              </w:rPr>
            </w:pPr>
            <w:r>
              <w:rPr>
                <w:rFonts w:hint="eastAsia" w:ascii="宋体" w:hAnsi="宋体" w:eastAsia="宋体" w:cs="宋体"/>
                <w:i w:val="0"/>
                <w:color w:val="000000"/>
                <w:kern w:val="0"/>
                <w:sz w:val="36"/>
                <w:szCs w:val="36"/>
                <w:u w:val="none"/>
                <w:lang w:val="en-US" w:eastAsia="zh-CN" w:bidi="ar"/>
              </w:rPr>
              <w:t>石家庄市藁城区财政项目支出绩效自评表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8874"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1950" w:type="dxa"/>
            <w:gridSpan w:val="3"/>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项目名称</w:t>
            </w:r>
          </w:p>
        </w:tc>
        <w:tc>
          <w:tcPr>
            <w:tcW w:w="6924" w:type="dxa"/>
            <w:gridSpan w:val="7"/>
            <w:tcBorders>
              <w:top w:val="single" w:color="000000" w:sz="8" w:space="0"/>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学区工会费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1950" w:type="dxa"/>
            <w:gridSpan w:val="3"/>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主管部门</w:t>
            </w:r>
          </w:p>
        </w:tc>
        <w:tc>
          <w:tcPr>
            <w:tcW w:w="2280" w:type="dxa"/>
            <w:gridSpan w:val="3"/>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九门回族乡人民政府</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实施单位</w:t>
            </w:r>
          </w:p>
        </w:tc>
        <w:tc>
          <w:tcPr>
            <w:tcW w:w="3519" w:type="dxa"/>
            <w:gridSpan w:val="3"/>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九门回族乡人民政府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950" w:type="dxa"/>
            <w:gridSpan w:val="3"/>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项目资金(万元)</w:t>
            </w: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93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全年预算数(A)</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全年执行数(B)</w:t>
            </w:r>
          </w:p>
        </w:tc>
        <w:tc>
          <w:tcPr>
            <w:tcW w:w="278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center"/>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执行率(B/A)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1950"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年度资金总额</w:t>
            </w:r>
          </w:p>
        </w:tc>
        <w:tc>
          <w:tcPr>
            <w:tcW w:w="93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16</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16</w:t>
            </w:r>
          </w:p>
        </w:tc>
        <w:tc>
          <w:tcPr>
            <w:tcW w:w="278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5" w:hRule="atLeast"/>
        </w:trPr>
        <w:tc>
          <w:tcPr>
            <w:tcW w:w="1950"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其中:上级资金</w:t>
            </w:r>
          </w:p>
        </w:tc>
        <w:tc>
          <w:tcPr>
            <w:tcW w:w="93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78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950"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区级资金</w:t>
            </w:r>
          </w:p>
        </w:tc>
        <w:tc>
          <w:tcPr>
            <w:tcW w:w="93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16</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16</w:t>
            </w:r>
          </w:p>
        </w:tc>
        <w:tc>
          <w:tcPr>
            <w:tcW w:w="278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1950" w:type="dxa"/>
            <w:gridSpan w:val="3"/>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35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其他资金(包括结转结余)</w:t>
            </w:r>
          </w:p>
        </w:tc>
        <w:tc>
          <w:tcPr>
            <w:tcW w:w="930" w:type="dxa"/>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860"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78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top"/>
          </w:tcPr>
          <w:p>
            <w:pPr>
              <w:keepNext w:val="0"/>
              <w:keepLines w:val="0"/>
              <w:widowControl/>
              <w:suppressLineNumbers w:val="0"/>
              <w:jc w:val="both"/>
              <w:textAlignment w:val="top"/>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15" w:type="dxa"/>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年度总体目标</w:t>
            </w:r>
          </w:p>
        </w:tc>
        <w:tc>
          <w:tcPr>
            <w:tcW w:w="3615" w:type="dxa"/>
            <w:gridSpan w:val="5"/>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年初设定目标</w:t>
            </w:r>
          </w:p>
        </w:tc>
        <w:tc>
          <w:tcPr>
            <w:tcW w:w="4644" w:type="dxa"/>
            <w:gridSpan w:val="4"/>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0"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3615" w:type="dxa"/>
            <w:gridSpan w:val="5"/>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根据藁城区总工会安排及时上缴学区工会费</w:t>
            </w:r>
          </w:p>
        </w:tc>
        <w:tc>
          <w:tcPr>
            <w:tcW w:w="4644" w:type="dxa"/>
            <w:gridSpan w:val="4"/>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全部完成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615" w:type="dxa"/>
            <w:vMerge w:val="restart"/>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绩      效    指    标</w:t>
            </w:r>
          </w:p>
        </w:tc>
        <w:tc>
          <w:tcPr>
            <w:tcW w:w="64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一级指标</w:t>
            </w:r>
          </w:p>
        </w:tc>
        <w:tc>
          <w:tcPr>
            <w:tcW w:w="76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二级指标</w:t>
            </w: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三级指标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年度指标值</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全年完成值</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未完成原因和整改措施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产   出   指   标</w:t>
            </w: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数量指标</w:t>
            </w: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上缴工会费数量</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16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16 </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5"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质量指标</w:t>
            </w: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上缴资金完成率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5"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时效指标</w:t>
            </w: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上缴资金及时率</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100%</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20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效   益   指   标</w:t>
            </w: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经济效益指标</w:t>
            </w: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社会效益指标</w:t>
            </w: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生态效益指标</w:t>
            </w: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可持续影响指标</w:t>
            </w: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满意度指标</w:t>
            </w:r>
          </w:p>
        </w:tc>
        <w:tc>
          <w:tcPr>
            <w:tcW w:w="765" w:type="dxa"/>
            <w:gridSpan w:val="2"/>
            <w:vMerge w:val="restart"/>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服务对象满意度指标</w:t>
            </w: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工会满意度</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95%</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95%</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615" w:type="dxa"/>
            <w:vMerge w:val="continue"/>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645" w:type="dxa"/>
            <w:vMerge w:val="continue"/>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jc w:val="center"/>
              <w:rPr>
                <w:rFonts w:hint="eastAsia" w:ascii="楷体_GB2312" w:hAnsi="宋体" w:eastAsia="楷体_GB2312" w:cs="楷体_GB2312"/>
                <w:i w:val="0"/>
                <w:color w:val="000000"/>
                <w:sz w:val="22"/>
                <w:szCs w:val="22"/>
                <w:u w:val="none"/>
              </w:rPr>
            </w:pPr>
          </w:p>
        </w:tc>
        <w:tc>
          <w:tcPr>
            <w:tcW w:w="76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w:t>
            </w:r>
          </w:p>
        </w:tc>
        <w:tc>
          <w:tcPr>
            <w:tcW w:w="2205"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12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1215"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c>
          <w:tcPr>
            <w:tcW w:w="23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615" w:type="dxa"/>
            <w:tcBorders>
              <w:top w:val="nil"/>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说明</w:t>
            </w:r>
          </w:p>
        </w:tc>
        <w:tc>
          <w:tcPr>
            <w:tcW w:w="8259" w:type="dxa"/>
            <w:gridSpan w:val="9"/>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请在此处简要说明各级审计和财政监督检查中发现的问题及其所涉及的金额,如没有请填无。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9" w:hRule="atLeast"/>
        </w:trPr>
        <w:tc>
          <w:tcPr>
            <w:tcW w:w="8874" w:type="dxa"/>
            <w:gridSpan w:val="10"/>
            <w:vMerge w:val="restart"/>
            <w:tcBorders>
              <w:top w:val="nil"/>
              <w:left w:val="nil"/>
              <w:bottom w:val="nil"/>
              <w:right w:val="nil"/>
            </w:tcBorders>
            <w:shd w:val="clear" w:color="auto" w:fill="FFFFFF"/>
            <w:noWrap/>
            <w:tcMar>
              <w:top w:w="15" w:type="dxa"/>
              <w:left w:w="15" w:type="dxa"/>
              <w:right w:w="15" w:type="dxa"/>
            </w:tcMar>
            <w:vAlign w:val="center"/>
          </w:tcPr>
          <w:p>
            <w:pPr>
              <w:keepNext w:val="0"/>
              <w:keepLines w:val="0"/>
              <w:widowControl/>
              <w:suppressLineNumbers w:val="0"/>
              <w:jc w:val="both"/>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定性指标根据完成情况分为：全部或基本达成预期指标100-80%（含）、部分达成并具有一定效果80-60%（含）、未达成预期指标且效果较差60%-0%。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8874" w:type="dxa"/>
            <w:gridSpan w:val="10"/>
            <w:vMerge w:val="continue"/>
            <w:tcBorders>
              <w:top w:val="nil"/>
              <w:left w:val="nil"/>
              <w:bottom w:val="nil"/>
              <w:right w:val="nil"/>
            </w:tcBorders>
            <w:shd w:val="clear" w:color="auto" w:fill="FFFFFF"/>
            <w:noWrap/>
            <w:tcMar>
              <w:top w:w="15" w:type="dxa"/>
              <w:left w:w="15" w:type="dxa"/>
              <w:right w:w="15" w:type="dxa"/>
            </w:tcMar>
            <w:vAlign w:val="center"/>
          </w:tcPr>
          <w:p>
            <w:pPr>
              <w:jc w:val="both"/>
              <w:rPr>
                <w:rFonts w:hint="eastAsia" w:ascii="楷体_GB2312" w:hAnsi="宋体" w:eastAsia="楷体_GB2312" w:cs="楷体_GB2312"/>
                <w:i w:val="0"/>
                <w:color w:val="000000"/>
                <w:sz w:val="22"/>
                <w:szCs w:val="22"/>
                <w:u w:val="none"/>
              </w:rPr>
            </w:pPr>
          </w:p>
        </w:tc>
      </w:tr>
    </w:tbl>
    <w:p>
      <w:pPr>
        <w:numPr>
          <w:ilvl w:val="0"/>
          <w:numId w:val="3"/>
        </w:num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财政评价项目绩效评价</w:t>
      </w:r>
      <w:r>
        <w:rPr>
          <w:rFonts w:hint="eastAsia" w:ascii="仿宋_GB2312" w:hAnsi="仿宋_GB2312" w:eastAsia="仿宋_GB2312" w:cs="仿宋_GB2312"/>
          <w:b/>
          <w:bCs/>
          <w:sz w:val="32"/>
          <w:szCs w:val="32"/>
        </w:rPr>
        <w:t>结果。</w:t>
      </w:r>
    </w:p>
    <w:p>
      <w:pPr>
        <w:numPr>
          <w:ilvl w:val="0"/>
          <w:numId w:val="0"/>
        </w:numPr>
        <w:adjustRightInd w:val="0"/>
        <w:snapToGrid w:val="0"/>
        <w:spacing w:line="580" w:lineRule="exact"/>
        <w:ind w:leftChars="300"/>
        <w:rPr>
          <w:rFonts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本部门本年度无财政评价项目。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135.06</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56.55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29.51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压减支出</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 xml:space="preserve">1. </w:t>
      </w:r>
      <w:r>
        <w:rPr>
          <w:rFonts w:hint="eastAsia" w:ascii="仿宋_GB2312" w:hAnsi="Times New Roman" w:eastAsia="仿宋_GB2312" w:cs="DengXian-Regular"/>
          <w:sz w:val="32"/>
          <w:szCs w:val="32"/>
          <w:lang w:eastAsia="zh-CN"/>
        </w:rPr>
        <w:t>本部门</w:t>
      </w:r>
      <w:r>
        <w:rPr>
          <w:rFonts w:hint="eastAsia" w:ascii="仿宋_GB2312" w:hAnsi="Times New Roman" w:eastAsia="仿宋_GB2312" w:cs="DengXian-Regular"/>
          <w:sz w:val="32"/>
          <w:szCs w:val="32"/>
          <w:lang w:val="en-US" w:eastAsia="zh-CN"/>
        </w:rPr>
        <w:t>2019年度政府性基金及国有资本经营无收支及结转结余情况，故08,09表以空表列示。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257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360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360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tbl>
      <w:tblPr>
        <w:tblStyle w:val="6"/>
        <w:tblpPr w:leftFromText="180" w:rightFromText="180" w:vertAnchor="text" w:horzAnchor="page" w:tblpXSpec="center" w:tblpY="31"/>
        <w:tblOverlap w:val="never"/>
        <w:tblW w:w="13886" w:type="dxa"/>
        <w:jc w:val="center"/>
        <w:tblLayout w:type="fixed"/>
        <w:tblCellMar>
          <w:top w:w="0" w:type="dxa"/>
          <w:left w:w="0" w:type="dxa"/>
          <w:bottom w:w="0" w:type="dxa"/>
          <w:right w:w="0" w:type="dxa"/>
        </w:tblCellMar>
      </w:tblPr>
      <w:tblGrid>
        <w:gridCol w:w="4722"/>
        <w:gridCol w:w="1066"/>
        <w:gridCol w:w="1561"/>
        <w:gridCol w:w="4516"/>
        <w:gridCol w:w="789"/>
        <w:gridCol w:w="1232"/>
      </w:tblGrid>
      <w:tr>
        <w:tblPrEx>
          <w:tblCellMar>
            <w:top w:w="0" w:type="dxa"/>
            <w:left w:w="0" w:type="dxa"/>
            <w:bottom w:w="0" w:type="dxa"/>
            <w:right w:w="0" w:type="dxa"/>
          </w:tblCellMar>
        </w:tblPrEx>
        <w:trPr>
          <w:trHeight w:val="489" w:hRule="atLeast"/>
          <w:jc w:val="center"/>
        </w:trPr>
        <w:tc>
          <w:tcPr>
            <w:tcW w:w="13886"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47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3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47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0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3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734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6537"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4125.09</w:t>
            </w: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842.91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hint="default" w:ascii="宋体" w:hAnsi="宋体" w:eastAsia="宋体" w:cs="宋体"/>
                <w:color w:val="000000"/>
                <w:sz w:val="22"/>
                <w:lang w:val="en-US" w:eastAsia="zh-CN"/>
              </w:rPr>
            </w:pPr>
            <w:r>
              <w:rPr>
                <w:rFonts w:hint="eastAsia" w:ascii="宋体" w:hAnsi="宋体" w:eastAsia="宋体" w:cs="宋体"/>
                <w:color w:val="000000"/>
                <w:kern w:val="0"/>
                <w:sz w:val="22"/>
                <w:lang w:val="en-US" w:eastAsia="zh-CN" w:bidi="ar"/>
              </w:rPr>
              <w:t>3191.00</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4125.09</w:t>
            </w: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4118.09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47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10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15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4,125.09　</w:t>
            </w:r>
          </w:p>
        </w:tc>
        <w:tc>
          <w:tcPr>
            <w:tcW w:w="45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4,125.09　</w:t>
            </w:r>
          </w:p>
        </w:tc>
      </w:tr>
      <w:tr>
        <w:tblPrEx>
          <w:tblCellMar>
            <w:top w:w="0" w:type="dxa"/>
            <w:left w:w="0" w:type="dxa"/>
            <w:bottom w:w="0" w:type="dxa"/>
            <w:right w:w="0" w:type="dxa"/>
          </w:tblCellMar>
        </w:tblPrEx>
        <w:trPr>
          <w:trHeight w:val="213" w:hRule="atLeast"/>
          <w:jc w:val="center"/>
        </w:trPr>
        <w:tc>
          <w:tcPr>
            <w:tcW w:w="13886"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p>
      <w:pPr>
        <w:jc w:val="left"/>
      </w:pPr>
    </w:p>
    <w:p>
      <w:pPr>
        <w:jc w:val="left"/>
      </w:pPr>
    </w:p>
    <w:p>
      <w:pPr>
        <w:jc w:val="left"/>
      </w:pPr>
    </w:p>
    <w:p>
      <w:pPr>
        <w:jc w:val="left"/>
      </w:pPr>
    </w:p>
    <w:p>
      <w:pPr>
        <w:jc w:val="left"/>
      </w:pPr>
    </w:p>
    <w:p>
      <w:pPr>
        <w:jc w:val="left"/>
      </w:pPr>
    </w:p>
    <w:p>
      <w:pPr>
        <w:jc w:val="left"/>
      </w:pP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41"/>
        <w:gridCol w:w="213"/>
        <w:gridCol w:w="212"/>
        <w:gridCol w:w="2505"/>
        <w:gridCol w:w="1391"/>
        <w:gridCol w:w="1392"/>
        <w:gridCol w:w="1147"/>
        <w:gridCol w:w="1148"/>
        <w:gridCol w:w="1147"/>
        <w:gridCol w:w="1149"/>
        <w:gridCol w:w="11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2441"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2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0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44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5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9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9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44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部门：石家庄市藁城区九门回族乡人民政府</w:t>
            </w:r>
          </w:p>
        </w:tc>
        <w:tc>
          <w:tcPr>
            <w:tcW w:w="2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5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9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9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371"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39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39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114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114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114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1149"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114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505"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39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05"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05"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371"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4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4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14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371"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4,125.09</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4,125.09</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849.09</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849.09</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849.09</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849.09</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849.09</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849.09</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2,254.05</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2,254.05</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2050203</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初中教育</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936.95</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936.95</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2129901</w:t>
            </w:r>
          </w:p>
        </w:tc>
        <w:tc>
          <w:tcPr>
            <w:tcW w:w="2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2129901</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bl>
    <w:p>
      <w:r>
        <w:br w:type="page"/>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732"/>
        <w:gridCol w:w="235"/>
        <w:gridCol w:w="235"/>
        <w:gridCol w:w="2803"/>
        <w:gridCol w:w="1381"/>
        <w:gridCol w:w="1381"/>
        <w:gridCol w:w="1285"/>
        <w:gridCol w:w="1283"/>
        <w:gridCol w:w="1284"/>
        <w:gridCol w:w="126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6" w:type="dxa"/>
            <w:gridSpan w:val="10"/>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73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80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8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8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73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部门：石家庄市藁城区九门回族乡人民政府</w:t>
            </w:r>
          </w:p>
        </w:tc>
        <w:tc>
          <w:tcPr>
            <w:tcW w:w="2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80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8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8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6005"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38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38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2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28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128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26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803"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38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03"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03"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6005"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38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8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28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8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6005"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4,118.91</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3,934.44</w:t>
            </w: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184.47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842.91</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743.44</w:t>
            </w: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99.47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842.91</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743.44</w:t>
            </w: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99.47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842.91</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743.44</w:t>
            </w: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99.47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2,254.05</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2,254.05</w:t>
            </w: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2050203</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初中教育</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936.95</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936.95</w:t>
            </w: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2129901</w:t>
            </w: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2129901</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8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86"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r>
        <w:br w:type="page"/>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463"/>
        <w:gridCol w:w="516"/>
        <w:gridCol w:w="1519"/>
        <w:gridCol w:w="3310"/>
        <w:gridCol w:w="516"/>
        <w:gridCol w:w="1521"/>
        <w:gridCol w:w="1521"/>
        <w:gridCol w:w="15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6"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346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1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1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3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1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2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2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2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3463"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部门：石家庄市藁城区九门回族乡人民政府</w:t>
            </w:r>
          </w:p>
        </w:tc>
        <w:tc>
          <w:tcPr>
            <w:tcW w:w="51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1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3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1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2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2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2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498"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8388" w:type="dxa"/>
            <w:gridSpan w:val="5"/>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2" w:hRule="atLeast"/>
        </w:trPr>
        <w:tc>
          <w:tcPr>
            <w:tcW w:w="3463"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1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51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3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1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521"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52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52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3463"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1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1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1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21"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2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2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5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5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4,125.09</w:t>
            </w: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842.91</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842.91</w:t>
            </w: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4,125.09</w:t>
            </w: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4,118.91</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4,118.91</w:t>
            </w: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6.18</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6.18</w:t>
            </w: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63"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5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4,125.09</w:t>
            </w:r>
          </w:p>
        </w:tc>
        <w:tc>
          <w:tcPr>
            <w:tcW w:w="33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1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4,125.09</w:t>
            </w:r>
          </w:p>
        </w:tc>
        <w:tc>
          <w:tcPr>
            <w:tcW w:w="15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4,125.09</w:t>
            </w:r>
          </w:p>
        </w:tc>
        <w:tc>
          <w:tcPr>
            <w:tcW w:w="15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86"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r>
        <w:br w:type="page"/>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56"/>
        <w:gridCol w:w="191"/>
        <w:gridCol w:w="189"/>
        <w:gridCol w:w="2687"/>
        <w:gridCol w:w="4795"/>
        <w:gridCol w:w="2233"/>
        <w:gridCol w:w="2"/>
        <w:gridCol w:w="22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556"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19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8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8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79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c>
          <w:tcPr>
            <w:tcW w:w="223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23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55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9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8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8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7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23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235"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55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部门：石家庄市藁城区九门回族乡人民政府</w:t>
            </w:r>
          </w:p>
        </w:tc>
        <w:tc>
          <w:tcPr>
            <w:tcW w:w="19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8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8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7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23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235"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623"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263" w:type="dxa"/>
            <w:gridSpan w:val="4"/>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687"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479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2235"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23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trPr>
        <w:tc>
          <w:tcPr>
            <w:tcW w:w="1936"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87"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7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5"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87"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7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5"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623"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235" w:type="dxa"/>
            <w:gridSpan w:val="2"/>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2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623"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4,118.91</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3,934.44</w:t>
            </w: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184.47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842.91</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743.44</w:t>
            </w: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842.91</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743.44</w:t>
            </w: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842.91</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743.44</w:t>
            </w: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3,191.00</w:t>
            </w: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2050202</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小学教育</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2,254.05</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2,254.05</w:t>
            </w: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2050203</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初中教育</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936.95</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936.95</w:t>
            </w: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2129901</w:t>
            </w: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2129901</w:t>
            </w: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9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6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86"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注：本表反映部门本年度一般公共预算财政拨款支出情况。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86"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p>
      <w:r>
        <w:br w:type="page"/>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259"/>
        <w:gridCol w:w="2082"/>
        <w:gridCol w:w="1366"/>
        <w:gridCol w:w="872"/>
        <w:gridCol w:w="1638"/>
        <w:gridCol w:w="1065"/>
        <w:gridCol w:w="871"/>
        <w:gridCol w:w="2666"/>
        <w:gridCol w:w="106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6" w:type="dxa"/>
            <w:gridSpan w:val="9"/>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28"/>
                <w:szCs w:val="28"/>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25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08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6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3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7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6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6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259"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部门：石家庄市藁城区九门回族乡人民政府</w:t>
            </w:r>
          </w:p>
        </w:tc>
        <w:tc>
          <w:tcPr>
            <w:tcW w:w="208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6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3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7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6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6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707"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8179" w:type="dxa"/>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08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36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87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63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6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87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66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6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6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3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6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6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3,693.81</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135.06</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1,214.31</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16.99</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246.46</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0.54</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26.81</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831.50</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439.89</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13.16</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85.75</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5.85</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190.21</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22.68</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120.19</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10.95</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485.52</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105.57</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0.99</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23.81</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41.81</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无形资产购置</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30.78</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28.80</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医疗费补助</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14.04</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2.28</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9.17</w:t>
            </w: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259"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08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163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w:t>
            </w:r>
          </w:p>
        </w:tc>
        <w:tc>
          <w:tcPr>
            <w:tcW w:w="87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66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341"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13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3,799.38</w:t>
            </w:r>
          </w:p>
        </w:tc>
        <w:tc>
          <w:tcPr>
            <w:tcW w:w="7112" w:type="dxa"/>
            <w:gridSpan w:val="5"/>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86" w:type="dxa"/>
            <w:gridSpan w:val="9"/>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注：本表反映部门本年度一般公共预算财政拨款基本支出明细情况。</w:t>
            </w:r>
          </w:p>
        </w:tc>
      </w:tr>
    </w:tbl>
    <w:p>
      <w:r>
        <w:br w:type="page"/>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745"/>
        <w:gridCol w:w="1010"/>
        <w:gridCol w:w="1012"/>
        <w:gridCol w:w="1012"/>
        <w:gridCol w:w="1011"/>
        <w:gridCol w:w="1012"/>
        <w:gridCol w:w="1012"/>
        <w:gridCol w:w="1011"/>
        <w:gridCol w:w="1012"/>
        <w:gridCol w:w="1011"/>
        <w:gridCol w:w="1012"/>
        <w:gridCol w:w="10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3886" w:type="dxa"/>
            <w:gridSpan w:val="12"/>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44"/>
                <w:szCs w:val="44"/>
                <w:u w:val="none"/>
                <w:lang w:val="en-US" w:eastAsia="zh-CN" w:bidi="ar"/>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7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2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74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部门：石家庄市藁城区九门回族乡人民政府</w:t>
            </w:r>
          </w:p>
        </w:tc>
        <w:tc>
          <w:tcPr>
            <w:tcW w:w="10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2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802"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6084"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74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035"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01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101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1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035"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02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274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0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01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0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02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74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0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02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274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5.48</w:t>
            </w:r>
          </w:p>
        </w:tc>
        <w:tc>
          <w:tcPr>
            <w:tcW w:w="1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w:t>
            </w: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w:t>
            </w: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w:t>
            </w: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5.48</w:t>
            </w:r>
          </w:p>
        </w:tc>
        <w:tc>
          <w:tcPr>
            <w:tcW w:w="10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w:t>
            </w:r>
          </w:p>
        </w:tc>
        <w:tc>
          <w:tcPr>
            <w:tcW w:w="10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w:t>
            </w:r>
          </w:p>
        </w:tc>
        <w:tc>
          <w:tcPr>
            <w:tcW w:w="10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13886" w:type="dxa"/>
            <w:gridSpan w:val="1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三公”经费支出预决算情况。其中：预算数为“三公”经费全年预算数，反映按规定程序调整后的预算数；决算数是包括当年一般公共预算财政拨款和以前年度结转资金安排的实际支出。</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875"/>
        <w:gridCol w:w="247"/>
        <w:gridCol w:w="248"/>
        <w:gridCol w:w="2950"/>
        <w:gridCol w:w="1261"/>
        <w:gridCol w:w="1261"/>
        <w:gridCol w:w="1261"/>
        <w:gridCol w:w="1261"/>
        <w:gridCol w:w="1261"/>
        <w:gridCol w:w="12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6" w:type="dxa"/>
            <w:gridSpan w:val="10"/>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8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9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287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部门：石家庄市藁城区九门回族乡人民政府</w:t>
            </w:r>
          </w:p>
        </w:tc>
        <w:tc>
          <w:tcPr>
            <w:tcW w:w="24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9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6320"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26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126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3783"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126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7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950"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2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26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26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2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7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5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7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5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6320"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26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6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6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26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6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6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6320"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7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7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7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7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7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7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86" w:type="dxa"/>
            <w:gridSpan w:val="10"/>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注：本表反映部门本年度政府性基金预算财政拨款收入、支出及结转和结余情况。本部门本年度无收支及结转结余情况，按要求以空表列示。</w:t>
            </w:r>
          </w:p>
        </w:tc>
      </w:tr>
    </w:tbl>
    <w:p>
      <w:r>
        <w:br w:type="page"/>
      </w:r>
    </w:p>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546"/>
        <w:gridCol w:w="557"/>
        <w:gridCol w:w="488"/>
        <w:gridCol w:w="4291"/>
        <w:gridCol w:w="1668"/>
        <w:gridCol w:w="1668"/>
        <w:gridCol w:w="16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3886" w:type="dxa"/>
            <w:gridSpan w:val="7"/>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44"/>
                <w:szCs w:val="44"/>
                <w:u w:val="none"/>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354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5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8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29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6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6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68"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354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部门：石家庄市藁城区九门回族乡人民政府</w:t>
            </w:r>
          </w:p>
        </w:tc>
        <w:tc>
          <w:tcPr>
            <w:tcW w:w="55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8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29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6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6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68"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8882"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w:t>
            </w:r>
          </w:p>
        </w:tc>
        <w:tc>
          <w:tcPr>
            <w:tcW w:w="5004" w:type="dxa"/>
            <w:gridSpan w:val="3"/>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4591"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29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66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66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66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8882"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66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66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66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8882"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59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59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59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59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59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59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2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86" w:type="dxa"/>
            <w:gridSpan w:val="7"/>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注：本表反映部门本年度国有资本经营预算财政拨款支出情况。本部门本年度无相关支出情况，按要求以空表列示。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86" w:type="dxa"/>
            <w:gridSpan w:val="7"/>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p/>
    <w:p>
      <w:r>
        <mc:AlternateContent>
          <mc:Choice Requires="wps">
            <w:drawing>
              <wp:anchor distT="0" distB="0" distL="114300" distR="114300" simplePos="0" relativeHeight="25167462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462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6838" w:h="11906" w:orient="landscape"/>
      <w:pgMar w:top="1417" w:right="1701" w:bottom="1417" w:left="1281"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S UI Gothic"/>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方正书宋_GBK">
    <w:altName w:val="宋体"/>
    <w:panose1 w:val="00000000000000000000"/>
    <w:charset w:val="86"/>
    <w:family w:val="auto"/>
    <w:pitch w:val="default"/>
    <w:sig w:usb0="00000000" w:usb1="00000000" w:usb2="00000010" w:usb3="00000000" w:csb0="00040000" w:csb1="00000000"/>
  </w:font>
  <w:font w:name="ArialUnicodeMS">
    <w:altName w:val="Batang"/>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Batang"/>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S UI 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588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691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691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793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793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896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896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203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203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2816;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1792"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1792;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510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510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612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3056"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305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4080"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408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998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998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100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100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3840;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4864;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7696"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7696;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6672;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9744;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076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B4DB8A"/>
    <w:multiLevelType w:val="singleLevel"/>
    <w:tmpl w:val="34B4DB8A"/>
    <w:lvl w:ilvl="0" w:tentative="0">
      <w:start w:val="3"/>
      <w:numFmt w:val="decimal"/>
      <w:suff w:val="space"/>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Y1NGM1OTU5NWYwOTBkMDliYzRkYmZiN2Y1MGZhNzg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AB71A74"/>
    <w:rsid w:val="0B011416"/>
    <w:rsid w:val="0CB5400B"/>
    <w:rsid w:val="0E890913"/>
    <w:rsid w:val="16116FCE"/>
    <w:rsid w:val="1A68078A"/>
    <w:rsid w:val="1A697072"/>
    <w:rsid w:val="1BD31699"/>
    <w:rsid w:val="2B524E7C"/>
    <w:rsid w:val="31C2036A"/>
    <w:rsid w:val="320D02A5"/>
    <w:rsid w:val="348E566F"/>
    <w:rsid w:val="3A226944"/>
    <w:rsid w:val="3AEE6A48"/>
    <w:rsid w:val="3C1620AA"/>
    <w:rsid w:val="3D8F080F"/>
    <w:rsid w:val="433B2DF4"/>
    <w:rsid w:val="44CE1FA4"/>
    <w:rsid w:val="487F73ED"/>
    <w:rsid w:val="4A347EAE"/>
    <w:rsid w:val="4FA67A63"/>
    <w:rsid w:val="52600405"/>
    <w:rsid w:val="529B4319"/>
    <w:rsid w:val="556874F1"/>
    <w:rsid w:val="57773DD6"/>
    <w:rsid w:val="578B79AB"/>
    <w:rsid w:val="5CCD3FD5"/>
    <w:rsid w:val="60A454AB"/>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autoRedefine/>
    <w:unhideWhenUsed/>
    <w:qFormat/>
    <w:uiPriority w:val="99"/>
    <w:rPr>
      <w:rFonts w:ascii="仿宋_GB2312" w:hAnsi="仿宋_GB2312" w:eastAsia="仿宋_GB2312" w:cs="仿宋_GB2312"/>
      <w:sz w:val="32"/>
      <w:szCs w:val="32"/>
      <w:lang w:val="zh-CN" w:bidi="zh-CN"/>
    </w:rPr>
  </w:style>
  <w:style w:type="paragraph" w:styleId="4">
    <w:name w:val="footer"/>
    <w:basedOn w:val="1"/>
    <w:link w:val="10"/>
    <w:autoRedefine/>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autoRedefine/>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autoRedefine/>
    <w:qFormat/>
    <w:uiPriority w:val="99"/>
    <w:rPr>
      <w:rFonts w:asciiTheme="minorHAnsi" w:hAnsiTheme="minorHAnsi" w:eastAsiaTheme="minorEastAsia"/>
      <w:sz w:val="18"/>
      <w:szCs w:val="18"/>
    </w:rPr>
  </w:style>
  <w:style w:type="character" w:customStyle="1" w:styleId="10">
    <w:name w:val="页脚 Char"/>
    <w:basedOn w:val="8"/>
    <w:link w:val="4"/>
    <w:autoRedefine/>
    <w:qFormat/>
    <w:uiPriority w:val="99"/>
    <w:rPr>
      <w:sz w:val="18"/>
      <w:szCs w:val="18"/>
    </w:rPr>
  </w:style>
  <w:style w:type="paragraph" w:customStyle="1" w:styleId="11">
    <w:name w:val="列出段落1"/>
    <w:basedOn w:val="1"/>
    <w:autoRedefine/>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41"/>
    <w:basedOn w:val="8"/>
    <w:autoRedefine/>
    <w:qFormat/>
    <w:uiPriority w:val="0"/>
    <w:rPr>
      <w:rFonts w:hint="eastAsia" w:ascii="仿宋_GB2312" w:eastAsia="仿宋_GB2312" w:cs="仿宋_GB2312"/>
      <w:color w:val="000000"/>
      <w:sz w:val="32"/>
      <w:szCs w:val="32"/>
      <w:u w:val="none"/>
    </w:rPr>
  </w:style>
  <w:style w:type="character" w:customStyle="1" w:styleId="13">
    <w:name w:val="font21"/>
    <w:basedOn w:val="8"/>
    <w:qFormat/>
    <w:uiPriority w:val="0"/>
    <w:rPr>
      <w:rFonts w:hint="eastAsia" w:ascii="楷体_GB2312" w:eastAsia="楷体_GB2312" w:cs="楷体_GB2312"/>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1.xml"/><Relationship Id="rId1" Type="http://schemas.openxmlformats.org/officeDocument/2006/relationships/oleObject" Target="file:///C:\Documents%20and%20Settings\Administrator\&#26700;&#38754;\&#21016;&#20811;&#24378;\&#19978;&#25253;&#26434;&#29289;\2019&#32467;&#36716;.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G:\&#21016;&#20811;&#24378;&#21150;&#20844;\&#39044;&#31639;&#31185;\&#27827;&#21271;&#36130;&#25919;&#20449;&#24687;&#31995;&#32479;&#19968;&#20307;&#21270;&#24179;&#21488;&#20351;&#29992;&#30003;&#35831;&#34920;(&#34241;&#22478;&#20351;&#29992;)(3).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G:\&#21016;&#20811;&#24378;&#21150;&#20844;\&#39044;&#31639;&#31185;\&#39044;&#20915;&#31639;\2021&#39044;&#31639;\&#38468;&#34920;1-2021&#24180;&#39044;&#31639;&#32534;&#21046;&#23457;&#26680;&#34920;-&#20154;&#21592;&#20844;&#29992;(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ysClr val="windowText" lastClr="000000">
                    <a:lumMod val="65000"/>
                    <a:lumOff val="35000"/>
                  </a:sysClr>
                </a:solidFill>
                <a:latin typeface="+mn-lt"/>
                <a:ea typeface="+mn-ea"/>
                <a:cs typeface="+mn-cs"/>
              </a:defRPr>
            </a:pPr>
            <a:r>
              <a:rPr lang="en-US" altLang="zh-CN"/>
              <a:t>收入支出与上年度对比情况</a:t>
            </a:r>
            <a:endParaRPr lang="en-US" altLang="zh-CN"/>
          </a:p>
        </c:rich>
      </c:tx>
      <c:layout>
        <c:manualLayout>
          <c:xMode val="edge"/>
          <c:yMode val="edge"/>
          <c:x val="0.273611111111111"/>
          <c:y val="0.0243055555555556"/>
        </c:manualLayout>
      </c:layout>
      <c:overlay val="0"/>
      <c:spPr>
        <a:noFill/>
        <a:ln>
          <a:noFill/>
        </a:ln>
        <a:effectLst/>
      </c:spPr>
    </c:title>
    <c:autoTitleDeleted val="0"/>
    <c:plotArea>
      <c:layout/>
      <c:barChart>
        <c:barDir val="col"/>
        <c:grouping val="clustered"/>
        <c:varyColors val="0"/>
        <c:ser>
          <c:idx val="0"/>
          <c:order val="0"/>
          <c:spPr>
            <a:solidFill>
              <a:srgbClr val="4F81BD"/>
            </a:solidFill>
            <a:ln>
              <a:noFill/>
            </a:ln>
            <a:effectLst/>
          </c:spPr>
          <c:invertIfNegative val="0"/>
          <c:dLbls>
            <c:delete val="1"/>
          </c:dLbls>
          <c:cat>
            <c:strRef>
              <c:f>[2019结转.xlsx]Sheet1!$B$21:$E$21</c:f>
              <c:strCache>
                <c:ptCount val="4"/>
                <c:pt idx="0">
                  <c:v>2018年收入</c:v>
                </c:pt>
                <c:pt idx="1">
                  <c:v>2019年收入</c:v>
                </c:pt>
                <c:pt idx="2">
                  <c:v>2018年支出</c:v>
                </c:pt>
                <c:pt idx="3">
                  <c:v>2019年支出</c:v>
                </c:pt>
              </c:strCache>
            </c:strRef>
          </c:cat>
          <c:val>
            <c:numRef>
              <c:f>[2019结转.xlsx]Sheet1!$B$22:$E$22</c:f>
              <c:numCache>
                <c:formatCode>General</c:formatCode>
                <c:ptCount val="4"/>
                <c:pt idx="0">
                  <c:v>5447.489393</c:v>
                </c:pt>
                <c:pt idx="1">
                  <c:v>4125.089028</c:v>
                </c:pt>
                <c:pt idx="2">
                  <c:v>5447.489393</c:v>
                </c:pt>
                <c:pt idx="3">
                  <c:v>4118.909028</c:v>
                </c:pt>
              </c:numCache>
            </c:numRef>
          </c:val>
        </c:ser>
        <c:dLbls>
          <c:showLegendKey val="0"/>
          <c:showVal val="0"/>
          <c:showCatName val="0"/>
          <c:showSerName val="0"/>
          <c:showPercent val="0"/>
          <c:showBubbleSize val="0"/>
        </c:dLbls>
        <c:gapWidth val="219"/>
        <c:overlap val="-27"/>
        <c:axId val="261295974"/>
        <c:axId val="596034281"/>
      </c:barChart>
      <c:catAx>
        <c:axId val="261295974"/>
        <c:scaling>
          <c:orientation val="minMax"/>
        </c:scaling>
        <c:delete val="0"/>
        <c:axPos val="b"/>
        <c:majorTickMark val="none"/>
        <c:minorTickMark val="none"/>
        <c:tickLblPos val="nextTo"/>
        <c:spPr>
          <a:noFill/>
          <a:ln w="9525" cap="flat" cmpd="sng" algn="ctr">
            <a:solidFill>
              <a:sysClr val="windowText" lastClr="000000">
                <a:lumMod val="15000"/>
                <a:lumOff val="85000"/>
              </a:sysClr>
            </a:solidFill>
            <a:round/>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596034281"/>
        <c:crosses val="autoZero"/>
        <c:auto val="1"/>
        <c:lblAlgn val="ctr"/>
        <c:lblOffset val="100"/>
        <c:noMultiLvlLbl val="0"/>
      </c:catAx>
      <c:valAx>
        <c:axId val="596034281"/>
        <c:scaling>
          <c:orientation val="minMax"/>
        </c:scaling>
        <c:delete val="0"/>
        <c:axPos val="l"/>
        <c:majorGridlines>
          <c:spPr>
            <a:ln w="9525" cap="flat" cmpd="sng" algn="ctr">
              <a:solidFill>
                <a:sysClr val="windowText" lastClr="000000">
                  <a:lumMod val="15000"/>
                  <a:lumOff val="85000"/>
                </a:sys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261295974"/>
        <c:crosses val="autoZero"/>
        <c:crossBetween val="between"/>
      </c:valAx>
      <c:spPr>
        <a:noFill/>
        <a:ln>
          <a:noFill/>
        </a:ln>
        <a:effectLst/>
      </c:spPr>
    </c:plotArea>
    <c:plotVisOnly val="1"/>
    <c:dispBlanksAs val="gap"/>
    <c:showDLblsOverMax val="0"/>
  </c:chart>
  <c:spPr>
    <a:solidFill>
      <a:sysClr val="window" lastClr="FFFFFF"/>
    </a:solidFill>
    <a:ln w="9525" cap="flat" cmpd="sng" algn="ctr">
      <a:solidFill>
        <a:sysClr val="windowText" lastClr="000000">
          <a:lumMod val="15000"/>
          <a:lumOff val="85000"/>
        </a:sys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财政拨款收支于年初预算对比</a:t>
            </a:r>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'[河北财政信息系统一体化平台使用申请表(藁城使用)(3).xls]Sheet2'!$C$8:$F$8</c:f>
              <c:strCache>
                <c:ptCount val="4"/>
                <c:pt idx="0">
                  <c:v>年初预算收入</c:v>
                </c:pt>
                <c:pt idx="1">
                  <c:v>本年实际收入</c:v>
                </c:pt>
                <c:pt idx="2">
                  <c:v>年初预算支出</c:v>
                </c:pt>
                <c:pt idx="3">
                  <c:v>本年实际支出</c:v>
                </c:pt>
              </c:strCache>
            </c:strRef>
          </c:cat>
          <c:val>
            <c:numRef>
              <c:f>'[河北财政信息系统一体化平台使用申请表(藁城使用)(3).xls]Sheet2'!$C$9:$F$9</c:f>
              <c:numCache>
                <c:formatCode>General</c:formatCode>
                <c:ptCount val="4"/>
                <c:pt idx="0">
                  <c:v>4501.5</c:v>
                </c:pt>
                <c:pt idx="1">
                  <c:v>4125.09</c:v>
                </c:pt>
                <c:pt idx="2">
                  <c:v>4501.5</c:v>
                </c:pt>
                <c:pt idx="3">
                  <c:v>4118.91</c:v>
                </c:pt>
              </c:numCache>
            </c:numRef>
          </c:val>
        </c:ser>
        <c:dLbls>
          <c:showLegendKey val="0"/>
          <c:showVal val="0"/>
          <c:showCatName val="0"/>
          <c:showSerName val="0"/>
          <c:showPercent val="0"/>
          <c:showBubbleSize val="0"/>
        </c:dLbls>
        <c:gapWidth val="219"/>
        <c:overlap val="-27"/>
        <c:axId val="440879529"/>
        <c:axId val="415853357"/>
      </c:barChart>
      <c:catAx>
        <c:axId val="44087952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853357"/>
        <c:crosses val="autoZero"/>
        <c:auto val="1"/>
        <c:lblAlgn val="ctr"/>
        <c:lblOffset val="100"/>
        <c:noMultiLvlLbl val="0"/>
      </c:catAx>
      <c:valAx>
        <c:axId val="41585335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087952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财政拨款支出决算结构</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'[附表1-2021年预算编制审核表-人员公用(2).xls]Sheet3'!$B$3:$E$3</c:f>
              <c:strCache>
                <c:ptCount val="4"/>
                <c:pt idx="0">
                  <c:v>一般公共服务（类）支出</c:v>
                </c:pt>
                <c:pt idx="1">
                  <c:v>教育（类）支出</c:v>
                </c:pt>
                <c:pt idx="2">
                  <c:v>节能环保支出</c:v>
                </c:pt>
                <c:pt idx="3">
                  <c:v>城乡社区支出</c:v>
                </c:pt>
              </c:strCache>
            </c:strRef>
          </c:cat>
          <c:val>
            <c:numRef>
              <c:f>'[附表1-2021年预算编制审核表-人员公用(2).xls]Sheet3'!$B$4:$E$4</c:f>
              <c:numCache>
                <c:formatCode>0.00%</c:formatCode>
                <c:ptCount val="4"/>
                <c:pt idx="0">
                  <c:v>0.2046</c:v>
                </c:pt>
                <c:pt idx="1">
                  <c:v>0.7747</c:v>
                </c:pt>
                <c:pt idx="2">
                  <c:v>0.0036</c:v>
                </c:pt>
                <c:pt idx="3">
                  <c:v>0.0171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ysClr val="windowText" lastClr="000000">
        <a:lumMod val="65000"/>
        <a:lumOff val="35000"/>
      </a:sysClr>
    </cs:fontRef>
    <cs:defRPr sz="1000" kern="1200"/>
  </cs:axisTitle>
  <cs:categoryAxis>
    <cs:lnRef idx="0"/>
    <cs:fillRef idx="0"/>
    <cs:effectRef idx="0"/>
    <cs:fontRef idx="minor">
      <a:sysClr val="windowText" lastClr="000000">
        <a:lumMod val="65000"/>
        <a:lumOff val="35000"/>
      </a:sysClr>
    </cs:fontRef>
    <cs:spPr>
      <a:ln w="9525" cap="flat" cmpd="sng" algn="ctr">
        <a:solidFill>
          <a:sysClr val="windowText" lastClr="000000">
            <a:lumMod val="15000"/>
            <a:lumOff val="85000"/>
          </a:sysClr>
        </a:solidFill>
        <a:round/>
      </a:ln>
    </cs:spPr>
    <cs:defRPr sz="900" kern="1200"/>
  </cs:categoryAxis>
  <cs:chartArea mods="allowNoFillOverride allowNoLineOverride">
    <cs:lnRef idx="0"/>
    <cs:fillRef idx="0"/>
    <cs:effectRef idx="0"/>
    <cs:fontRef idx="minor">
      <a:sysClr val="windowText" lastClr="000000"/>
    </cs:fontRef>
    <cs:spPr>
      <a:solidFill>
        <a:sysClr val="window" lastClr="FFFFFF"/>
      </a:solidFill>
      <a:ln w="9525" cap="flat" cmpd="sng" algn="ctr">
        <a:solidFill>
          <a:sysClr val="windowText" lastClr="000000">
            <a:lumMod val="15000"/>
            <a:lumOff val="85000"/>
          </a:sysClr>
        </a:solidFill>
        <a:round/>
      </a:ln>
    </cs:spPr>
    <cs:defRPr sz="1000" kern="1200"/>
  </cs:chartArea>
  <cs:dataLabel>
    <cs:lnRef idx="0"/>
    <cs:fillRef idx="0"/>
    <cs:effectRef idx="0"/>
    <cs:fontRef idx="minor">
      <a:sysClr val="windowText" lastClr="000000">
        <a:lumMod val="75000"/>
        <a:lumOff val="25000"/>
      </a:sysClr>
    </cs:fontRef>
    <cs:defRPr sz="900" kern="1200"/>
  </cs:dataLabel>
  <cs:dataLabelCallout>
    <cs:lnRef idx="0"/>
    <cs:fillRef idx="0"/>
    <cs:effectRef idx="0"/>
    <cs:fontRef idx="minor">
      <a:sysClr val="windowText" lastClr="000000">
        <a:lumMod val="65000"/>
        <a:lumOff val="35000"/>
      </a:sysClr>
    </cs:fontRef>
    <cs:spPr>
      <a:solidFill>
        <a:sysClr val="window" lastClr="FFFFFF"/>
      </a:solidFill>
      <a:ln>
        <a:solidFill>
          <a:sysClr val="windowText" lastClr="000000">
            <a:lumMod val="25000"/>
            <a:lumOff val="75000"/>
          </a:sys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ysClr val="windowText" lastClr="000000"/>
    </cs:fontRef>
  </cs:dataPoint>
  <cs:dataPoint3D>
    <cs:lnRef idx="0"/>
    <cs:fillRef idx="1">
      <cs:styleClr val="auto"/>
    </cs:fillRef>
    <cs:effectRef idx="0"/>
    <cs:fontRef idx="minor">
      <a:sysClr val="windowText" lastClr="000000"/>
    </cs:fontRef>
  </cs:dataPoint3D>
  <cs:dataPointLine>
    <cs:lnRef idx="0">
      <cs:styleClr val="auto"/>
    </cs:lnRef>
    <cs:fillRef idx="1"/>
    <cs:effectRef idx="0"/>
    <cs:fontRef idx="minor">
      <a:sysClr val="windowText" lastClr="000000"/>
    </cs:fontRef>
    <cs:spPr>
      <a:ln w="28575" cap="rnd">
        <a:solidFill>
          <a:schemeClr val="phClr"/>
        </a:solidFill>
        <a:round/>
      </a:ln>
    </cs:spPr>
  </cs:dataPointLine>
  <cs:dataPointMarker>
    <cs:lnRef idx="0">
      <cs:styleClr val="auto"/>
    </cs:lnRef>
    <cs:fillRef idx="1">
      <cs:styleClr val="auto"/>
    </cs:fillRef>
    <cs:effectRef idx="0"/>
    <cs:fontRef idx="minor">
      <a:sysClr val="windowText" lastClr="000000"/>
    </cs:fontRef>
    <cs:spPr>
      <a:ln w="9525">
        <a:solidFill>
          <a:schemeClr val="phClr"/>
        </a:solidFill>
      </a:ln>
    </cs:spPr>
  </cs:dataPointMarker>
  <cs:dataPointMarkerLayout symbol="circle" size="5"/>
  <cs:dataPointWireframe>
    <cs:lnRef idx="0">
      <cs:styleClr val="auto"/>
    </cs:lnRef>
    <cs:fillRef idx="1"/>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65000"/>
        <a:lumOff val="35000"/>
      </a:sysClr>
    </cs:fontRef>
    <cs:spPr>
      <a:noFill/>
      <a:ln w="9525" cap="flat" cmpd="sng" algn="ctr">
        <a:solidFill>
          <a:sysClr val="windowText" lastClr="000000">
            <a:lumMod val="15000"/>
            <a:lumOff val="85000"/>
          </a:sysClr>
        </a:solidFill>
        <a:round/>
      </a:ln>
    </cs:spPr>
    <cs:defRPr sz="900" kern="1200"/>
  </cs:dataTable>
  <cs:downBar>
    <cs:lnRef idx="0"/>
    <cs:fillRef idx="0"/>
    <cs:effectRef idx="0"/>
    <cs:fontRef idx="minor">
      <a:sysClr val="windowText" lastClr="000000"/>
    </cs:fontRef>
    <cs:spPr>
      <a:solidFill>
        <a:sysClr val="windowText" lastClr="000000">
          <a:lumMod val="65000"/>
          <a:lumOff val="35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cap="flat" cmpd="sng" algn="ctr">
        <a:solidFill>
          <a:sysClr val="windowText" lastClr="000000">
            <a:lumMod val="35000"/>
            <a:lumOff val="65000"/>
          </a:sysClr>
        </a:solidFill>
        <a:round/>
      </a:ln>
    </cs:spPr>
  </cs:dropLine>
  <cs:errorBar>
    <cs:lnRef idx="0"/>
    <cs:fillRef idx="0"/>
    <cs:effectRef idx="0"/>
    <cs:fontRef idx="minor">
      <a:sysClr val="windowText" lastClr="000000"/>
    </cs:fontRef>
    <cs:spPr>
      <a:ln w="9525" cap="flat" cmpd="sng" algn="ctr">
        <a:solidFill>
          <a:sysClr val="windowText" lastClr="000000">
            <a:lumMod val="65000"/>
            <a:lumOff val="35000"/>
          </a:sysClr>
        </a:solidFill>
        <a:round/>
      </a:ln>
    </cs:spPr>
  </cs:errorBar>
  <cs:floor>
    <cs:lnRef idx="0"/>
    <cs:fillRef idx="0"/>
    <cs:effectRef idx="0"/>
    <cs:fontRef idx="minor">
      <a:sysClr val="windowText" lastClr="000000"/>
    </cs:fontRef>
    <cs:spPr>
      <a:noFill/>
      <a:ln>
        <a:noFill/>
      </a:ln>
    </cs:spPr>
  </cs:floor>
  <cs:gridlineMajor>
    <cs:lnRef idx="0"/>
    <cs:fillRef idx="0"/>
    <cs:effectRef idx="0"/>
    <cs:fontRef idx="minor">
      <a:sysClr val="windowText" lastClr="000000"/>
    </cs:fontRef>
    <cs:spPr>
      <a:ln w="9525" cap="flat" cmpd="sng" algn="ctr">
        <a:solidFill>
          <a:sysClr val="windowText" lastClr="000000">
            <a:lumMod val="15000"/>
            <a:lumOff val="85000"/>
          </a:sysClr>
        </a:solidFill>
        <a:round/>
      </a:ln>
    </cs:spPr>
  </cs:gridlineMajor>
  <cs:gridlineMinor>
    <cs:lnRef idx="0"/>
    <cs:fillRef idx="0"/>
    <cs:effectRef idx="0"/>
    <cs:fontRef idx="minor">
      <a:sysClr val="windowText" lastClr="000000"/>
    </cs:fontRef>
    <cs:spPr>
      <a:ln w="9525" cap="flat" cmpd="sng" algn="ctr">
        <a:solidFill>
          <a:sysClr val="windowText" lastClr="000000">
            <a:lumMod val="5000"/>
            <a:lumOff val="95000"/>
          </a:sysClr>
        </a:solidFill>
        <a:round/>
      </a:ln>
    </cs:spPr>
  </cs:gridlineMinor>
  <cs:hiLoLine>
    <cs:lnRef idx="0"/>
    <cs:fillRef idx="0"/>
    <cs:effectRef idx="0"/>
    <cs:fontRef idx="minor">
      <a:sysClr val="windowText" lastClr="000000"/>
    </cs:fontRef>
    <cs:spPr>
      <a:ln w="9525" cap="flat" cmpd="sng" algn="ctr">
        <a:solidFill>
          <a:sysClr val="windowText" lastClr="000000">
            <a:lumMod val="75000"/>
            <a:lumOff val="25000"/>
          </a:sysClr>
        </a:solidFill>
        <a:round/>
      </a:ln>
    </cs:spPr>
  </cs:hiLoLine>
  <cs:leaderLine>
    <cs:lnRef idx="0"/>
    <cs:fillRef idx="0"/>
    <cs:effectRef idx="0"/>
    <cs:fontRef idx="minor">
      <a:sysClr val="windowText" lastClr="000000"/>
    </cs:fontRef>
    <cs:spPr>
      <a:ln w="9525" cap="flat" cmpd="sng" algn="ctr">
        <a:solidFill>
          <a:sysClr val="windowText" lastClr="000000">
            <a:lumMod val="35000"/>
            <a:lumOff val="65000"/>
          </a:sysClr>
        </a:solidFill>
        <a:round/>
      </a:ln>
    </cs:spPr>
  </cs:leaderLine>
  <cs:legend>
    <cs:lnRef idx="0"/>
    <cs:fillRef idx="0"/>
    <cs:effectRef idx="0"/>
    <cs:fontRef idx="minor">
      <a:sysClr val="windowText" lastClr="000000">
        <a:lumMod val="65000"/>
        <a:lumOff val="35000"/>
      </a:sysClr>
    </cs:fontRef>
    <cs:defRPr sz="900" kern="1200"/>
  </cs:legend>
  <cs:plotArea mods="allowNoFillOverride allowNoLineOverride">
    <cs:lnRef idx="0"/>
    <cs:fillRef idx="0"/>
    <cs:effectRef idx="0"/>
    <cs:fontRef idx="minor">
      <a:sysClr val="windowText" lastClr="000000"/>
    </cs:fontRef>
  </cs:plotArea>
  <cs:plotArea3D mods="allowNoFillOverride allowNoLineOverride">
    <cs:lnRef idx="0"/>
    <cs:fillRef idx="0"/>
    <cs:effectRef idx="0"/>
    <cs:fontRef idx="minor">
      <a:sysClr val="windowText" lastClr="000000"/>
    </cs:fontRef>
  </cs:plotArea3D>
  <cs:seriesAxis>
    <cs:lnRef idx="0"/>
    <cs:fillRef idx="0"/>
    <cs:effectRef idx="0"/>
    <cs:fontRef idx="minor">
      <a:sysClr val="windowText" lastClr="000000">
        <a:lumMod val="65000"/>
        <a:lumOff val="35000"/>
      </a:sysClr>
    </cs:fontRef>
    <cs:defRPr sz="900" kern="1200"/>
  </cs:seriesAxis>
  <cs:seriesLine>
    <cs:lnRef idx="0"/>
    <cs:fillRef idx="0"/>
    <cs:effectRef idx="0"/>
    <cs:fontRef idx="minor">
      <a:sysClr val="windowText" lastClr="000000"/>
    </cs:fontRef>
    <cs:spPr>
      <a:ln w="9525" cap="flat" cmpd="sng" algn="ctr">
        <a:solidFill>
          <a:sysClr val="windowText" lastClr="000000">
            <a:lumMod val="35000"/>
            <a:lumOff val="65000"/>
          </a:sysClr>
        </a:solidFill>
        <a:round/>
      </a:ln>
    </cs:spPr>
  </cs:seriesLine>
  <cs:title>
    <cs:lnRef idx="0"/>
    <cs:fillRef idx="0"/>
    <cs:effectRef idx="0"/>
    <cs:fontRef idx="minor">
      <a:sysClr val="windowText" lastClr="000000">
        <a:lumMod val="65000"/>
        <a:lumOff val="35000"/>
      </a:sysClr>
    </cs:fontRef>
    <cs:defRPr sz="1400" b="0" kern="1200" spc="0" baseline="0"/>
  </cs:title>
  <cs:trendline>
    <cs:lnRef idx="0">
      <cs:styleClr val="auto"/>
    </cs:lnRef>
    <cs:fillRef idx="0"/>
    <cs:effectRef idx="0"/>
    <cs:fontRef idx="minor">
      <a:sysClr val="windowText" lastClr="000000"/>
    </cs:fontRef>
    <cs:spPr>
      <a:ln w="19050" cap="rnd">
        <a:solidFill>
          <a:schemeClr val="phClr"/>
        </a:solidFill>
        <a:prstDash val="sysDot"/>
      </a:ln>
    </cs:spPr>
  </cs:trendline>
  <cs:trendlineLabel>
    <cs:lnRef idx="0"/>
    <cs:fillRef idx="0"/>
    <cs:effectRef idx="0"/>
    <cs:fontRef idx="minor">
      <a:sysClr val="windowText" lastClr="000000">
        <a:lumMod val="65000"/>
        <a:lumOff val="3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15000"/>
            <a:lumOff val="85000"/>
          </a:sysClr>
        </a:solidFill>
      </a:ln>
    </cs:spPr>
  </cs:upBar>
  <cs:valueAxis>
    <cs:lnRef idx="0"/>
    <cs:fillRef idx="0"/>
    <cs:effectRef idx="0"/>
    <cs:fontRef idx="minor">
      <a:sysClr val="windowText" lastClr="000000">
        <a:lumMod val="65000"/>
        <a:lumOff val="35000"/>
      </a:sysClr>
    </cs:fontRef>
    <cs:defRPr sz="900" kern="1200"/>
  </cs:valueAxis>
  <cs:wall>
    <cs:lnRef idx="0"/>
    <cs:fillRef idx="0"/>
    <cs:effectRef idx="0"/>
    <cs:fontRef idx="minor">
      <a:sysClr val="windowText" lastClr="000000"/>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TotalTime>
  <ScaleCrop>false</ScaleCrop>
  <LinksUpToDate>false</LinksUpToDate>
  <CharactersWithSpaces>11119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小张</cp:lastModifiedBy>
  <cp:lastPrinted>2020-07-30T02:37:00Z</cp:lastPrinted>
  <dcterms:modified xsi:type="dcterms:W3CDTF">2024-02-23T08:31:40Z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353FA9FCFF1A430D93DB936225B8CC88_12</vt:lpwstr>
  </property>
</Properties>
</file>