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widowControl/>
        <w:spacing w:beforeAutospacing="0" w:afterAutospacing="0"/>
        <w:jc w:val="center"/>
        <w:rPr>
          <w:rFonts w:ascii="宋体" w:hAnsi="宋体" w:eastAsia="宋体" w:cs="宋体"/>
          <w:b/>
          <w:color w:val="000000"/>
          <w:sz w:val="44"/>
          <w:szCs w:val="44"/>
        </w:rPr>
      </w:pPr>
      <w:r>
        <w:rPr>
          <w:rFonts w:hint="eastAsia" w:ascii="宋体" w:hAnsi="宋体" w:eastAsia="宋体" w:cs="宋体"/>
          <w:b/>
          <w:color w:val="000000"/>
          <w:sz w:val="44"/>
          <w:szCs w:val="44"/>
        </w:rPr>
        <w:t>九门乡政府信息公开工作年度报告</w:t>
      </w:r>
    </w:p>
    <w:p>
      <w:pPr>
        <w:pStyle w:val="3"/>
        <w:widowControl/>
        <w:spacing w:beforeAutospacing="0" w:afterAutospacing="0"/>
        <w:ind w:firstLine="482" w:firstLineChars="150"/>
        <w:jc w:val="both"/>
        <w:rPr>
          <w:rFonts w:ascii="黑体" w:hAnsi="黑体" w:eastAsia="黑体" w:cs="黑体"/>
          <w:b/>
          <w:color w:val="000000"/>
          <w:sz w:val="32"/>
          <w:szCs w:val="32"/>
        </w:rPr>
      </w:pPr>
      <w:r>
        <w:rPr>
          <w:rFonts w:hint="eastAsia" w:ascii="黑体" w:hAnsi="黑体" w:eastAsia="黑体" w:cs="黑体"/>
          <w:b/>
          <w:color w:val="000000"/>
          <w:sz w:val="32"/>
          <w:szCs w:val="32"/>
        </w:rPr>
        <w:t>一、总体情况</w:t>
      </w:r>
    </w:p>
    <w:p>
      <w:pPr>
        <w:pStyle w:val="3"/>
        <w:widowControl/>
        <w:spacing w:beforeAutospacing="0" w:afterAutospacing="0" w:line="560" w:lineRule="exact"/>
        <w:ind w:firstLine="420"/>
        <w:jc w:val="both"/>
        <w:rPr>
          <w:rFonts w:ascii="仿宋_GB2312" w:hAnsi="仿宋" w:eastAsia="仿宋_GB2312" w:cs="仿宋"/>
          <w:color w:val="000000"/>
          <w:sz w:val="32"/>
          <w:szCs w:val="32"/>
        </w:rPr>
      </w:pPr>
      <w:r>
        <w:rPr>
          <w:rFonts w:hint="eastAsia" w:ascii="仿宋_GB2312" w:hAnsi="仿宋" w:eastAsia="仿宋_GB2312" w:cs="仿宋"/>
          <w:color w:val="000000"/>
          <w:sz w:val="32"/>
          <w:szCs w:val="32"/>
        </w:rPr>
        <w:t>根据《中华人民共和国政府信息公开条例》有关规定，以及区政府对政府信息公开工作的要求，特编制20</w:t>
      </w:r>
      <w:r>
        <w:rPr>
          <w:rFonts w:hint="eastAsia" w:ascii="仿宋_GB2312" w:hAnsi="仿宋" w:eastAsia="仿宋_GB2312" w:cs="仿宋"/>
          <w:color w:val="000000"/>
          <w:sz w:val="32"/>
          <w:szCs w:val="32"/>
          <w:lang w:val="en-US" w:eastAsia="zh-CN"/>
        </w:rPr>
        <w:t>20</w:t>
      </w:r>
      <w:r>
        <w:rPr>
          <w:rFonts w:hint="eastAsia" w:ascii="仿宋_GB2312" w:hAnsi="仿宋" w:eastAsia="仿宋_GB2312" w:cs="仿宋"/>
          <w:color w:val="000000"/>
          <w:sz w:val="32"/>
          <w:szCs w:val="32"/>
        </w:rPr>
        <w:t>年度藁城区九门回族乡政府信息公开年度报告。全文包括主动公开政府信息情况，收到和处理政府信息公开申请情况，政府信息公开行政复议、行政诉讼情况，存在的主要问题及改进情况，其他需要报告的事项。</w:t>
      </w:r>
    </w:p>
    <w:p>
      <w:pPr>
        <w:pStyle w:val="3"/>
        <w:widowControl/>
        <w:spacing w:beforeAutospacing="0" w:afterAutospacing="0" w:line="560" w:lineRule="exact"/>
        <w:ind w:firstLine="420"/>
        <w:jc w:val="both"/>
        <w:rPr>
          <w:rFonts w:ascii="仿宋_GB2312" w:hAnsi="仿宋" w:eastAsia="仿宋_GB2312" w:cs="仿宋"/>
          <w:color w:val="000000"/>
          <w:sz w:val="32"/>
          <w:szCs w:val="32"/>
        </w:rPr>
      </w:pPr>
      <w:r>
        <w:rPr>
          <w:rFonts w:hint="eastAsia" w:ascii="仿宋_GB2312" w:hAnsi="仿宋" w:eastAsia="仿宋_GB2312" w:cs="仿宋"/>
          <w:color w:val="000000"/>
          <w:sz w:val="32"/>
          <w:szCs w:val="32"/>
        </w:rPr>
        <w:t>本年报中所列数据的统计期限自20</w:t>
      </w:r>
      <w:r>
        <w:rPr>
          <w:rFonts w:hint="eastAsia" w:ascii="仿宋_GB2312" w:hAnsi="仿宋" w:eastAsia="仿宋_GB2312" w:cs="仿宋"/>
          <w:color w:val="000000"/>
          <w:sz w:val="32"/>
          <w:szCs w:val="32"/>
          <w:lang w:val="en-US" w:eastAsia="zh-CN"/>
        </w:rPr>
        <w:t>20</w:t>
      </w:r>
      <w:r>
        <w:rPr>
          <w:rFonts w:hint="eastAsia" w:ascii="仿宋_GB2312" w:hAnsi="仿宋" w:eastAsia="仿宋_GB2312" w:cs="仿宋"/>
          <w:color w:val="000000"/>
          <w:sz w:val="32"/>
          <w:szCs w:val="32"/>
        </w:rPr>
        <w:t>年1月1日之日起，至20</w:t>
      </w:r>
      <w:r>
        <w:rPr>
          <w:rFonts w:hint="eastAsia" w:ascii="仿宋_GB2312" w:hAnsi="仿宋" w:eastAsia="仿宋_GB2312" w:cs="仿宋"/>
          <w:color w:val="000000"/>
          <w:sz w:val="32"/>
          <w:szCs w:val="32"/>
          <w:lang w:val="en-US" w:eastAsia="zh-CN"/>
        </w:rPr>
        <w:t>20</w:t>
      </w:r>
      <w:r>
        <w:rPr>
          <w:rFonts w:hint="eastAsia" w:ascii="仿宋_GB2312" w:hAnsi="仿宋" w:eastAsia="仿宋_GB2312" w:cs="仿宋"/>
          <w:color w:val="000000"/>
          <w:sz w:val="32"/>
          <w:szCs w:val="32"/>
        </w:rPr>
        <w:t>年12月31日止。如对本年报有任何疑问，请与藁城区九门回族乡人民政府政务公开办公室联系，电话：0311--88065058，电子邮箱：</w:t>
      </w:r>
      <w:r>
        <w:fldChar w:fldCharType="begin"/>
      </w:r>
      <w:r>
        <w:instrText xml:space="preserve"> HYPERLINK "mailto:jiumenxiang@163.com" </w:instrText>
      </w:r>
      <w:r>
        <w:fldChar w:fldCharType="separate"/>
      </w:r>
      <w:r>
        <w:rPr>
          <w:rStyle w:val="6"/>
          <w:rFonts w:hint="eastAsia" w:ascii="仿宋_GB2312" w:hAnsi="仿宋" w:eastAsia="仿宋_GB2312" w:cs="仿宋"/>
          <w:sz w:val="32"/>
          <w:szCs w:val="32"/>
        </w:rPr>
        <w:t>jiumenxiang@163.com</w:t>
      </w:r>
      <w:r>
        <w:rPr>
          <w:rStyle w:val="6"/>
          <w:rFonts w:hint="eastAsia" w:ascii="仿宋_GB2312" w:hAnsi="仿宋" w:eastAsia="仿宋_GB2312" w:cs="仿宋"/>
          <w:sz w:val="32"/>
          <w:szCs w:val="32"/>
        </w:rPr>
        <w:fldChar w:fldCharType="end"/>
      </w:r>
      <w:r>
        <w:rPr>
          <w:rFonts w:hint="eastAsia" w:ascii="仿宋_GB2312" w:hAnsi="仿宋" w:eastAsia="仿宋_GB2312" w:cs="仿宋"/>
          <w:color w:val="000000"/>
          <w:sz w:val="32"/>
          <w:szCs w:val="32"/>
        </w:rPr>
        <w:t>。</w:t>
      </w:r>
    </w:p>
    <w:p>
      <w:pPr>
        <w:pStyle w:val="3"/>
        <w:widowControl/>
        <w:spacing w:beforeAutospacing="0" w:afterAutospacing="0" w:line="560" w:lineRule="exact"/>
        <w:ind w:firstLine="420"/>
        <w:jc w:val="both"/>
        <w:rPr>
          <w:rFonts w:ascii="楷体" w:hAnsi="楷体" w:eastAsia="楷体" w:cs="仿宋"/>
          <w:b/>
          <w:color w:val="000000"/>
          <w:sz w:val="32"/>
          <w:szCs w:val="32"/>
        </w:rPr>
      </w:pPr>
      <w:r>
        <w:rPr>
          <w:rFonts w:hint="eastAsia" w:ascii="楷体" w:hAnsi="楷体" w:eastAsia="楷体" w:cs="仿宋"/>
          <w:b/>
          <w:color w:val="000000"/>
          <w:sz w:val="32"/>
          <w:szCs w:val="32"/>
        </w:rPr>
        <w:t>（一）概述</w:t>
      </w:r>
    </w:p>
    <w:p>
      <w:pPr>
        <w:pStyle w:val="3"/>
        <w:widowControl/>
        <w:spacing w:beforeAutospacing="0" w:afterAutospacing="0" w:line="560" w:lineRule="exact"/>
        <w:ind w:firstLine="420"/>
        <w:jc w:val="both"/>
        <w:rPr>
          <w:rFonts w:ascii="仿宋_GB2312" w:hAnsi="仿宋" w:eastAsia="仿宋_GB2312" w:cs="仿宋"/>
          <w:color w:val="000000"/>
          <w:sz w:val="32"/>
          <w:szCs w:val="32"/>
        </w:rPr>
      </w:pPr>
      <w:r>
        <w:rPr>
          <w:rFonts w:hint="eastAsia" w:ascii="仿宋_GB2312" w:hAnsi="仿宋" w:eastAsia="仿宋_GB2312" w:cs="仿宋"/>
          <w:color w:val="000000"/>
          <w:sz w:val="32"/>
          <w:szCs w:val="32"/>
        </w:rPr>
        <w:t>在上级党委和政府的正确领导下，九门回族乡人民政府坚持以习近平新时代中国特色社会主义思想和党的十九大精神</w:t>
      </w:r>
      <w:bookmarkStart w:id="0" w:name="_GoBack"/>
      <w:bookmarkEnd w:id="0"/>
      <w:r>
        <w:rPr>
          <w:rFonts w:hint="eastAsia" w:ascii="仿宋_GB2312" w:hAnsi="仿宋" w:eastAsia="仿宋_GB2312" w:cs="仿宋"/>
          <w:color w:val="000000"/>
          <w:sz w:val="32"/>
          <w:szCs w:val="32"/>
        </w:rPr>
        <w:t>为指导，认真落实《中华人民共和国政府信息公开条例》等文件精神，认真贯彻落实区政府对政府信息公开工作的部署，不断增强政府信息公开的质量和实效,切实保障人民群众对政府信息的知情权、参与权、表达权和监督权,为建设服务型政府、法治型政府发挥了积极作用。</w:t>
      </w:r>
    </w:p>
    <w:p>
      <w:pPr>
        <w:pStyle w:val="3"/>
        <w:widowControl/>
        <w:spacing w:beforeAutospacing="0" w:afterAutospacing="0" w:line="560" w:lineRule="exact"/>
        <w:ind w:firstLine="420"/>
        <w:jc w:val="both"/>
        <w:rPr>
          <w:rFonts w:ascii="仿宋_GB2312" w:hAnsi="仿宋" w:eastAsia="仿宋_GB2312" w:cs="仿宋"/>
          <w:color w:val="000000"/>
          <w:sz w:val="32"/>
          <w:szCs w:val="32"/>
        </w:rPr>
      </w:pPr>
      <w:r>
        <w:rPr>
          <w:rFonts w:hint="eastAsia" w:ascii="仿宋_GB2312" w:hAnsi="仿宋" w:eastAsia="仿宋_GB2312" w:cs="仿宋"/>
          <w:color w:val="000000"/>
          <w:sz w:val="32"/>
          <w:szCs w:val="32"/>
        </w:rPr>
        <w:t>一是我乡对于《中华人民共和国政府信息公开条例》进行了系统地学习，认真领会文件精神，积极将其贯彻落实到我乡的政府信息公开工作上。</w:t>
      </w:r>
    </w:p>
    <w:p>
      <w:pPr>
        <w:pStyle w:val="3"/>
        <w:widowControl/>
        <w:spacing w:beforeAutospacing="0" w:afterAutospacing="0" w:line="560" w:lineRule="exact"/>
        <w:ind w:firstLine="420"/>
        <w:jc w:val="both"/>
        <w:rPr>
          <w:rFonts w:ascii="仿宋_GB2312" w:hAnsi="仿宋" w:eastAsia="仿宋_GB2312" w:cs="仿宋"/>
          <w:color w:val="000000"/>
          <w:sz w:val="32"/>
          <w:szCs w:val="32"/>
        </w:rPr>
      </w:pPr>
      <w:r>
        <w:rPr>
          <w:rFonts w:hint="eastAsia" w:ascii="仿宋_GB2312" w:hAnsi="仿宋" w:eastAsia="仿宋_GB2312" w:cs="仿宋"/>
          <w:color w:val="000000"/>
          <w:sz w:val="32"/>
          <w:szCs w:val="32"/>
        </w:rPr>
        <w:t>二是根据上级文件要求，完善和健全我乡政府信息公开机制，遵循公正、公平、合法、便民的原则，严格按照规定公开政府信息。</w:t>
      </w:r>
    </w:p>
    <w:p>
      <w:pPr>
        <w:pStyle w:val="3"/>
        <w:widowControl/>
        <w:spacing w:beforeAutospacing="0" w:afterAutospacing="0" w:line="560" w:lineRule="exact"/>
        <w:ind w:firstLine="420"/>
        <w:jc w:val="both"/>
        <w:rPr>
          <w:rFonts w:ascii="仿宋_GB2312" w:hAnsi="仿宋" w:eastAsia="仿宋_GB2312" w:cs="仿宋"/>
          <w:color w:val="000000"/>
          <w:sz w:val="32"/>
          <w:szCs w:val="32"/>
        </w:rPr>
      </w:pPr>
      <w:r>
        <w:rPr>
          <w:rFonts w:hint="eastAsia" w:ascii="仿宋_GB2312" w:hAnsi="仿宋" w:eastAsia="仿宋_GB2312" w:cs="仿宋"/>
          <w:color w:val="000000"/>
          <w:sz w:val="32"/>
          <w:szCs w:val="32"/>
        </w:rPr>
        <w:t>三是对于政府信息公开工作，我乡党政主要领导高度重视，成立了政府信息公开小组。由党委书记吴志华为组长、乡长赵亚波为副组长，对政府信息公开工作进行督促检查。政府信息公开办公室中的每位工作人员都有明确的职责、工作任务和工作要求，负责信息公开的发布等工作。</w:t>
      </w:r>
    </w:p>
    <w:p>
      <w:pPr>
        <w:pStyle w:val="3"/>
        <w:widowControl/>
        <w:spacing w:beforeAutospacing="0" w:afterAutospacing="0" w:line="560" w:lineRule="exact"/>
        <w:ind w:firstLine="420"/>
        <w:jc w:val="both"/>
        <w:rPr>
          <w:rFonts w:ascii="楷体" w:hAnsi="楷体" w:eastAsia="楷体" w:cs="仿宋"/>
          <w:b/>
          <w:color w:val="000000"/>
          <w:sz w:val="32"/>
          <w:szCs w:val="32"/>
        </w:rPr>
      </w:pPr>
      <w:r>
        <w:rPr>
          <w:rFonts w:hint="eastAsia" w:ascii="楷体" w:hAnsi="楷体" w:eastAsia="楷体" w:cs="仿宋"/>
          <w:b/>
          <w:color w:val="000000"/>
          <w:sz w:val="32"/>
          <w:szCs w:val="32"/>
        </w:rPr>
        <w:t>（二）主动公开政府信息情况</w:t>
      </w:r>
    </w:p>
    <w:p>
      <w:pPr>
        <w:pStyle w:val="3"/>
        <w:widowControl/>
        <w:spacing w:beforeAutospacing="0" w:afterAutospacing="0" w:line="560" w:lineRule="exact"/>
        <w:ind w:firstLine="420"/>
        <w:rPr>
          <w:rFonts w:ascii="仿宋" w:hAnsi="仿宋" w:eastAsia="仿宋" w:cs="仿宋"/>
          <w:color w:val="000000"/>
          <w:sz w:val="32"/>
          <w:szCs w:val="32"/>
        </w:rPr>
      </w:pPr>
      <w:r>
        <w:rPr>
          <w:rFonts w:hint="eastAsia" w:ascii="仿宋" w:hAnsi="仿宋" w:eastAsia="仿宋" w:cs="仿宋"/>
          <w:color w:val="000000"/>
          <w:sz w:val="32"/>
          <w:szCs w:val="32"/>
        </w:rPr>
        <w:t>我乡按照《条例》要求，坚持“以公开为原则，以不公开为例外”，积极做好政府信息主动公开工作。20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年度我乡在政府门户网站主动公开各类信息</w:t>
      </w:r>
      <w:r>
        <w:rPr>
          <w:rFonts w:hint="eastAsia" w:ascii="仿宋" w:hAnsi="仿宋" w:eastAsia="仿宋" w:cs="仿宋"/>
          <w:color w:val="000000"/>
          <w:sz w:val="32"/>
          <w:szCs w:val="32"/>
          <w:lang w:val="en-US" w:eastAsia="zh-CN"/>
        </w:rPr>
        <w:t>25</w:t>
      </w:r>
      <w:r>
        <w:rPr>
          <w:rFonts w:hint="eastAsia" w:ascii="仿宋" w:hAnsi="仿宋" w:eastAsia="仿宋" w:cs="仿宋"/>
          <w:color w:val="000000"/>
          <w:sz w:val="32"/>
          <w:szCs w:val="32"/>
        </w:rPr>
        <w:t>条,其中工作动态类</w:t>
      </w:r>
      <w:r>
        <w:rPr>
          <w:rFonts w:hint="eastAsia" w:ascii="仿宋" w:hAnsi="仿宋" w:eastAsia="仿宋" w:cs="仿宋"/>
          <w:color w:val="000000"/>
          <w:sz w:val="32"/>
          <w:szCs w:val="32"/>
          <w:lang w:val="en-US" w:eastAsia="zh-CN"/>
        </w:rPr>
        <w:t>23</w:t>
      </w:r>
      <w:r>
        <w:rPr>
          <w:rFonts w:hint="eastAsia" w:ascii="仿宋" w:hAnsi="仿宋" w:eastAsia="仿宋" w:cs="仿宋"/>
          <w:color w:val="000000"/>
          <w:sz w:val="32"/>
          <w:szCs w:val="32"/>
        </w:rPr>
        <w:t>条,财政财务类2条。通过其他渠道发布</w:t>
      </w:r>
      <w:r>
        <w:rPr>
          <w:rFonts w:hint="eastAsia" w:ascii="仿宋" w:hAnsi="仿宋" w:eastAsia="仿宋" w:cs="仿宋"/>
          <w:color w:val="000000"/>
          <w:sz w:val="32"/>
          <w:szCs w:val="32"/>
          <w:lang w:val="en-US" w:eastAsia="zh-CN"/>
        </w:rPr>
        <w:t>92</w:t>
      </w:r>
      <w:r>
        <w:rPr>
          <w:rFonts w:hint="eastAsia" w:ascii="仿宋" w:hAnsi="仿宋" w:eastAsia="仿宋" w:cs="仿宋"/>
          <w:color w:val="000000"/>
          <w:sz w:val="32"/>
          <w:szCs w:val="32"/>
        </w:rPr>
        <w:t>条。</w:t>
      </w:r>
    </w:p>
    <w:p>
      <w:pPr>
        <w:pStyle w:val="3"/>
        <w:widowControl/>
        <w:spacing w:beforeAutospacing="0" w:after="192" w:afterAutospacing="0"/>
        <w:ind w:firstLine="420"/>
        <w:jc w:val="both"/>
        <w:rPr>
          <w:rFonts w:ascii="黑体" w:hAnsi="黑体" w:eastAsia="黑体" w:cs="黑体"/>
          <w:color w:val="000000"/>
          <w:sz w:val="32"/>
          <w:szCs w:val="32"/>
        </w:rPr>
      </w:pPr>
      <w:r>
        <w:rPr>
          <w:rFonts w:hint="eastAsia" w:ascii="黑体" w:hAnsi="黑体" w:eastAsia="黑体" w:cs="黑体"/>
          <w:b/>
          <w:color w:val="000000"/>
          <w:sz w:val="32"/>
          <w:szCs w:val="32"/>
        </w:rPr>
        <w:t>二、主动公开政府信息情况</w:t>
      </w:r>
    </w:p>
    <w:tbl>
      <w:tblPr>
        <w:tblStyle w:val="4"/>
        <w:tblW w:w="8140" w:type="dxa"/>
        <w:jc w:val="center"/>
        <w:tblLayout w:type="fixed"/>
        <w:tblCellMar>
          <w:top w:w="15" w:type="dxa"/>
          <w:left w:w="15" w:type="dxa"/>
          <w:bottom w:w="15" w:type="dxa"/>
          <w:right w:w="15" w:type="dxa"/>
        </w:tblCellMar>
      </w:tblPr>
      <w:tblGrid>
        <w:gridCol w:w="3113"/>
        <w:gridCol w:w="1875"/>
        <w:gridCol w:w="6"/>
        <w:gridCol w:w="1265"/>
        <w:gridCol w:w="1881"/>
      </w:tblGrid>
      <w:tr>
        <w:tblPrEx>
          <w:tblCellMar>
            <w:top w:w="15" w:type="dxa"/>
            <w:left w:w="15" w:type="dxa"/>
            <w:bottom w:w="15" w:type="dxa"/>
            <w:right w:w="15"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第二十条第（一）项</w:t>
            </w:r>
          </w:p>
        </w:tc>
      </w:tr>
      <w:tr>
        <w:tblPrEx>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本年新</w:t>
            </w:r>
            <w:r>
              <w:rPr>
                <w:rFonts w:hint="eastAsia" w:ascii="仿宋" w:hAnsi="仿宋" w:eastAsia="仿宋" w:cs="仿宋"/>
                <w:kern w:val="0"/>
                <w:sz w:val="24"/>
                <w:lang w:bidi="ar"/>
              </w:rPr>
              <w:br w:type="textWrapping"/>
            </w:r>
            <w:r>
              <w:rPr>
                <w:rFonts w:hint="eastAsia" w:ascii="仿宋" w:hAnsi="仿宋" w:eastAsia="仿宋" w:cs="仿宋"/>
                <w:kern w:val="0"/>
                <w:sz w:val="24"/>
                <w:lang w:bidi="ar"/>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本年新</w:t>
            </w:r>
            <w:r>
              <w:rPr>
                <w:rFonts w:hint="eastAsia" w:ascii="仿宋" w:hAnsi="仿宋" w:eastAsia="仿宋" w:cs="仿宋"/>
                <w:kern w:val="0"/>
                <w:sz w:val="24"/>
                <w:lang w:bidi="ar"/>
              </w:rPr>
              <w:br w:type="textWrapping"/>
            </w:r>
            <w:r>
              <w:rPr>
                <w:rFonts w:hint="eastAsia" w:ascii="仿宋" w:hAnsi="仿宋" w:eastAsia="仿宋" w:cs="仿宋"/>
                <w:kern w:val="0"/>
                <w:sz w:val="24"/>
                <w:lang w:bidi="ar"/>
              </w:rPr>
              <w:t>公开数量</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对外公开总数量</w:t>
            </w:r>
          </w:p>
        </w:tc>
      </w:tr>
      <w:tr>
        <w:tblPrEx>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规章</w:t>
            </w:r>
          </w:p>
        </w:tc>
        <w:tc>
          <w:tcPr>
            <w:tcW w:w="187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ind w:firstLine="360" w:firstLineChars="150"/>
              <w:jc w:val="left"/>
              <w:rPr>
                <w:rFonts w:ascii="仿宋" w:hAnsi="仿宋" w:eastAsia="仿宋" w:cs="仿宋"/>
                <w:sz w:val="24"/>
              </w:rPr>
            </w:pPr>
            <w:r>
              <w:rPr>
                <w:rFonts w:hint="eastAsia" w:ascii="仿宋" w:hAnsi="仿宋" w:eastAsia="仿宋" w:cs="仿宋"/>
                <w:kern w:val="0"/>
                <w:sz w:val="24"/>
                <w:lang w:bidi="ar"/>
              </w:rPr>
              <w:t>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r>
      <w:tr>
        <w:tblPrEx>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规范性文件</w:t>
            </w:r>
          </w:p>
        </w:tc>
        <w:tc>
          <w:tcPr>
            <w:tcW w:w="187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271"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宋体" w:hAnsi="宋体" w:eastAsia="宋体" w:cs="宋体"/>
                <w:kern w:val="0"/>
                <w:sz w:val="24"/>
                <w:lang w:bidi="ar"/>
              </w:rPr>
              <w:t> </w:t>
            </w:r>
            <w:r>
              <w:rPr>
                <w:rFonts w:hint="eastAsia" w:ascii="仿宋" w:hAnsi="仿宋" w:eastAsia="仿宋" w:cs="仿宋"/>
                <w:kern w:val="0"/>
                <w:sz w:val="24"/>
                <w:lang w:bidi="ar"/>
              </w:rPr>
              <w:t>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r>
      <w:tr>
        <w:tblPrEx>
          <w:tblCellMar>
            <w:top w:w="15" w:type="dxa"/>
            <w:left w:w="15" w:type="dxa"/>
            <w:bottom w:w="15" w:type="dxa"/>
            <w:right w:w="15"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第二十条第（五）项</w:t>
            </w:r>
          </w:p>
        </w:tc>
      </w:tr>
      <w:tr>
        <w:tblPrEx>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本年增/减</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处理决定数量</w:t>
            </w:r>
          </w:p>
        </w:tc>
      </w:tr>
      <w:tr>
        <w:tblPrEx>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行政许可</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r>
      <w:tr>
        <w:tblPrEx>
          <w:tblCellMar>
            <w:top w:w="15" w:type="dxa"/>
            <w:left w:w="15" w:type="dxa"/>
            <w:bottom w:w="15" w:type="dxa"/>
            <w:right w:w="15"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其他对外管理服务事项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r>
      <w:tr>
        <w:tblPrEx>
          <w:tblCellMar>
            <w:top w:w="15" w:type="dxa"/>
            <w:left w:w="15" w:type="dxa"/>
            <w:bottom w:w="15" w:type="dxa"/>
            <w:right w:w="15"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第二十条第（六）项</w:t>
            </w:r>
          </w:p>
        </w:tc>
      </w:tr>
      <w:tr>
        <w:tblPrEx>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本年增/减</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处理决定数量</w:t>
            </w:r>
          </w:p>
        </w:tc>
      </w:tr>
      <w:tr>
        <w:tblPrEx>
          <w:tblCellMar>
            <w:top w:w="15" w:type="dxa"/>
            <w:left w:w="15" w:type="dxa"/>
            <w:bottom w:w="15" w:type="dxa"/>
            <w:right w:w="15"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行政处罚</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r>
      <w:tr>
        <w:tblPrEx>
          <w:tblCellMar>
            <w:top w:w="15" w:type="dxa"/>
            <w:left w:w="15" w:type="dxa"/>
            <w:bottom w:w="15" w:type="dxa"/>
            <w:right w:w="15"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行政强制</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26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r>
      <w:tr>
        <w:tblPrEx>
          <w:tblCellMar>
            <w:top w:w="15" w:type="dxa"/>
            <w:left w:w="15" w:type="dxa"/>
            <w:bottom w:w="15" w:type="dxa"/>
            <w:right w:w="15"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第二十条第（八）项</w:t>
            </w:r>
          </w:p>
        </w:tc>
      </w:tr>
      <w:tr>
        <w:tblPrEx>
          <w:tblCellMar>
            <w:top w:w="15" w:type="dxa"/>
            <w:left w:w="15" w:type="dxa"/>
            <w:bottom w:w="15" w:type="dxa"/>
            <w:right w:w="15"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信息内容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上一年项目数量</w:t>
            </w:r>
          </w:p>
        </w:tc>
        <w:tc>
          <w:tcPr>
            <w:tcW w:w="3146" w:type="dxa"/>
            <w:gridSpan w:val="2"/>
            <w:tcBorders>
              <w:top w:val="single" w:color="auto" w:sz="8" w:space="0"/>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本年增/减</w:t>
            </w:r>
          </w:p>
        </w:tc>
      </w:tr>
      <w:tr>
        <w:tblPrEx>
          <w:tblCellMar>
            <w:top w:w="15" w:type="dxa"/>
            <w:left w:w="15" w:type="dxa"/>
            <w:bottom w:w="15" w:type="dxa"/>
            <w:right w:w="15"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行政事业性收费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3146" w:type="dxa"/>
            <w:gridSpan w:val="2"/>
            <w:tcBorders>
              <w:top w:val="nil"/>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宋体" w:hAnsi="宋体" w:eastAsia="宋体" w:cs="宋体"/>
                <w:kern w:val="0"/>
                <w:sz w:val="24"/>
                <w:lang w:bidi="ar"/>
              </w:rPr>
              <w:t> </w:t>
            </w:r>
            <w:r>
              <w:rPr>
                <w:rFonts w:hint="eastAsia" w:ascii="仿宋" w:hAnsi="仿宋" w:eastAsia="仿宋" w:cs="仿宋"/>
                <w:kern w:val="0"/>
                <w:sz w:val="24"/>
                <w:lang w:bidi="ar"/>
              </w:rPr>
              <w:t>0</w:t>
            </w:r>
          </w:p>
        </w:tc>
      </w:tr>
      <w:tr>
        <w:tblPrEx>
          <w:tblCellMar>
            <w:top w:w="15" w:type="dxa"/>
            <w:left w:w="15" w:type="dxa"/>
            <w:bottom w:w="15" w:type="dxa"/>
            <w:right w:w="15"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第二十条第（九）项</w:t>
            </w:r>
          </w:p>
        </w:tc>
      </w:tr>
      <w:tr>
        <w:tblPrEx>
          <w:tblCellMar>
            <w:top w:w="15" w:type="dxa"/>
            <w:left w:w="15" w:type="dxa"/>
            <w:bottom w:w="15" w:type="dxa"/>
            <w:right w:w="15"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信息内容</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采购项目数量</w:t>
            </w:r>
          </w:p>
        </w:tc>
        <w:tc>
          <w:tcPr>
            <w:tcW w:w="3146" w:type="dxa"/>
            <w:gridSpan w:val="2"/>
            <w:tcBorders>
              <w:top w:val="single" w:color="auto" w:sz="8" w:space="0"/>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采购总金额</w:t>
            </w:r>
          </w:p>
        </w:tc>
      </w:tr>
      <w:tr>
        <w:tblPrEx>
          <w:tblCellMar>
            <w:top w:w="15" w:type="dxa"/>
            <w:left w:w="15" w:type="dxa"/>
            <w:bottom w:w="15" w:type="dxa"/>
            <w:right w:w="15"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政府集中采购</w:t>
            </w:r>
          </w:p>
        </w:tc>
        <w:tc>
          <w:tcPr>
            <w:tcW w:w="1881" w:type="dxa"/>
            <w:gridSpan w:val="2"/>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　0</w:t>
            </w:r>
          </w:p>
        </w:tc>
        <w:tc>
          <w:tcPr>
            <w:tcW w:w="3146" w:type="dxa"/>
            <w:gridSpan w:val="2"/>
            <w:tcBorders>
              <w:top w:val="nil"/>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pPr>
              <w:ind w:firstLine="1320" w:firstLineChars="550"/>
              <w:rPr>
                <w:rFonts w:ascii="仿宋" w:hAnsi="仿宋" w:eastAsia="仿宋" w:cs="仿宋"/>
                <w:sz w:val="24"/>
              </w:rPr>
            </w:pPr>
            <w:r>
              <w:rPr>
                <w:rFonts w:hint="eastAsia" w:ascii="仿宋" w:hAnsi="仿宋" w:eastAsia="仿宋" w:cs="仿宋"/>
                <w:sz w:val="24"/>
              </w:rPr>
              <w:t>0</w:t>
            </w:r>
          </w:p>
        </w:tc>
      </w:tr>
    </w:tbl>
    <w:p>
      <w:pPr>
        <w:pStyle w:val="3"/>
        <w:widowControl/>
        <w:spacing w:beforeAutospacing="0" w:afterAutospacing="0"/>
        <w:jc w:val="both"/>
        <w:rPr>
          <w:rFonts w:ascii="仿宋" w:hAnsi="仿宋" w:eastAsia="仿宋" w:cs="仿宋"/>
          <w:sz w:val="32"/>
          <w:szCs w:val="32"/>
        </w:rPr>
      </w:pPr>
    </w:p>
    <w:p>
      <w:pPr>
        <w:pStyle w:val="3"/>
        <w:widowControl/>
        <w:spacing w:beforeAutospacing="0" w:after="192" w:afterAutospacing="0"/>
        <w:ind w:firstLine="420"/>
        <w:jc w:val="both"/>
        <w:rPr>
          <w:rFonts w:ascii="黑体" w:hAnsi="黑体" w:eastAsia="黑体" w:cs="黑体"/>
          <w:sz w:val="32"/>
          <w:szCs w:val="32"/>
        </w:rPr>
      </w:pPr>
      <w:r>
        <w:rPr>
          <w:rFonts w:hint="eastAsia" w:ascii="黑体" w:hAnsi="黑体" w:eastAsia="黑体" w:cs="黑体"/>
          <w:b/>
          <w:sz w:val="32"/>
          <w:szCs w:val="32"/>
        </w:rPr>
        <w:t>三、收到和处理政府信息公开申请情况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77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自然人</w:t>
            </w:r>
          </w:p>
        </w:tc>
        <w:tc>
          <w:tcPr>
            <w:tcW w:w="3818"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77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商业企业</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科研机构</w:t>
            </w:r>
          </w:p>
        </w:tc>
        <w:tc>
          <w:tcPr>
            <w:tcW w:w="774"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社会公益组织</w:t>
            </w:r>
          </w:p>
        </w:tc>
        <w:tc>
          <w:tcPr>
            <w:tcW w:w="909"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法律服务机构</w:t>
            </w:r>
          </w:p>
        </w:tc>
        <w:tc>
          <w:tcPr>
            <w:tcW w:w="68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其他</w:t>
            </w:r>
          </w:p>
        </w:tc>
        <w:tc>
          <w:tcPr>
            <w:tcW w:w="543"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一、本年新收政府信息公开申请数量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二、上年结转政府信息公开申请数量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三、本年度办理结果</w:t>
            </w: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（一）予以公开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（三）不予公开</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1.属于国家秘密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2.其他法律行政法规禁止公开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3.危及“三安全一稳定”</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4.保护第三方合法权益</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5.属于三类内部事务信息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6.属于四类过程性信息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7.属于行政执法案卷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8.属于行政查询事项</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（四）无法提供</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1.本机关不掌握相关政府信息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2.没有现成信息需要另行制作</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3.补正后申请内容仍不明确</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（五）不予处理</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1.信访举报投诉类申请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2.重复申请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3.要求提供公开出版物</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4.无正当理由大量反复申请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5.要求行政机关确认或重新出具已获取信息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87" w:hRule="atLeast"/>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（六）其他处理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（七）总计</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trHeight w:val="477" w:hRule="atLeast"/>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left"/>
              <w:rPr>
                <w:rFonts w:ascii="仿宋" w:hAnsi="仿宋" w:eastAsia="仿宋" w:cs="仿宋"/>
                <w:sz w:val="24"/>
              </w:rPr>
            </w:pPr>
            <w:r>
              <w:rPr>
                <w:rFonts w:hint="eastAsia" w:ascii="仿宋" w:hAnsi="仿宋" w:eastAsia="仿宋" w:cs="仿宋"/>
                <w:kern w:val="0"/>
                <w:sz w:val="24"/>
                <w:lang w:bidi="ar"/>
              </w:rPr>
              <w:t>四、结转下年度继续办理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 </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jc w:val="center"/>
              <w:rPr>
                <w:rFonts w:ascii="仿宋" w:hAnsi="仿宋" w:eastAsia="仿宋" w:cs="仿宋"/>
                <w:sz w:val="24"/>
              </w:rPr>
            </w:pPr>
            <w:r>
              <w:rPr>
                <w:rFonts w:hint="eastAsia" w:ascii="仿宋" w:hAnsi="仿宋" w:eastAsia="仿宋" w:cs="仿宋"/>
                <w:sz w:val="24"/>
              </w:rPr>
              <w:t>0</w:t>
            </w:r>
          </w:p>
        </w:tc>
      </w:tr>
    </w:tbl>
    <w:p>
      <w:pPr>
        <w:pStyle w:val="3"/>
        <w:widowControl/>
        <w:spacing w:beforeAutospacing="0" w:afterAutospacing="0"/>
        <w:jc w:val="both"/>
        <w:rPr>
          <w:rFonts w:ascii="仿宋" w:hAnsi="仿宋" w:eastAsia="仿宋" w:cs="仿宋"/>
          <w:sz w:val="32"/>
          <w:szCs w:val="32"/>
        </w:rPr>
      </w:pPr>
    </w:p>
    <w:p>
      <w:pPr>
        <w:pStyle w:val="3"/>
        <w:widowControl/>
        <w:spacing w:beforeAutospacing="0" w:afterAutospacing="0"/>
        <w:ind w:firstLine="420"/>
        <w:jc w:val="both"/>
        <w:rPr>
          <w:rFonts w:ascii="黑体" w:hAnsi="黑体" w:eastAsia="黑体" w:cs="黑体"/>
          <w:sz w:val="32"/>
          <w:szCs w:val="32"/>
        </w:rPr>
      </w:pPr>
      <w:r>
        <w:rPr>
          <w:rFonts w:hint="eastAsia" w:ascii="黑体" w:hAnsi="黑体" w:eastAsia="黑体" w:cs="黑体"/>
          <w:b/>
          <w:sz w:val="32"/>
          <w:szCs w:val="32"/>
        </w:rPr>
        <w:t>四、政府信息公开行政复议、行政诉讼情况</w:t>
      </w:r>
    </w:p>
    <w:tbl>
      <w:tblPr>
        <w:tblStyle w:val="4"/>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结果维持</w:t>
            </w:r>
          </w:p>
        </w:tc>
        <w:tc>
          <w:tcPr>
            <w:tcW w:w="60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总计</w:t>
            </w:r>
          </w:p>
        </w:tc>
        <w:tc>
          <w:tcPr>
            <w:tcW w:w="297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60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658"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结果维持</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其他结果</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尚未审结</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总计</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结果维持</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其他结果</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尚未审结</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jc w:val="center"/>
              <w:rPr>
                <w:rFonts w:ascii="仿宋" w:hAnsi="仿宋" w:eastAsia="仿宋" w:cs="仿宋"/>
                <w:sz w:val="24"/>
              </w:rPr>
            </w:pPr>
            <w:r>
              <w:rPr>
                <w:rFonts w:hint="eastAsia" w:ascii="仿宋" w:hAnsi="仿宋" w:eastAsia="仿宋" w:cs="仿宋"/>
                <w:kern w:val="0"/>
                <w:sz w:val="24"/>
                <w:lang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58"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r>
              <w:rPr>
                <w:rFonts w:hint="eastAsia" w:ascii="仿宋" w:hAnsi="仿宋" w:eastAsia="仿宋" w:cs="仿宋"/>
                <w:sz w:val="24"/>
              </w:rPr>
              <w:t>0</w:t>
            </w: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r>
              <w:rPr>
                <w:rFonts w:hint="eastAsia" w:ascii="仿宋" w:hAnsi="仿宋" w:eastAsia="仿宋" w:cs="仿宋"/>
                <w:sz w:val="24"/>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widowControl/>
              <w:rPr>
                <w:rFonts w:ascii="仿宋" w:hAnsi="仿宋" w:eastAsia="仿宋" w:cs="仿宋"/>
                <w:sz w:val="24"/>
              </w:rPr>
            </w:pP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pPr>
              <w:rPr>
                <w:rFonts w:ascii="仿宋" w:hAnsi="仿宋" w:eastAsia="仿宋" w:cs="仿宋"/>
                <w:sz w:val="24"/>
              </w:rPr>
            </w:pPr>
            <w:r>
              <w:rPr>
                <w:rFonts w:hint="eastAsia" w:ascii="仿宋" w:hAnsi="仿宋" w:eastAsia="仿宋" w:cs="仿宋"/>
                <w:sz w:val="24"/>
              </w:rPr>
              <w:t>0</w:t>
            </w:r>
          </w:p>
        </w:tc>
      </w:tr>
    </w:tbl>
    <w:p>
      <w:pPr>
        <w:pStyle w:val="3"/>
        <w:widowControl/>
        <w:spacing w:beforeAutospacing="0" w:afterAutospacing="0"/>
        <w:ind w:firstLine="420"/>
        <w:jc w:val="both"/>
        <w:rPr>
          <w:rFonts w:ascii="黑体" w:hAnsi="黑体" w:eastAsia="黑体" w:cs="黑体"/>
          <w:color w:val="000000"/>
          <w:sz w:val="32"/>
          <w:szCs w:val="32"/>
        </w:rPr>
      </w:pPr>
      <w:r>
        <w:rPr>
          <w:rFonts w:hint="eastAsia" w:ascii="黑体" w:hAnsi="黑体" w:eastAsia="黑体" w:cs="黑体"/>
          <w:b/>
          <w:color w:val="000000"/>
          <w:sz w:val="32"/>
          <w:szCs w:val="32"/>
        </w:rPr>
        <w:t>五、存在的主要问题及改进情况</w:t>
      </w:r>
    </w:p>
    <w:p>
      <w:pPr>
        <w:pStyle w:val="3"/>
        <w:widowControl/>
        <w:spacing w:beforeAutospacing="0" w:afterAutospacing="0"/>
        <w:ind w:firstLine="420"/>
        <w:jc w:val="both"/>
        <w:rPr>
          <w:rFonts w:ascii="仿宋" w:hAnsi="仿宋" w:eastAsia="仿宋" w:cs="仿宋"/>
          <w:color w:val="000000"/>
          <w:sz w:val="32"/>
          <w:szCs w:val="32"/>
        </w:rPr>
      </w:pPr>
      <w:r>
        <w:rPr>
          <w:rFonts w:hint="eastAsia" w:ascii="仿宋" w:hAnsi="仿宋" w:eastAsia="仿宋" w:cs="仿宋"/>
          <w:color w:val="000000"/>
          <w:sz w:val="32"/>
          <w:szCs w:val="32"/>
        </w:rPr>
        <w:t>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年我乡在政府信息公开工作中取得了一定成绩，但是还是存在了一些问题：一是信息公开数量不够多，公开形式不够多样化。二是更新速度相对较慢。</w:t>
      </w:r>
    </w:p>
    <w:p>
      <w:pPr>
        <w:pStyle w:val="3"/>
        <w:widowControl/>
        <w:spacing w:beforeAutospacing="0" w:afterAutospacing="0"/>
        <w:ind w:firstLine="420"/>
        <w:jc w:val="both"/>
        <w:rPr>
          <w:rFonts w:ascii="仿宋" w:hAnsi="仿宋" w:eastAsia="仿宋" w:cs="仿宋"/>
          <w:color w:val="000000"/>
          <w:sz w:val="32"/>
          <w:szCs w:val="32"/>
        </w:rPr>
      </w:pPr>
      <w:r>
        <w:rPr>
          <w:rFonts w:hint="eastAsia" w:ascii="仿宋" w:hAnsi="仿宋" w:eastAsia="仿宋" w:cs="仿宋"/>
          <w:color w:val="000000"/>
          <w:sz w:val="32"/>
          <w:szCs w:val="32"/>
        </w:rPr>
        <w:t>为保证政务公开工作的经常化、制度化、规范化,确保政务公开工作高质量、高标准、严要求地进行,做到全面公开、及时公开,我乡将对照条例内容,积极整改20</w:t>
      </w:r>
      <w:r>
        <w:rPr>
          <w:rFonts w:hint="eastAsia" w:ascii="仿宋" w:hAnsi="仿宋" w:eastAsia="仿宋" w:cs="仿宋"/>
          <w:color w:val="000000"/>
          <w:sz w:val="32"/>
          <w:szCs w:val="32"/>
          <w:lang w:val="en-US" w:eastAsia="zh-CN"/>
        </w:rPr>
        <w:t>20</w:t>
      </w:r>
      <w:r>
        <w:rPr>
          <w:rFonts w:hint="eastAsia" w:ascii="仿宋" w:hAnsi="仿宋" w:eastAsia="仿宋" w:cs="仿宋"/>
          <w:color w:val="000000"/>
          <w:sz w:val="32"/>
          <w:szCs w:val="32"/>
        </w:rPr>
        <w:t>年政府公开信息工作中出现的问题,全力抓好202</w:t>
      </w:r>
      <w:r>
        <w:rPr>
          <w:rFonts w:hint="eastAsia" w:ascii="仿宋" w:hAnsi="仿宋" w:eastAsia="仿宋" w:cs="仿宋"/>
          <w:color w:val="000000"/>
          <w:sz w:val="32"/>
          <w:szCs w:val="32"/>
          <w:lang w:val="en-US" w:eastAsia="zh-CN"/>
        </w:rPr>
        <w:t>1</w:t>
      </w:r>
      <w:r>
        <w:rPr>
          <w:rFonts w:hint="eastAsia" w:ascii="仿宋" w:hAnsi="仿宋" w:eastAsia="仿宋" w:cs="仿宋"/>
          <w:color w:val="000000"/>
          <w:sz w:val="32"/>
          <w:szCs w:val="32"/>
        </w:rPr>
        <w:t>年政府信息公开工作的落实。一是做好人员安排，明确职责，及时准确地公开政务信息。二是进一步提高政府网站的信息质量,丰富信息公开形式，通过政府门户网站、微信公众号等方式继续扩大公开工作在社会上的辐射面积,扩大在群众的影响。三是深化公开内容,以社会关注度高、公共利益大的政府信息作为突破口,推进政府信息的公开内容深化。</w:t>
      </w:r>
    </w:p>
    <w:p>
      <w:pPr>
        <w:pStyle w:val="3"/>
        <w:widowControl/>
        <w:spacing w:beforeAutospacing="0" w:afterAutospacing="0"/>
        <w:ind w:firstLine="420"/>
        <w:jc w:val="both"/>
        <w:rPr>
          <w:rFonts w:ascii="黑体" w:hAnsi="黑体" w:eastAsia="黑体" w:cs="黑体"/>
          <w:color w:val="000000"/>
          <w:sz w:val="32"/>
          <w:szCs w:val="32"/>
        </w:rPr>
      </w:pPr>
      <w:r>
        <w:rPr>
          <w:rFonts w:hint="eastAsia" w:ascii="黑体" w:hAnsi="黑体" w:eastAsia="黑体" w:cs="黑体"/>
          <w:b/>
          <w:color w:val="000000"/>
          <w:sz w:val="32"/>
          <w:szCs w:val="32"/>
        </w:rPr>
        <w:t>六、其他需要报告的事项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无其它需要特别说明的事项。</w:t>
      </w: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p>
    <w:p>
      <w:pPr>
        <w:ind w:firstLine="640" w:firstLineChars="200"/>
        <w:jc w:val="right"/>
        <w:rPr>
          <w:rFonts w:hint="eastAsia" w:ascii="仿宋" w:hAnsi="仿宋" w:eastAsia="仿宋" w:cs="仿宋"/>
          <w:sz w:val="32"/>
          <w:szCs w:val="32"/>
        </w:rPr>
      </w:pPr>
      <w:r>
        <w:rPr>
          <w:rFonts w:hint="eastAsia" w:ascii="仿宋" w:hAnsi="仿宋" w:eastAsia="仿宋" w:cs="仿宋"/>
          <w:sz w:val="32"/>
          <w:szCs w:val="32"/>
        </w:rPr>
        <w:t>九门乡人民政府</w:t>
      </w:r>
    </w:p>
    <w:p>
      <w:pPr>
        <w:ind w:firstLine="640" w:firstLineChars="200"/>
        <w:jc w:val="right"/>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w:t>
      </w:r>
      <w:r>
        <w:rPr>
          <w:rFonts w:hint="eastAsia" w:ascii="仿宋" w:hAnsi="仿宋" w:eastAsia="仿宋" w:cs="仿宋"/>
          <w:sz w:val="32"/>
          <w:szCs w:val="32"/>
          <w:lang w:val="en-US" w:eastAsia="zh-CN"/>
        </w:rPr>
        <w:t>1</w:t>
      </w:r>
      <w:r>
        <w:rPr>
          <w:rFonts w:hint="eastAsia" w:ascii="仿宋" w:hAnsi="仿宋" w:eastAsia="仿宋" w:cs="仿宋"/>
          <w:sz w:val="32"/>
          <w:szCs w:val="32"/>
        </w:rPr>
        <w:t>月2</w:t>
      </w:r>
      <w:r>
        <w:rPr>
          <w:rFonts w:hint="eastAsia" w:ascii="仿宋" w:hAnsi="仿宋" w:eastAsia="仿宋" w:cs="仿宋"/>
          <w:sz w:val="32"/>
          <w:szCs w:val="32"/>
          <w:lang w:val="en-US" w:eastAsia="zh-CN"/>
        </w:rPr>
        <w:t>5</w:t>
      </w:r>
      <w:r>
        <w:rPr>
          <w:rFonts w:hint="eastAsia" w:ascii="仿宋" w:hAnsi="仿宋" w:eastAsia="仿宋" w:cs="仿宋"/>
          <w:sz w:val="32"/>
          <w:szCs w:val="32"/>
        </w:rPr>
        <w:t>日</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Y1NGM1OTU5NWYwOTBkMDliYzRkYmZiN2Y1MGZhNzgifQ=="/>
  </w:docVars>
  <w:rsids>
    <w:rsidRoot w:val="00C002F6"/>
    <w:rsid w:val="000110FE"/>
    <w:rsid w:val="00044CAD"/>
    <w:rsid w:val="0007649F"/>
    <w:rsid w:val="0008712C"/>
    <w:rsid w:val="00097A8E"/>
    <w:rsid w:val="000A1768"/>
    <w:rsid w:val="000F14D5"/>
    <w:rsid w:val="000F5EDC"/>
    <w:rsid w:val="00145BE8"/>
    <w:rsid w:val="001553F1"/>
    <w:rsid w:val="00176266"/>
    <w:rsid w:val="00177844"/>
    <w:rsid w:val="00191BF6"/>
    <w:rsid w:val="001C0B56"/>
    <w:rsid w:val="001C362E"/>
    <w:rsid w:val="001D0AD6"/>
    <w:rsid w:val="001F6134"/>
    <w:rsid w:val="002222E2"/>
    <w:rsid w:val="00250361"/>
    <w:rsid w:val="00273192"/>
    <w:rsid w:val="002B270B"/>
    <w:rsid w:val="00324ACF"/>
    <w:rsid w:val="003A06B9"/>
    <w:rsid w:val="003C73BC"/>
    <w:rsid w:val="003F4B7C"/>
    <w:rsid w:val="0043413B"/>
    <w:rsid w:val="00441154"/>
    <w:rsid w:val="00475D36"/>
    <w:rsid w:val="004A0458"/>
    <w:rsid w:val="004B127A"/>
    <w:rsid w:val="004B53D0"/>
    <w:rsid w:val="004C54E6"/>
    <w:rsid w:val="00504B17"/>
    <w:rsid w:val="00550F04"/>
    <w:rsid w:val="00591749"/>
    <w:rsid w:val="005A6B27"/>
    <w:rsid w:val="005E4636"/>
    <w:rsid w:val="00601439"/>
    <w:rsid w:val="006027EE"/>
    <w:rsid w:val="006042B3"/>
    <w:rsid w:val="00631ABB"/>
    <w:rsid w:val="006B2E2E"/>
    <w:rsid w:val="006C0AFF"/>
    <w:rsid w:val="00725F99"/>
    <w:rsid w:val="0077743F"/>
    <w:rsid w:val="00780BAC"/>
    <w:rsid w:val="007A34EE"/>
    <w:rsid w:val="00814668"/>
    <w:rsid w:val="00816795"/>
    <w:rsid w:val="00825856"/>
    <w:rsid w:val="0084557F"/>
    <w:rsid w:val="00846D36"/>
    <w:rsid w:val="008A19DF"/>
    <w:rsid w:val="0098514B"/>
    <w:rsid w:val="00A15251"/>
    <w:rsid w:val="00A72754"/>
    <w:rsid w:val="00A80AA5"/>
    <w:rsid w:val="00A83469"/>
    <w:rsid w:val="00AA109C"/>
    <w:rsid w:val="00AB4432"/>
    <w:rsid w:val="00AD644F"/>
    <w:rsid w:val="00AF6186"/>
    <w:rsid w:val="00B02E17"/>
    <w:rsid w:val="00B169CD"/>
    <w:rsid w:val="00B51F2B"/>
    <w:rsid w:val="00BA2818"/>
    <w:rsid w:val="00BB775B"/>
    <w:rsid w:val="00BE17C0"/>
    <w:rsid w:val="00C002F6"/>
    <w:rsid w:val="00C362CC"/>
    <w:rsid w:val="00C53D52"/>
    <w:rsid w:val="00CE49B6"/>
    <w:rsid w:val="00D0667F"/>
    <w:rsid w:val="00D50F87"/>
    <w:rsid w:val="00D617CD"/>
    <w:rsid w:val="00DA6BD9"/>
    <w:rsid w:val="00DE08C8"/>
    <w:rsid w:val="00E11182"/>
    <w:rsid w:val="00E645C8"/>
    <w:rsid w:val="00E74506"/>
    <w:rsid w:val="00EC5F8B"/>
    <w:rsid w:val="00EE42A7"/>
    <w:rsid w:val="00EF7067"/>
    <w:rsid w:val="00FC74DB"/>
    <w:rsid w:val="00FD3038"/>
    <w:rsid w:val="20123DAF"/>
    <w:rsid w:val="597C0D47"/>
    <w:rsid w:val="5BD6722F"/>
    <w:rsid w:val="6E6E69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7"/>
    <w:autoRedefine/>
    <w:qFormat/>
    <w:uiPriority w:val="0"/>
    <w:pPr>
      <w:tabs>
        <w:tab w:val="center" w:pos="4153"/>
        <w:tab w:val="right" w:pos="8306"/>
      </w:tabs>
      <w:snapToGrid w:val="0"/>
      <w:jc w:val="left"/>
    </w:pPr>
    <w:rPr>
      <w:sz w:val="18"/>
    </w:rPr>
  </w:style>
  <w:style w:type="paragraph" w:styleId="3">
    <w:name w:val="Normal (Web)"/>
    <w:basedOn w:val="1"/>
    <w:autoRedefine/>
    <w:qFormat/>
    <w:uiPriority w:val="0"/>
    <w:pPr>
      <w:spacing w:beforeAutospacing="1" w:afterAutospacing="1"/>
      <w:jc w:val="left"/>
    </w:pPr>
    <w:rPr>
      <w:rFonts w:cs="Times New Roman"/>
      <w:kern w:val="0"/>
      <w:sz w:val="24"/>
    </w:rPr>
  </w:style>
  <w:style w:type="character" w:styleId="6">
    <w:name w:val="Hyperlink"/>
    <w:basedOn w:val="5"/>
    <w:autoRedefine/>
    <w:unhideWhenUsed/>
    <w:qFormat/>
    <w:uiPriority w:val="99"/>
    <w:rPr>
      <w:color w:val="0000FF" w:themeColor="hyperlink"/>
      <w:u w:val="single"/>
      <w14:textFill>
        <w14:solidFill>
          <w14:schemeClr w14:val="hlink"/>
        </w14:solidFill>
      </w14:textFill>
    </w:rPr>
  </w:style>
  <w:style w:type="character" w:customStyle="1" w:styleId="7">
    <w:name w:val="页脚 Char"/>
    <w:basedOn w:val="5"/>
    <w:link w:val="2"/>
    <w:autoRedefine/>
    <w:qFormat/>
    <w:uiPriority w:val="0"/>
    <w:rPr>
      <w:sz w:val="18"/>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380</Words>
  <Characters>2168</Characters>
  <Lines>18</Lines>
  <Paragraphs>5</Paragraphs>
  <TotalTime>5473564</TotalTime>
  <ScaleCrop>false</ScaleCrop>
  <LinksUpToDate>false</LinksUpToDate>
  <CharactersWithSpaces>2543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2019-12-25T06:47:00Z</dcterms:created>
  <dc:creator>xb21cn</dc:creator>
  <cp:lastModifiedBy>小张</cp:lastModifiedBy>
  <dcterms:modified xsi:type="dcterms:W3CDTF">2024-02-23T08:28:00Z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976A36FE03C9496B879ED6DA0C5C7216_12</vt:lpwstr>
  </property>
</Properties>
</file>