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pStyle w:val="5"/>
        <w:tabs>
          <w:tab w:val="right" w:leader="dot" w:pos="14562"/>
        </w:tabs>
        <w:jc w:val="center"/>
        <w:rPr>
          <w:rFonts w:hint="default" w:eastAsia="方正仿宋_GBK"/>
          <w:lang w:val="en-US" w:eastAsia="zh-CN"/>
        </w:rPr>
      </w:pPr>
      <w:r>
        <w:rPr>
          <w:b w:val="0"/>
          <w:sz w:val="44"/>
          <w:szCs w:val="44"/>
        </w:rPr>
        <w:t>藁城区</w:t>
      </w:r>
      <w:r>
        <w:rPr>
          <w:rFonts w:hint="eastAsia"/>
          <w:b w:val="0"/>
          <w:sz w:val="44"/>
          <w:szCs w:val="44"/>
          <w:lang w:eastAsia="zh-CN"/>
        </w:rPr>
        <w:t>计划生育协会部门所属单位</w:t>
      </w:r>
      <w:r>
        <w:rPr>
          <w:rFonts w:hint="eastAsia"/>
          <w:b w:val="0"/>
          <w:sz w:val="44"/>
          <w:szCs w:val="44"/>
          <w:lang w:val="en-US" w:eastAsia="zh-CN"/>
        </w:rPr>
        <w:t>2022年单位预算公开</w:t>
      </w:r>
    </w:p>
    <w:p>
      <w:pPr>
        <w:pStyle w:val="6"/>
        <w:tabs>
          <w:tab w:val="right" w:leader="dot" w:pos="14572"/>
        </w:tabs>
        <w:jc w:val="center"/>
        <w:rPr>
          <w:rFonts w:ascii="黑体" w:hAnsi="黑体" w:eastAsia="黑体" w:cs="黑体"/>
          <w:b/>
          <w:color w:val="000000"/>
          <w:sz w:val="44"/>
        </w:rPr>
      </w:pPr>
    </w:p>
    <w:p>
      <w:pPr>
        <w:pStyle w:val="6"/>
        <w:tabs>
          <w:tab w:val="right" w:leader="dot" w:pos="14572"/>
        </w:tabs>
      </w:pPr>
      <w:r>
        <w:fldChar w:fldCharType="begin"/>
      </w:r>
      <w:r>
        <w:instrText xml:space="preserve">TOC \o "4-4" \h \z \u</w:instrText>
      </w:r>
      <w:r>
        <w:fldChar w:fldCharType="separate"/>
      </w:r>
      <w:r>
        <w:fldChar w:fldCharType="begin"/>
      </w:r>
      <w:r>
        <w:instrText xml:space="preserve"> HYPERLINK \l _Toc4485 </w:instrText>
      </w:r>
      <w:r>
        <w:fldChar w:fldCharType="separate"/>
      </w:r>
      <w:r>
        <w:rPr>
          <w:rFonts w:ascii="方正小标宋_GBK" w:hAnsi="方正小标宋_GBK" w:eastAsia="方正小标宋_GBK" w:cs="方正小标宋_GBK"/>
        </w:rPr>
        <w:t>一、石家庄市藁城区计划生育协会本级收支预算</w:t>
      </w:r>
      <w:r>
        <w:tab/>
      </w:r>
      <w:r>
        <w:rPr>
          <w:rFonts w:hint="eastAsia" w:eastAsia="宋体"/>
          <w:lang w:val="en-US" w:eastAsia="zh-CN"/>
        </w:rPr>
        <w:t>1</w:t>
      </w:r>
      <w:r>
        <w:fldChar w:fldCharType="end"/>
      </w:r>
    </w:p>
    <w:p>
      <w:pPr>
        <w:sectPr>
          <w:pgSz w:w="16840" w:h="11900" w:orient="landscape"/>
          <w:pgMar w:top="1587" w:right="1134" w:bottom="1361" w:left="1134" w:header="720" w:footer="720" w:gutter="0"/>
          <w:pgNumType w:fmt="decimal"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4485"/>
      <w:r>
        <w:rPr>
          <w:rFonts w:ascii="方正小标宋_GBK" w:hAnsi="方正小标宋_GBK" w:eastAsia="方正小标宋_GBK" w:cs="方正小标宋_GBK"/>
          <w:b w:val="0"/>
          <w:color w:val="000000"/>
          <w:sz w:val="44"/>
        </w:rPr>
        <w:t>一、石家庄市藁城区计划生育协会本级收支预算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725001石家庄市藁城区计划生育协会本级</w:t>
            </w:r>
          </w:p>
        </w:tc>
        <w:tc>
          <w:tcPr>
            <w:tcW w:w="2959" w:type="dxa"/>
            <w:tcBorders>
              <w:top w:val="single" w:color="FFFFFF" w:sz="6" w:space="0"/>
              <w:left w:val="single" w:color="FFFFFF" w:sz="6" w:space="0"/>
              <w:right w:val="single" w:color="FFFFFF" w:sz="6" w:space="0"/>
            </w:tcBorders>
            <w:vAlign w:val="center"/>
          </w:tcPr>
          <w:p>
            <w:pPr>
              <w:pStyle w:val="12"/>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213.14</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213.14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8"/>
            </w:pPr>
            <w:r>
              <w:t>本年收入合计</w:t>
            </w:r>
          </w:p>
        </w:tc>
        <w:tc>
          <w:tcPr>
            <w:tcW w:w="2959" w:type="dxa"/>
            <w:vAlign w:val="center"/>
          </w:tcPr>
          <w:p>
            <w:pPr>
              <w:pStyle w:val="19"/>
            </w:pPr>
            <w:r>
              <w:t>213.14</w:t>
            </w:r>
          </w:p>
        </w:tc>
        <w:tc>
          <w:tcPr>
            <w:tcW w:w="2959" w:type="dxa"/>
            <w:vAlign w:val="center"/>
          </w:tcPr>
          <w:p>
            <w:pPr>
              <w:pStyle w:val="18"/>
            </w:pPr>
            <w:r>
              <w:t>本年支出合计</w:t>
            </w:r>
          </w:p>
        </w:tc>
        <w:tc>
          <w:tcPr>
            <w:tcW w:w="2959" w:type="dxa"/>
            <w:vAlign w:val="center"/>
          </w:tcPr>
          <w:p>
            <w:pPr>
              <w:pStyle w:val="19"/>
            </w:pPr>
            <w:r>
              <w:t>213.14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收入总计</w:t>
            </w:r>
          </w:p>
        </w:tc>
        <w:tc>
          <w:tcPr>
            <w:tcW w:w="2959" w:type="dxa"/>
            <w:vAlign w:val="center"/>
          </w:tcPr>
          <w:p>
            <w:pPr>
              <w:pStyle w:val="19"/>
            </w:pPr>
            <w:r>
              <w:t>213.14</w:t>
            </w:r>
          </w:p>
        </w:tc>
        <w:tc>
          <w:tcPr>
            <w:tcW w:w="2959" w:type="dxa"/>
            <w:vAlign w:val="center"/>
          </w:tcPr>
          <w:p>
            <w:pPr>
              <w:pStyle w:val="18"/>
            </w:pPr>
            <w:r>
              <w:t>支出总计</w:t>
            </w:r>
          </w:p>
        </w:tc>
        <w:tc>
          <w:tcPr>
            <w:tcW w:w="2959" w:type="dxa"/>
            <w:vAlign w:val="center"/>
          </w:tcPr>
          <w:p>
            <w:pPr>
              <w:pStyle w:val="19"/>
            </w:pPr>
            <w:r>
              <w:t>213.14</w:t>
            </w:r>
          </w:p>
        </w:tc>
      </w:tr>
    </w:tbl>
    <w:p>
      <w:pPr>
        <w:sectPr>
          <w:footerReference r:id="rId3" w:type="default"/>
          <w:footerReference r:id="rId4" w:type="even"/>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725001石家庄市藁城区计划生育协会本级</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213.14</w:t>
            </w:r>
          </w:p>
        </w:tc>
        <w:tc>
          <w:tcPr>
            <w:tcW w:w="758" w:type="dxa"/>
            <w:vAlign w:val="center"/>
          </w:tcPr>
          <w:p>
            <w:pPr>
              <w:pStyle w:val="19"/>
            </w:pPr>
            <w:r>
              <w:t>213.14</w:t>
            </w:r>
          </w:p>
        </w:tc>
        <w:tc>
          <w:tcPr>
            <w:tcW w:w="758" w:type="dxa"/>
            <w:vAlign w:val="center"/>
          </w:tcPr>
          <w:p>
            <w:pPr>
              <w:pStyle w:val="19"/>
            </w:pPr>
            <w:r>
              <w:t>213.14</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213.14</w:t>
            </w:r>
          </w:p>
        </w:tc>
        <w:tc>
          <w:tcPr>
            <w:tcW w:w="758" w:type="dxa"/>
            <w:vAlign w:val="center"/>
          </w:tcPr>
          <w:p>
            <w:pPr>
              <w:pStyle w:val="15"/>
            </w:pPr>
            <w:r>
              <w:t>213.14</w:t>
            </w:r>
          </w:p>
        </w:tc>
        <w:tc>
          <w:tcPr>
            <w:tcW w:w="758" w:type="dxa"/>
            <w:vAlign w:val="center"/>
          </w:tcPr>
          <w:p>
            <w:pPr>
              <w:pStyle w:val="15"/>
            </w:pPr>
            <w:r>
              <w:t>213.14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21007</w:t>
            </w:r>
          </w:p>
        </w:tc>
        <w:tc>
          <w:tcPr>
            <w:tcW w:w="758" w:type="dxa"/>
            <w:vAlign w:val="center"/>
          </w:tcPr>
          <w:p>
            <w:pPr>
              <w:pStyle w:val="16"/>
            </w:pPr>
            <w:r>
              <w:t>计划生育事务</w:t>
            </w:r>
          </w:p>
        </w:tc>
        <w:tc>
          <w:tcPr>
            <w:tcW w:w="758" w:type="dxa"/>
            <w:vAlign w:val="center"/>
          </w:tcPr>
          <w:p>
            <w:pPr>
              <w:pStyle w:val="15"/>
            </w:pPr>
            <w:r>
              <w:t>213.14</w:t>
            </w:r>
          </w:p>
        </w:tc>
        <w:tc>
          <w:tcPr>
            <w:tcW w:w="758" w:type="dxa"/>
            <w:vAlign w:val="center"/>
          </w:tcPr>
          <w:p>
            <w:pPr>
              <w:pStyle w:val="15"/>
            </w:pPr>
            <w:r>
              <w:t>213.14</w:t>
            </w:r>
          </w:p>
        </w:tc>
        <w:tc>
          <w:tcPr>
            <w:tcW w:w="758" w:type="dxa"/>
            <w:vAlign w:val="center"/>
          </w:tcPr>
          <w:p>
            <w:pPr>
              <w:pStyle w:val="15"/>
            </w:pPr>
            <w:r>
              <w:t>213.14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2100717</w:t>
            </w:r>
          </w:p>
        </w:tc>
        <w:tc>
          <w:tcPr>
            <w:tcW w:w="758" w:type="dxa"/>
            <w:vAlign w:val="center"/>
          </w:tcPr>
          <w:p>
            <w:pPr>
              <w:pStyle w:val="16"/>
            </w:pPr>
            <w:r>
              <w:t>计划生育服务</w:t>
            </w:r>
          </w:p>
        </w:tc>
        <w:tc>
          <w:tcPr>
            <w:tcW w:w="758" w:type="dxa"/>
            <w:vAlign w:val="center"/>
          </w:tcPr>
          <w:p>
            <w:pPr>
              <w:pStyle w:val="15"/>
            </w:pPr>
            <w:r>
              <w:t>199.61</w:t>
            </w:r>
          </w:p>
        </w:tc>
        <w:tc>
          <w:tcPr>
            <w:tcW w:w="758" w:type="dxa"/>
            <w:vAlign w:val="center"/>
          </w:tcPr>
          <w:p>
            <w:pPr>
              <w:pStyle w:val="15"/>
            </w:pPr>
            <w:r>
              <w:t>199.61</w:t>
            </w:r>
          </w:p>
        </w:tc>
        <w:tc>
          <w:tcPr>
            <w:tcW w:w="758" w:type="dxa"/>
            <w:vAlign w:val="center"/>
          </w:tcPr>
          <w:p>
            <w:pPr>
              <w:pStyle w:val="15"/>
            </w:pPr>
            <w:r>
              <w:t>199.61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2100799</w:t>
            </w:r>
          </w:p>
        </w:tc>
        <w:tc>
          <w:tcPr>
            <w:tcW w:w="758" w:type="dxa"/>
            <w:vAlign w:val="center"/>
          </w:tcPr>
          <w:p>
            <w:pPr>
              <w:pStyle w:val="16"/>
            </w:pPr>
            <w:r>
              <w:t>其他计划生育事务支出</w:t>
            </w:r>
          </w:p>
        </w:tc>
        <w:tc>
          <w:tcPr>
            <w:tcW w:w="758" w:type="dxa"/>
            <w:vAlign w:val="center"/>
          </w:tcPr>
          <w:p>
            <w:pPr>
              <w:pStyle w:val="15"/>
            </w:pPr>
            <w:r>
              <w:t>13.53</w:t>
            </w:r>
          </w:p>
        </w:tc>
        <w:tc>
          <w:tcPr>
            <w:tcW w:w="758" w:type="dxa"/>
            <w:vAlign w:val="center"/>
          </w:tcPr>
          <w:p>
            <w:pPr>
              <w:pStyle w:val="15"/>
            </w:pPr>
            <w:r>
              <w:t>13.53</w:t>
            </w:r>
          </w:p>
        </w:tc>
        <w:tc>
          <w:tcPr>
            <w:tcW w:w="758" w:type="dxa"/>
            <w:vAlign w:val="center"/>
          </w:tcPr>
          <w:p>
            <w:pPr>
              <w:pStyle w:val="15"/>
            </w:pPr>
            <w:r>
              <w:t>13.53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725001石家庄市藁城区计划生育协会本级</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213.14</w:t>
            </w:r>
          </w:p>
        </w:tc>
        <w:tc>
          <w:tcPr>
            <w:tcW w:w="1095" w:type="dxa"/>
            <w:vAlign w:val="center"/>
          </w:tcPr>
          <w:p>
            <w:pPr>
              <w:pStyle w:val="19"/>
            </w:pPr>
            <w:r>
              <w:t>170.41</w:t>
            </w:r>
          </w:p>
        </w:tc>
        <w:tc>
          <w:tcPr>
            <w:tcW w:w="1095" w:type="dxa"/>
            <w:vAlign w:val="center"/>
          </w:tcPr>
          <w:p>
            <w:pPr>
              <w:pStyle w:val="19"/>
            </w:pPr>
            <w:r>
              <w:t>42.73</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213.14</w:t>
            </w:r>
          </w:p>
        </w:tc>
        <w:tc>
          <w:tcPr>
            <w:tcW w:w="1095" w:type="dxa"/>
            <w:vAlign w:val="center"/>
          </w:tcPr>
          <w:p>
            <w:pPr>
              <w:pStyle w:val="15"/>
            </w:pPr>
            <w:r>
              <w:t>170.41</w:t>
            </w:r>
          </w:p>
        </w:tc>
        <w:tc>
          <w:tcPr>
            <w:tcW w:w="1095" w:type="dxa"/>
            <w:vAlign w:val="center"/>
          </w:tcPr>
          <w:p>
            <w:pPr>
              <w:pStyle w:val="15"/>
            </w:pPr>
            <w:r>
              <w:t>42.73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21007</w:t>
            </w:r>
          </w:p>
        </w:tc>
        <w:tc>
          <w:tcPr>
            <w:tcW w:w="1095" w:type="dxa"/>
            <w:vAlign w:val="center"/>
          </w:tcPr>
          <w:p>
            <w:pPr>
              <w:pStyle w:val="16"/>
            </w:pPr>
            <w:r>
              <w:t>计划生育事务</w:t>
            </w:r>
          </w:p>
        </w:tc>
        <w:tc>
          <w:tcPr>
            <w:tcW w:w="1095" w:type="dxa"/>
            <w:vAlign w:val="center"/>
          </w:tcPr>
          <w:p>
            <w:pPr>
              <w:pStyle w:val="15"/>
            </w:pPr>
            <w:r>
              <w:t>213.14</w:t>
            </w:r>
          </w:p>
        </w:tc>
        <w:tc>
          <w:tcPr>
            <w:tcW w:w="1095" w:type="dxa"/>
            <w:vAlign w:val="center"/>
          </w:tcPr>
          <w:p>
            <w:pPr>
              <w:pStyle w:val="15"/>
            </w:pPr>
            <w:r>
              <w:t>170.41</w:t>
            </w:r>
          </w:p>
        </w:tc>
        <w:tc>
          <w:tcPr>
            <w:tcW w:w="1095" w:type="dxa"/>
            <w:vAlign w:val="center"/>
          </w:tcPr>
          <w:p>
            <w:pPr>
              <w:pStyle w:val="15"/>
            </w:pPr>
            <w:r>
              <w:t>42.73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2100717</w:t>
            </w:r>
          </w:p>
        </w:tc>
        <w:tc>
          <w:tcPr>
            <w:tcW w:w="1095" w:type="dxa"/>
            <w:vAlign w:val="center"/>
          </w:tcPr>
          <w:p>
            <w:pPr>
              <w:pStyle w:val="16"/>
            </w:pPr>
            <w:r>
              <w:t>计划生育服务</w:t>
            </w:r>
          </w:p>
        </w:tc>
        <w:tc>
          <w:tcPr>
            <w:tcW w:w="1095" w:type="dxa"/>
            <w:vAlign w:val="center"/>
          </w:tcPr>
          <w:p>
            <w:pPr>
              <w:pStyle w:val="15"/>
            </w:pPr>
            <w:r>
              <w:t>199.61</w:t>
            </w:r>
          </w:p>
        </w:tc>
        <w:tc>
          <w:tcPr>
            <w:tcW w:w="1095" w:type="dxa"/>
            <w:vAlign w:val="center"/>
          </w:tcPr>
          <w:p>
            <w:pPr>
              <w:pStyle w:val="15"/>
            </w:pPr>
            <w:r>
              <w:t>170.41</w:t>
            </w:r>
          </w:p>
        </w:tc>
        <w:tc>
          <w:tcPr>
            <w:tcW w:w="1095" w:type="dxa"/>
            <w:vAlign w:val="center"/>
          </w:tcPr>
          <w:p>
            <w:pPr>
              <w:pStyle w:val="15"/>
            </w:pPr>
            <w:r>
              <w:t>29.20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2100799</w:t>
            </w:r>
          </w:p>
        </w:tc>
        <w:tc>
          <w:tcPr>
            <w:tcW w:w="1095" w:type="dxa"/>
            <w:vAlign w:val="center"/>
          </w:tcPr>
          <w:p>
            <w:pPr>
              <w:pStyle w:val="16"/>
            </w:pPr>
            <w:r>
              <w:t>其他计划生育事务支出</w:t>
            </w:r>
          </w:p>
        </w:tc>
        <w:tc>
          <w:tcPr>
            <w:tcW w:w="1095" w:type="dxa"/>
            <w:vAlign w:val="center"/>
          </w:tcPr>
          <w:p>
            <w:pPr>
              <w:pStyle w:val="15"/>
            </w:pPr>
            <w:r>
              <w:t>13.53</w:t>
            </w:r>
          </w:p>
        </w:tc>
        <w:tc>
          <w:tcPr>
            <w:tcW w:w="1095" w:type="dxa"/>
            <w:vAlign w:val="center"/>
          </w:tcPr>
          <w:p>
            <w:pPr>
              <w:pStyle w:val="15"/>
            </w:pPr>
          </w:p>
        </w:tc>
        <w:tc>
          <w:tcPr>
            <w:tcW w:w="1095" w:type="dxa"/>
            <w:vAlign w:val="center"/>
          </w:tcPr>
          <w:p>
            <w:pPr>
              <w:pStyle w:val="15"/>
            </w:pPr>
            <w:r>
              <w:t>13.53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725001石家庄市藁城区计划生育协会本级</w:t>
            </w: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213.14</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213.14</w:t>
            </w:r>
          </w:p>
        </w:tc>
        <w:tc>
          <w:tcPr>
            <w:tcW w:w="1232" w:type="dxa"/>
            <w:vAlign w:val="center"/>
          </w:tcPr>
          <w:p>
            <w:pPr>
              <w:pStyle w:val="15"/>
            </w:pPr>
            <w:r>
              <w:t>213.14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213.14</w:t>
            </w:r>
          </w:p>
        </w:tc>
        <w:tc>
          <w:tcPr>
            <w:tcW w:w="1232" w:type="dxa"/>
            <w:vAlign w:val="center"/>
          </w:tcPr>
          <w:p>
            <w:pPr>
              <w:pStyle w:val="18"/>
            </w:pPr>
            <w:r>
              <w:t>本年支出合计</w:t>
            </w:r>
          </w:p>
        </w:tc>
        <w:tc>
          <w:tcPr>
            <w:tcW w:w="1232" w:type="dxa"/>
            <w:vAlign w:val="center"/>
          </w:tcPr>
          <w:p>
            <w:pPr>
              <w:pStyle w:val="19"/>
            </w:pPr>
            <w:r>
              <w:t>213.14</w:t>
            </w:r>
          </w:p>
        </w:tc>
        <w:tc>
          <w:tcPr>
            <w:tcW w:w="1232" w:type="dxa"/>
            <w:vAlign w:val="center"/>
          </w:tcPr>
          <w:p>
            <w:pPr>
              <w:pStyle w:val="19"/>
            </w:pPr>
            <w:r>
              <w:t>213.14</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213.14</w:t>
            </w:r>
          </w:p>
        </w:tc>
        <w:tc>
          <w:tcPr>
            <w:tcW w:w="1232" w:type="dxa"/>
            <w:vAlign w:val="center"/>
          </w:tcPr>
          <w:p>
            <w:pPr>
              <w:pStyle w:val="18"/>
            </w:pPr>
            <w:r>
              <w:t>支出总计</w:t>
            </w:r>
          </w:p>
        </w:tc>
        <w:tc>
          <w:tcPr>
            <w:tcW w:w="1232" w:type="dxa"/>
            <w:vAlign w:val="center"/>
          </w:tcPr>
          <w:p>
            <w:pPr>
              <w:pStyle w:val="19"/>
            </w:pPr>
            <w:r>
              <w:t>213.14</w:t>
            </w:r>
          </w:p>
        </w:tc>
        <w:tc>
          <w:tcPr>
            <w:tcW w:w="1232" w:type="dxa"/>
            <w:vAlign w:val="center"/>
          </w:tcPr>
          <w:p>
            <w:pPr>
              <w:pStyle w:val="19"/>
            </w:pPr>
            <w:r>
              <w:t>213.14</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213.14</w:t>
            </w:r>
          </w:p>
        </w:tc>
        <w:tc>
          <w:tcPr>
            <w:tcW w:w="1643" w:type="dxa"/>
            <w:vAlign w:val="center"/>
          </w:tcPr>
          <w:p>
            <w:pPr>
              <w:pStyle w:val="19"/>
            </w:pPr>
            <w:r>
              <w:t>170.41</w:t>
            </w:r>
          </w:p>
        </w:tc>
        <w:tc>
          <w:tcPr>
            <w:tcW w:w="1643" w:type="dxa"/>
            <w:vAlign w:val="center"/>
          </w:tcPr>
          <w:p>
            <w:pPr>
              <w:pStyle w:val="19"/>
            </w:pPr>
            <w:r>
              <w:t>42.73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213.14</w:t>
            </w:r>
          </w:p>
        </w:tc>
        <w:tc>
          <w:tcPr>
            <w:tcW w:w="1643" w:type="dxa"/>
            <w:vAlign w:val="center"/>
          </w:tcPr>
          <w:p>
            <w:pPr>
              <w:pStyle w:val="15"/>
            </w:pPr>
            <w:r>
              <w:t>170.41</w:t>
            </w:r>
          </w:p>
        </w:tc>
        <w:tc>
          <w:tcPr>
            <w:tcW w:w="1643" w:type="dxa"/>
            <w:vAlign w:val="center"/>
          </w:tcPr>
          <w:p>
            <w:pPr>
              <w:pStyle w:val="15"/>
            </w:pPr>
            <w:r>
              <w:t>42.73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21007</w:t>
            </w:r>
          </w:p>
        </w:tc>
        <w:tc>
          <w:tcPr>
            <w:tcW w:w="1643" w:type="dxa"/>
            <w:vAlign w:val="center"/>
          </w:tcPr>
          <w:p>
            <w:pPr>
              <w:pStyle w:val="16"/>
            </w:pPr>
            <w:r>
              <w:t>计划生育事务</w:t>
            </w:r>
          </w:p>
        </w:tc>
        <w:tc>
          <w:tcPr>
            <w:tcW w:w="1643" w:type="dxa"/>
            <w:vAlign w:val="center"/>
          </w:tcPr>
          <w:p>
            <w:pPr>
              <w:pStyle w:val="15"/>
            </w:pPr>
            <w:r>
              <w:t>213.14</w:t>
            </w:r>
          </w:p>
        </w:tc>
        <w:tc>
          <w:tcPr>
            <w:tcW w:w="1643" w:type="dxa"/>
            <w:vAlign w:val="center"/>
          </w:tcPr>
          <w:p>
            <w:pPr>
              <w:pStyle w:val="15"/>
            </w:pPr>
            <w:r>
              <w:t>170.41</w:t>
            </w:r>
          </w:p>
        </w:tc>
        <w:tc>
          <w:tcPr>
            <w:tcW w:w="1643" w:type="dxa"/>
            <w:vAlign w:val="center"/>
          </w:tcPr>
          <w:p>
            <w:pPr>
              <w:pStyle w:val="15"/>
            </w:pPr>
            <w:r>
              <w:t>42.73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2100717</w:t>
            </w:r>
          </w:p>
        </w:tc>
        <w:tc>
          <w:tcPr>
            <w:tcW w:w="1643" w:type="dxa"/>
            <w:vAlign w:val="center"/>
          </w:tcPr>
          <w:p>
            <w:pPr>
              <w:pStyle w:val="16"/>
            </w:pPr>
            <w:r>
              <w:t>计划生育服务</w:t>
            </w:r>
          </w:p>
        </w:tc>
        <w:tc>
          <w:tcPr>
            <w:tcW w:w="1643" w:type="dxa"/>
            <w:vAlign w:val="center"/>
          </w:tcPr>
          <w:p>
            <w:pPr>
              <w:pStyle w:val="15"/>
            </w:pPr>
            <w:r>
              <w:t>199.61</w:t>
            </w:r>
          </w:p>
        </w:tc>
        <w:tc>
          <w:tcPr>
            <w:tcW w:w="1643" w:type="dxa"/>
            <w:vAlign w:val="center"/>
          </w:tcPr>
          <w:p>
            <w:pPr>
              <w:pStyle w:val="15"/>
            </w:pPr>
            <w:r>
              <w:t>170.41</w:t>
            </w:r>
          </w:p>
        </w:tc>
        <w:tc>
          <w:tcPr>
            <w:tcW w:w="1643" w:type="dxa"/>
            <w:vAlign w:val="center"/>
          </w:tcPr>
          <w:p>
            <w:pPr>
              <w:pStyle w:val="15"/>
            </w:pPr>
            <w:r>
              <w:t>29.20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2100799</w:t>
            </w:r>
          </w:p>
        </w:tc>
        <w:tc>
          <w:tcPr>
            <w:tcW w:w="1643" w:type="dxa"/>
            <w:vAlign w:val="center"/>
          </w:tcPr>
          <w:p>
            <w:pPr>
              <w:pStyle w:val="16"/>
            </w:pPr>
            <w:r>
              <w:t>其他计划生育事务支出</w:t>
            </w:r>
          </w:p>
        </w:tc>
        <w:tc>
          <w:tcPr>
            <w:tcW w:w="1643" w:type="dxa"/>
            <w:vAlign w:val="center"/>
          </w:tcPr>
          <w:p>
            <w:pPr>
              <w:pStyle w:val="15"/>
            </w:pPr>
            <w:r>
              <w:t>13.53</w:t>
            </w:r>
          </w:p>
        </w:tc>
        <w:tc>
          <w:tcPr>
            <w:tcW w:w="1643" w:type="dxa"/>
            <w:vAlign w:val="center"/>
          </w:tcPr>
          <w:p>
            <w:pPr>
              <w:pStyle w:val="15"/>
            </w:pPr>
          </w:p>
        </w:tc>
        <w:tc>
          <w:tcPr>
            <w:tcW w:w="1643" w:type="dxa"/>
            <w:vAlign w:val="center"/>
          </w:tcPr>
          <w:p>
            <w:pPr>
              <w:pStyle w:val="15"/>
            </w:pPr>
            <w:r>
              <w:t>13.53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170.41</w:t>
            </w:r>
          </w:p>
        </w:tc>
        <w:tc>
          <w:tcPr>
            <w:tcW w:w="1643" w:type="dxa"/>
            <w:vAlign w:val="center"/>
          </w:tcPr>
          <w:p>
            <w:pPr>
              <w:pStyle w:val="19"/>
            </w:pPr>
            <w:r>
              <w:t>153.63</w:t>
            </w:r>
          </w:p>
        </w:tc>
        <w:tc>
          <w:tcPr>
            <w:tcW w:w="1643" w:type="dxa"/>
            <w:vAlign w:val="center"/>
          </w:tcPr>
          <w:p>
            <w:pPr>
              <w:pStyle w:val="19"/>
            </w:pPr>
            <w:r>
              <w:t>16.77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153.63</w:t>
            </w:r>
          </w:p>
        </w:tc>
        <w:tc>
          <w:tcPr>
            <w:tcW w:w="1643" w:type="dxa"/>
            <w:vAlign w:val="center"/>
          </w:tcPr>
          <w:p>
            <w:pPr>
              <w:pStyle w:val="15"/>
            </w:pPr>
            <w:r>
              <w:t>153.63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37.70</w:t>
            </w:r>
          </w:p>
        </w:tc>
        <w:tc>
          <w:tcPr>
            <w:tcW w:w="1643" w:type="dxa"/>
            <w:vAlign w:val="center"/>
          </w:tcPr>
          <w:p>
            <w:pPr>
              <w:pStyle w:val="15"/>
            </w:pPr>
            <w:r>
              <w:t>37.70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63.19</w:t>
            </w:r>
          </w:p>
        </w:tc>
        <w:tc>
          <w:tcPr>
            <w:tcW w:w="1643" w:type="dxa"/>
            <w:vAlign w:val="center"/>
          </w:tcPr>
          <w:p>
            <w:pPr>
              <w:pStyle w:val="15"/>
            </w:pPr>
            <w:r>
              <w:t>63.19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3.14</w:t>
            </w:r>
          </w:p>
        </w:tc>
        <w:tc>
          <w:tcPr>
            <w:tcW w:w="1643" w:type="dxa"/>
            <w:vAlign w:val="center"/>
          </w:tcPr>
          <w:p>
            <w:pPr>
              <w:pStyle w:val="15"/>
            </w:pPr>
            <w:r>
              <w:t>3.14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13.68</w:t>
            </w:r>
          </w:p>
        </w:tc>
        <w:tc>
          <w:tcPr>
            <w:tcW w:w="1643" w:type="dxa"/>
            <w:vAlign w:val="center"/>
          </w:tcPr>
          <w:p>
            <w:pPr>
              <w:pStyle w:val="15"/>
            </w:pPr>
            <w:r>
              <w:t>13.68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7.18</w:t>
            </w:r>
          </w:p>
        </w:tc>
        <w:tc>
          <w:tcPr>
            <w:tcW w:w="1643" w:type="dxa"/>
            <w:vAlign w:val="center"/>
          </w:tcPr>
          <w:p>
            <w:pPr>
              <w:pStyle w:val="15"/>
            </w:pPr>
            <w:r>
              <w:t>7.18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5.56</w:t>
            </w:r>
          </w:p>
        </w:tc>
        <w:tc>
          <w:tcPr>
            <w:tcW w:w="1643" w:type="dxa"/>
            <w:vAlign w:val="center"/>
          </w:tcPr>
          <w:p>
            <w:pPr>
              <w:pStyle w:val="15"/>
            </w:pPr>
            <w:r>
              <w:t>5.56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11.83</w:t>
            </w:r>
          </w:p>
        </w:tc>
        <w:tc>
          <w:tcPr>
            <w:tcW w:w="1643" w:type="dxa"/>
            <w:vAlign w:val="center"/>
          </w:tcPr>
          <w:p>
            <w:pPr>
              <w:pStyle w:val="15"/>
            </w:pPr>
            <w:r>
              <w:t>11.83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11.34</w:t>
            </w:r>
          </w:p>
        </w:tc>
        <w:tc>
          <w:tcPr>
            <w:tcW w:w="1643" w:type="dxa"/>
            <w:vAlign w:val="center"/>
          </w:tcPr>
          <w:p>
            <w:pPr>
              <w:pStyle w:val="15"/>
            </w:pPr>
            <w:r>
              <w:t>11.34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15.92</w:t>
            </w:r>
          </w:p>
        </w:tc>
        <w:tc>
          <w:tcPr>
            <w:tcW w:w="1643" w:type="dxa"/>
            <w:vAlign w:val="center"/>
          </w:tcPr>
          <w:p>
            <w:pPr>
              <w:pStyle w:val="15"/>
            </w:pPr>
          </w:p>
        </w:tc>
        <w:tc>
          <w:tcPr>
            <w:tcW w:w="1643" w:type="dxa"/>
            <w:vAlign w:val="center"/>
          </w:tcPr>
          <w:p>
            <w:pPr>
              <w:pStyle w:val="15"/>
            </w:pPr>
            <w:r>
              <w:t>15.92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2.75</w:t>
            </w:r>
          </w:p>
        </w:tc>
        <w:tc>
          <w:tcPr>
            <w:tcW w:w="1643" w:type="dxa"/>
            <w:vAlign w:val="center"/>
          </w:tcPr>
          <w:p>
            <w:pPr>
              <w:pStyle w:val="15"/>
            </w:pPr>
          </w:p>
        </w:tc>
        <w:tc>
          <w:tcPr>
            <w:tcW w:w="1643" w:type="dxa"/>
            <w:vAlign w:val="center"/>
          </w:tcPr>
          <w:p>
            <w:pPr>
              <w:pStyle w:val="15"/>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4.86</w:t>
            </w:r>
          </w:p>
        </w:tc>
        <w:tc>
          <w:tcPr>
            <w:tcW w:w="1643" w:type="dxa"/>
            <w:vAlign w:val="center"/>
          </w:tcPr>
          <w:p>
            <w:pPr>
              <w:pStyle w:val="15"/>
            </w:pPr>
          </w:p>
        </w:tc>
        <w:tc>
          <w:tcPr>
            <w:tcW w:w="1643" w:type="dxa"/>
            <w:vAlign w:val="center"/>
          </w:tcPr>
          <w:p>
            <w:pPr>
              <w:pStyle w:val="15"/>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0.80</w:t>
            </w:r>
          </w:p>
        </w:tc>
        <w:tc>
          <w:tcPr>
            <w:tcW w:w="1643" w:type="dxa"/>
            <w:vAlign w:val="center"/>
          </w:tcPr>
          <w:p>
            <w:pPr>
              <w:pStyle w:val="15"/>
            </w:pPr>
          </w:p>
        </w:tc>
        <w:tc>
          <w:tcPr>
            <w:tcW w:w="1643" w:type="dxa"/>
            <w:vAlign w:val="center"/>
          </w:tcPr>
          <w:p>
            <w:pPr>
              <w:pStyle w:val="15"/>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0.94</w:t>
            </w:r>
          </w:p>
        </w:tc>
        <w:tc>
          <w:tcPr>
            <w:tcW w:w="1643" w:type="dxa"/>
            <w:vAlign w:val="center"/>
          </w:tcPr>
          <w:p>
            <w:pPr>
              <w:pStyle w:val="15"/>
            </w:pPr>
          </w:p>
        </w:tc>
        <w:tc>
          <w:tcPr>
            <w:tcW w:w="1643" w:type="dxa"/>
            <w:vAlign w:val="center"/>
          </w:tcPr>
          <w:p>
            <w:pPr>
              <w:pStyle w:val="15"/>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6.00</w:t>
            </w:r>
          </w:p>
        </w:tc>
        <w:tc>
          <w:tcPr>
            <w:tcW w:w="1643" w:type="dxa"/>
            <w:vAlign w:val="center"/>
          </w:tcPr>
          <w:p>
            <w:pPr>
              <w:pStyle w:val="15"/>
            </w:pPr>
          </w:p>
        </w:tc>
        <w:tc>
          <w:tcPr>
            <w:tcW w:w="1643"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0.57</w:t>
            </w:r>
          </w:p>
        </w:tc>
        <w:tc>
          <w:tcPr>
            <w:tcW w:w="1643" w:type="dxa"/>
            <w:vAlign w:val="center"/>
          </w:tcPr>
          <w:p>
            <w:pPr>
              <w:pStyle w:val="15"/>
            </w:pPr>
          </w:p>
        </w:tc>
        <w:tc>
          <w:tcPr>
            <w:tcW w:w="1643" w:type="dxa"/>
            <w:vAlign w:val="center"/>
          </w:tcPr>
          <w:p>
            <w:pPr>
              <w:pStyle w:val="15"/>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310</w:t>
            </w:r>
          </w:p>
        </w:tc>
        <w:tc>
          <w:tcPr>
            <w:tcW w:w="1643" w:type="dxa"/>
            <w:vAlign w:val="center"/>
          </w:tcPr>
          <w:p>
            <w:pPr>
              <w:pStyle w:val="16"/>
            </w:pPr>
            <w:r>
              <w:t>资本性支出</w:t>
            </w:r>
          </w:p>
        </w:tc>
        <w:tc>
          <w:tcPr>
            <w:tcW w:w="1643" w:type="dxa"/>
            <w:vAlign w:val="center"/>
          </w:tcPr>
          <w:p>
            <w:pPr>
              <w:pStyle w:val="15"/>
            </w:pPr>
            <w:r>
              <w:t>0.85</w:t>
            </w:r>
          </w:p>
        </w:tc>
        <w:tc>
          <w:tcPr>
            <w:tcW w:w="1643" w:type="dxa"/>
            <w:vAlign w:val="center"/>
          </w:tcPr>
          <w:p>
            <w:pPr>
              <w:pStyle w:val="15"/>
            </w:pPr>
          </w:p>
        </w:tc>
        <w:tc>
          <w:tcPr>
            <w:tcW w:w="1643" w:type="dxa"/>
            <w:vAlign w:val="center"/>
          </w:tcPr>
          <w:p>
            <w:pPr>
              <w:pStyle w:val="15"/>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31002</w:t>
            </w:r>
          </w:p>
        </w:tc>
        <w:tc>
          <w:tcPr>
            <w:tcW w:w="1643" w:type="dxa"/>
            <w:vAlign w:val="center"/>
          </w:tcPr>
          <w:p>
            <w:pPr>
              <w:pStyle w:val="16"/>
            </w:pPr>
            <w:r>
              <w:t>办公设备购置</w:t>
            </w:r>
          </w:p>
        </w:tc>
        <w:tc>
          <w:tcPr>
            <w:tcW w:w="1643" w:type="dxa"/>
            <w:vAlign w:val="center"/>
          </w:tcPr>
          <w:p>
            <w:pPr>
              <w:pStyle w:val="15"/>
            </w:pPr>
            <w:r>
              <w:t>0.85</w:t>
            </w:r>
          </w:p>
        </w:tc>
        <w:tc>
          <w:tcPr>
            <w:tcW w:w="1643" w:type="dxa"/>
            <w:vAlign w:val="center"/>
          </w:tcPr>
          <w:p>
            <w:pPr>
              <w:pStyle w:val="15"/>
            </w:pPr>
          </w:p>
        </w:tc>
        <w:tc>
          <w:tcPr>
            <w:tcW w:w="1643" w:type="dxa"/>
            <w:vAlign w:val="center"/>
          </w:tcPr>
          <w:p>
            <w:pPr>
              <w:pStyle w:val="15"/>
            </w:pPr>
            <w:r>
              <w:t>0.85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石家庄市藁城区计划生育协会本级2022年单位预算信息公开情况说明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预算法》、《地方预决算公开操作规程》和《关于进一步推进预算公开工作的实施意见》规定，现将石家庄市藁城区计划生育协会本级2022年单位预算公开如下：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1"/>
      </w:pPr>
      <w:r>
        <w:rPr>
          <w:rFonts w:ascii="方正楷体_GBK" w:hAnsi="方正楷体_GBK" w:eastAsia="方正楷体_GBK" w:cs="方正楷体_GBK"/>
          <w:b/>
          <w:color w:val="000000"/>
          <w:sz w:val="32"/>
        </w:rPr>
        <w:t>单位职责：</w:t>
      </w:r>
      <w:r>
        <w:t>根据《石家庄市藁城区计划生育协会职能配置、内设机构和人员编制规定》石家庄市藁城区计划生育协会的主要职责是：</w:t>
      </w:r>
    </w:p>
    <w:p>
      <w:pPr>
        <w:pStyle w:val="21"/>
      </w:pPr>
      <w:r>
        <w:t xml:space="preserve">1落实现行的计划生育方针政策。推动实现适度生育水平，优化人口结构，促进人口长期均衡发展。               2完善三级组织建设，建立健全工作机制。指导各级协会向群众宣传计划生育方针政策和生育健康知识。      3协调社会力量，向群众提供生产、生活、生育服务开展计划生育系列保险等社会保障事业，继续开展独生子女意外伤害保险和护工保险业务。组织实施幸福工程项目，对计划生育特殊家庭帮扶，给予计生失独家庭护工保险补贴,保障和改善民生，促进社会和谐稳定，实施亲情关爱。积极为计生困难家庭考入“985”“211”高校的女孩争取支持，逐步完善藁城区“天使圆梦”活动。帮助群众解决实行计划生育的实际困难和后顾之忧。在重大节日对计生特殊家庭进行慰问，使他们得到慰藉。                                      4实施“生育维权”工程，开展计划生育便民维权活动，宣传计生公共服务，计生奖励优惠政策，为计生家庭提供法律援助等相关的维权活动。   5坚持党委领导的群团组织序列，承担中央赋予的“六项重点任务”切实履行好计生协的职责。   </w:t>
      </w:r>
    </w:p>
    <w:p>
      <w:pPr>
        <w:spacing w:before="0" w:after="0" w:line="240" w:lineRule="auto"/>
        <w:ind w:firstLine="640"/>
        <w:jc w:val="left"/>
        <w:outlineLvl w:val="9"/>
      </w:pPr>
    </w:p>
    <w:p>
      <w:pPr>
        <w:pStyle w:val="33"/>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石家庄市藁城区计划生育协会本级</w:t>
            </w:r>
          </w:p>
        </w:tc>
        <w:tc>
          <w:tcPr>
            <w:tcW w:w="2464" w:type="dxa"/>
            <w:vAlign w:val="center"/>
          </w:tcPr>
          <w:p>
            <w:pPr>
              <w:pStyle w:val="17"/>
              <w:rPr>
                <w:rFonts w:hint="default" w:eastAsia="方正书宋_GBK"/>
                <w:lang w:val="en-US" w:eastAsia="zh-CN"/>
              </w:rPr>
            </w:pPr>
            <w:r>
              <w:rPr>
                <w:rFonts w:hint="eastAsia"/>
                <w:lang w:val="en-US" w:eastAsia="zh-CN"/>
              </w:rPr>
              <w:t>群众团体</w:t>
            </w:r>
          </w:p>
        </w:tc>
        <w:tc>
          <w:tcPr>
            <w:tcW w:w="2464" w:type="dxa"/>
            <w:vAlign w:val="center"/>
          </w:tcPr>
          <w:p>
            <w:pPr>
              <w:pStyle w:val="17"/>
            </w:pPr>
            <w:r>
              <w:t>正科级</w:t>
            </w:r>
          </w:p>
        </w:tc>
        <w:tc>
          <w:tcPr>
            <w:tcW w:w="2464"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numPr>
          <w:ilvl w:val="0"/>
          <w:numId w:val="0"/>
        </w:numPr>
        <w:spacing w:line="460" w:lineRule="exact"/>
        <w:ind w:firstLine="640" w:firstLineChars="200"/>
        <w:rPr>
          <w:rFonts w:hint="eastAsia" w:eastAsia="仿宋" w:cs="Times New Roman"/>
          <w:sz w:val="32"/>
          <w:szCs w:val="32"/>
          <w:lang w:eastAsia="zh-CN"/>
        </w:rPr>
      </w:pPr>
      <w:r>
        <w:rPr>
          <w:rFonts w:hint="eastAsia" w:eastAsia="仿宋" w:cs="Times New Roman"/>
          <w:sz w:val="32"/>
          <w:szCs w:val="32"/>
          <w:lang w:val="en-US" w:eastAsia="zh-CN"/>
        </w:rPr>
        <w:t>1、</w:t>
      </w:r>
      <w:r>
        <w:rPr>
          <w:rFonts w:ascii="Times New Roman" w:hAnsi="Times New Roman" w:eastAsia="仿宋" w:cs="Times New Roman"/>
          <w:sz w:val="32"/>
          <w:szCs w:val="32"/>
        </w:rPr>
        <w:t>收入说明</w:t>
      </w:r>
      <w:r>
        <w:rPr>
          <w:rFonts w:hint="eastAsia" w:eastAsia="仿宋" w:cs="Times New Roman"/>
          <w:sz w:val="32"/>
          <w:szCs w:val="32"/>
          <w:lang w:eastAsia="zh-CN"/>
        </w:rPr>
        <w:t>：</w:t>
      </w:r>
    </w:p>
    <w:p>
      <w:pPr>
        <w:numPr>
          <w:ilvl w:val="0"/>
          <w:numId w:val="0"/>
        </w:numPr>
        <w:spacing w:line="460" w:lineRule="exact"/>
        <w:ind w:firstLine="960" w:firstLineChars="3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213.14</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213.14</w:t>
      </w:r>
      <w:r>
        <w:rPr>
          <w:rFonts w:hint="eastAsia" w:ascii="Times New Roman" w:hAnsi="Times New Roman" w:eastAsia="仿宋" w:cs="Times New Roman"/>
          <w:sz w:val="32"/>
          <w:szCs w:val="32"/>
        </w:rPr>
        <w:t>万元，基金预算收入0万元，财政专户核拨收入0万元，其他来源收入0万元。</w:t>
      </w:r>
    </w:p>
    <w:p>
      <w:pPr>
        <w:numPr>
          <w:ilvl w:val="0"/>
          <w:numId w:val="0"/>
        </w:numPr>
        <w:spacing w:line="460" w:lineRule="exact"/>
        <w:ind w:left="640" w:leftChars="0"/>
        <w:rPr>
          <w:rFonts w:hint="eastAsia" w:eastAsia="仿宋" w:cs="Times New Roman"/>
          <w:sz w:val="32"/>
          <w:szCs w:val="32"/>
          <w:lang w:eastAsia="zh-CN"/>
        </w:rPr>
      </w:pPr>
      <w:r>
        <w:rPr>
          <w:rFonts w:hint="eastAsia" w:eastAsia="仿宋" w:cs="Times New Roman"/>
          <w:sz w:val="32"/>
          <w:szCs w:val="32"/>
          <w:lang w:val="en-US" w:eastAsia="zh-CN"/>
        </w:rPr>
        <w:t>2、</w:t>
      </w:r>
      <w:r>
        <w:rPr>
          <w:rFonts w:ascii="Times New Roman" w:hAnsi="Times New Roman" w:eastAsia="仿宋" w:cs="Times New Roman"/>
          <w:sz w:val="32"/>
          <w:szCs w:val="32"/>
        </w:rPr>
        <w:t>支出说明</w:t>
      </w:r>
      <w:r>
        <w:rPr>
          <w:rFonts w:hint="eastAsia" w:eastAsia="仿宋" w:cs="Times New Roman"/>
          <w:sz w:val="32"/>
          <w:szCs w:val="32"/>
          <w:lang w:eastAsia="zh-CN"/>
        </w:rPr>
        <w:t>：</w:t>
      </w:r>
    </w:p>
    <w:p>
      <w:pPr>
        <w:numPr>
          <w:ilvl w:val="0"/>
          <w:numId w:val="0"/>
        </w:numPr>
        <w:spacing w:line="460" w:lineRule="exact"/>
        <w:ind w:left="640" w:leftChars="0" w:firstLine="320" w:firstLineChars="10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213.14</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170.41</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153.63</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16.77</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42.73</w:t>
      </w:r>
      <w:r>
        <w:rPr>
          <w:rFonts w:hint="eastAsia" w:ascii="Times New Roman" w:hAnsi="Times New Roman" w:eastAsia="仿宋" w:cs="Times New Roman"/>
          <w:sz w:val="32"/>
          <w:szCs w:val="32"/>
        </w:rPr>
        <w:t>万元，主要为</w:t>
      </w:r>
      <w:r>
        <w:rPr>
          <w:rFonts w:hint="eastAsia" w:eastAsia="仿宋" w:cs="Times New Roman"/>
          <w:sz w:val="32"/>
          <w:szCs w:val="32"/>
          <w:lang w:val="en-US" w:eastAsia="zh-CN"/>
        </w:rPr>
        <w:t>农村独生子女家庭意外伤害保险</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9.96</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亲情关爱救助基金</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7.24</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宣传服务专项经费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2</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计生特殊家庭慰问资金</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8.58</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劳务派遣人员费用支出4.95</w:t>
      </w:r>
      <w:r>
        <w:rPr>
          <w:rFonts w:hint="eastAsia" w:ascii="Times New Roman" w:hAnsi="Times New Roman" w:eastAsia="仿宋" w:cs="Times New Roman"/>
          <w:sz w:val="32"/>
          <w:szCs w:val="32"/>
        </w:rPr>
        <w:t>万元</w:t>
      </w:r>
      <w:r>
        <w:rPr>
          <w:rFonts w:hint="eastAsia" w:eastAsia="仿宋" w:cs="Times New Roman"/>
          <w:sz w:val="32"/>
          <w:szCs w:val="32"/>
          <w:lang w:eastAsia="zh-CN"/>
        </w:rPr>
        <w:t>，</w:t>
      </w:r>
      <w:r>
        <w:rPr>
          <w:rFonts w:hint="eastAsia" w:hAnsi="仿宋" w:eastAsia="仿宋" w:cs="仿宋" w:asciiTheme="minorAscii"/>
          <w:b w:val="0"/>
          <w:bCs/>
          <w:color w:val="000000"/>
          <w:sz w:val="32"/>
          <w:szCs w:val="32"/>
        </w:rPr>
        <w:t>省级计划生育服务补助资金</w:t>
      </w:r>
      <w:r>
        <w:rPr>
          <w:rFonts w:hint="eastAsia" w:hAnsi="仿宋" w:eastAsia="仿宋" w:cs="仿宋" w:asciiTheme="minorAscii"/>
          <w:b w:val="0"/>
          <w:bCs/>
          <w:color w:val="000000"/>
          <w:sz w:val="32"/>
          <w:szCs w:val="32"/>
          <w:lang w:val="en-US" w:eastAsia="zh-CN"/>
        </w:rPr>
        <w:t>10万</w:t>
      </w:r>
      <w:r>
        <w:rPr>
          <w:rFonts w:hint="eastAsia" w:ascii="Times New Roman" w:hAnsi="Times New Roman" w:eastAsia="仿宋" w:cs="Times New Roman"/>
          <w:sz w:val="32"/>
          <w:szCs w:val="32"/>
        </w:rPr>
        <w:t>；其他支出0万元。</w:t>
      </w:r>
    </w:p>
    <w:p>
      <w:pPr>
        <w:numPr>
          <w:ilvl w:val="0"/>
          <w:numId w:val="0"/>
        </w:numPr>
        <w:spacing w:line="460" w:lineRule="exact"/>
        <w:ind w:left="640" w:leftChars="0"/>
        <w:rPr>
          <w:rFonts w:ascii="Times New Roman" w:hAnsi="Times New Roman" w:eastAsia="仿宋" w:cs="Times New Roman"/>
          <w:sz w:val="32"/>
          <w:szCs w:val="32"/>
        </w:rPr>
      </w:pPr>
      <w:r>
        <w:rPr>
          <w:rFonts w:hint="eastAsia" w:eastAsia="仿宋" w:cs="Times New Roman"/>
          <w:sz w:val="32"/>
          <w:szCs w:val="32"/>
          <w:lang w:val="en-US" w:eastAsia="zh-CN"/>
        </w:rPr>
        <w:t>3、</w:t>
      </w:r>
      <w:r>
        <w:rPr>
          <w:rFonts w:ascii="Times New Roman" w:hAnsi="Times New Roman" w:eastAsia="仿宋" w:cs="Times New Roman"/>
          <w:sz w:val="32"/>
          <w:szCs w:val="32"/>
        </w:rPr>
        <w:t>比上年增减情况</w:t>
      </w:r>
      <w:r>
        <w:rPr>
          <w:rFonts w:hint="eastAsia" w:eastAsia="仿宋" w:cs="Times New Roman"/>
          <w:sz w:val="32"/>
          <w:szCs w:val="32"/>
          <w:lang w:eastAsia="zh-CN"/>
        </w:rPr>
        <w:t>：</w:t>
      </w:r>
    </w:p>
    <w:p>
      <w:pPr>
        <w:numPr>
          <w:ilvl w:val="0"/>
          <w:numId w:val="0"/>
        </w:numPr>
        <w:spacing w:line="460" w:lineRule="exact"/>
        <w:ind w:left="640" w:leftChars="0" w:firstLine="320" w:firstLineChars="10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val="en-US"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sz w:val="32"/>
          <w:szCs w:val="32"/>
          <w:lang w:val="en-US" w:eastAsia="zh-CN"/>
        </w:rPr>
        <w:t>213.14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51.05</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增加25.52</w:t>
      </w:r>
      <w:r>
        <w:rPr>
          <w:rFonts w:hint="eastAsia" w:ascii="Times New Roman" w:hAnsi="Times New Roman" w:eastAsia="仿宋" w:cs="Times New Roman"/>
          <w:sz w:val="32"/>
          <w:szCs w:val="32"/>
        </w:rPr>
        <w:t>万元，主要是人员</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25.53</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宣传服务专项经费</w:t>
      </w:r>
      <w:r>
        <w:rPr>
          <w:rFonts w:hint="eastAsia" w:ascii="Times New Roman" w:hAnsi="Times New Roman" w:eastAsia="仿宋" w:cs="Times New Roman"/>
          <w:sz w:val="32"/>
          <w:szCs w:val="32"/>
        </w:rPr>
        <w:t>、</w:t>
      </w:r>
      <w:r>
        <w:rPr>
          <w:rFonts w:hint="eastAsia" w:eastAsia="仿宋" w:cs="Times New Roman"/>
          <w:sz w:val="32"/>
          <w:szCs w:val="32"/>
          <w:lang w:val="en-US" w:eastAsia="zh-CN"/>
        </w:rPr>
        <w:t>计生特殊家庭慰问资金、劳务派遣人员费用、</w:t>
      </w:r>
      <w:r>
        <w:rPr>
          <w:rFonts w:hint="eastAsia" w:hAnsi="仿宋" w:eastAsia="仿宋" w:cs="仿宋" w:asciiTheme="minorAscii"/>
          <w:b w:val="0"/>
          <w:bCs/>
          <w:color w:val="000000"/>
          <w:sz w:val="32"/>
          <w:szCs w:val="32"/>
        </w:rPr>
        <w:t>省级计划生育服务补助资金</w:t>
      </w:r>
      <w:r>
        <w:rPr>
          <w:rFonts w:hint="eastAsia" w:ascii="Times New Roman" w:hAnsi="Times New Roman" w:eastAsia="仿宋" w:cs="Times New Roman"/>
          <w:sz w:val="32"/>
          <w:szCs w:val="32"/>
        </w:rPr>
        <w:t>；其他支出无增减变化。</w:t>
      </w:r>
    </w:p>
    <w:p>
      <w:pPr>
        <w:spacing w:before="0" w:after="0" w:line="500" w:lineRule="exact"/>
        <w:ind w:firstLine="560"/>
        <w:jc w:val="left"/>
        <w:outlineLvl w:val="9"/>
        <w:rPr>
          <w:rFonts w:ascii="Times New Roman" w:hAnsi="Times New Roman" w:eastAsia="方正仿宋_GBK" w:cs="Times New Roman"/>
          <w:b w:val="0"/>
          <w:color w:val="000000"/>
          <w:sz w:val="28"/>
        </w:rPr>
      </w:pPr>
    </w:p>
    <w:p>
      <w:pPr>
        <w:pStyle w:val="34"/>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ilvl w:val="0"/>
          <w:numId w:val="0"/>
        </w:numPr>
        <w:spacing w:before="10" w:after="10" w:line="240" w:lineRule="auto"/>
        <w:jc w:val="left"/>
        <w:outlineLvl w:val="5"/>
        <w:rPr>
          <w:rFonts w:ascii="黑体" w:hAnsi="黑体" w:eastAsia="黑体" w:cs="黑体"/>
          <w:color w:val="000000"/>
          <w:sz w:val="32"/>
        </w:rPr>
      </w:pPr>
    </w:p>
    <w:p>
      <w:pPr>
        <w:spacing w:line="460" w:lineRule="exact"/>
        <w:ind w:left="638" w:leftChars="266"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16.77</w:t>
      </w:r>
      <w:r>
        <w:rPr>
          <w:rFonts w:hint="eastAsia" w:ascii="Times New Roman" w:hAnsi="Times New Roman" w:eastAsia="仿宋" w:cs="Times New Roman"/>
          <w:sz w:val="32"/>
          <w:szCs w:val="32"/>
        </w:rPr>
        <w:t>万元，主要用于保证机关正常运转的办公及印刷费、邮电费、差旅费、福利费及一般设备购置费、日常维修费等支出。</w:t>
      </w:r>
    </w:p>
    <w:p>
      <w:pPr>
        <w:pStyle w:val="35"/>
        <w:ind w:left="0" w:leftChars="0" w:firstLine="0" w:firstLineChars="0"/>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spacing w:line="460" w:lineRule="exact"/>
        <w:ind w:left="638" w:leftChars="266"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w:t>
      </w:r>
      <w:bookmarkStart w:id="1" w:name="_GoBack"/>
      <w:bookmarkEnd w:id="1"/>
      <w:r>
        <w:rPr>
          <w:rFonts w:hint="eastAsia" w:ascii="Times New Roman" w:hAnsi="Times New Roman" w:eastAsia="仿宋" w:cs="Times New Roman"/>
          <w:sz w:val="32"/>
          <w:szCs w:val="32"/>
        </w:rPr>
        <w:t>经费与上年持平，无增减变化。</w:t>
      </w:r>
    </w:p>
    <w:p>
      <w:pPr>
        <w:numPr>
          <w:ilvl w:val="0"/>
          <w:numId w:val="0"/>
        </w:numPr>
        <w:spacing w:before="10" w:after="10" w:line="240" w:lineRule="auto"/>
        <w:ind w:left="640" w:leftChars="0"/>
        <w:jc w:val="left"/>
        <w:outlineLvl w:val="5"/>
        <w:rPr>
          <w:rFonts w:ascii="黑体" w:hAnsi="黑体" w:eastAsia="黑体" w:cs="黑体"/>
          <w:color w:val="000000"/>
          <w:sz w:val="32"/>
        </w:rPr>
      </w:pPr>
    </w:p>
    <w:p>
      <w:pPr>
        <w:pStyle w:val="36"/>
      </w:pPr>
    </w:p>
    <w:p>
      <w:pPr>
        <w:spacing w:before="10" w:after="10" w:line="240" w:lineRule="auto"/>
        <w:ind w:firstLine="640"/>
        <w:jc w:val="left"/>
        <w:outlineLvl w:val="5"/>
      </w:pPr>
      <w:r>
        <w:rPr>
          <w:rFonts w:ascii="黑体" w:hAnsi="黑体" w:eastAsia="黑体" w:cs="黑体"/>
          <w:color w:val="000000"/>
          <w:sz w:val="32"/>
        </w:rPr>
        <w:t>五、预算绩效信息</w:t>
      </w:r>
    </w:p>
    <w:p>
      <w:pPr>
        <w:pStyle w:val="28"/>
        <w:spacing w:before="0" w:after="0"/>
        <w:ind w:firstLine="560"/>
        <w:jc w:val="left"/>
        <w:outlineLvl w:val="9"/>
      </w:pPr>
      <w:r>
        <w:rPr>
          <w:rFonts w:ascii="方正仿宋_GBK" w:hAnsi="方正仿宋_GBK" w:eastAsia="方正仿宋_GBK" w:cs="方正仿宋_GBK"/>
          <w:b/>
          <w:color w:val="000000"/>
          <w:sz w:val="28"/>
        </w:rPr>
        <w:t>1、计生特殊家庭慰问资金绩效目标表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1.实施计划生育特困家庭帮扶制度，对计划生育家庭进行节日活动慰问和亲情关爱,实施计生特殊家庭亲情关爱，精神慰藉紧急救助等重大传统节日慰问走访活动。保障和改善民生，促进社会和谐稳定。</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符合条件的计划生育特困家庭数量</w:t>
            </w:r>
          </w:p>
        </w:tc>
        <w:tc>
          <w:tcPr>
            <w:tcW w:w="2466" w:type="dxa"/>
            <w:vAlign w:val="center"/>
          </w:tcPr>
          <w:p>
            <w:pPr>
              <w:pStyle w:val="30"/>
            </w:pPr>
            <w:r>
              <w:t>符合条件的计划生育特困家庭数量由经相关部门审批通过。</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辖区内符合条件申报对象全覆盖，在重大节日及时慰问</w:t>
            </w:r>
          </w:p>
        </w:tc>
        <w:tc>
          <w:tcPr>
            <w:tcW w:w="2466" w:type="dxa"/>
            <w:vAlign w:val="center"/>
          </w:tcPr>
          <w:p>
            <w:pPr>
              <w:pStyle w:val="30"/>
            </w:pPr>
            <w:r>
              <w:t>辖区内符合条件申报对象全覆盖，在重大节日及时慰问和亲情关爱</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在传统节日走访慰问帮助解决实际困难。</w:t>
            </w:r>
          </w:p>
        </w:tc>
        <w:tc>
          <w:tcPr>
            <w:tcW w:w="2466" w:type="dxa"/>
            <w:vAlign w:val="center"/>
          </w:tcPr>
          <w:p>
            <w:pPr>
              <w:pStyle w:val="30"/>
            </w:pPr>
            <w:r>
              <w:t>对计划生育家庭进行节日活动慰问和亲情关爱,保障和改善民生，促进社会和谐稳定。</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开展计划生育特殊家庭“暖心行动”在传统节日端午，中秋，重阳，春节等重要节日开展走访慰问，帮助解决实际困难，给予生活照顾和精神上的慰藉。标准1100元*78户</w:t>
            </w:r>
          </w:p>
        </w:tc>
        <w:tc>
          <w:tcPr>
            <w:tcW w:w="2466" w:type="dxa"/>
            <w:vAlign w:val="center"/>
          </w:tcPr>
          <w:p>
            <w:pPr>
              <w:pStyle w:val="30"/>
            </w:pPr>
            <w:r>
              <w:t>开展计划生育特殊家庭“暖心行动”在传统节日端午，中秋，重阳，春节等重要节日开展走访慰问，帮助解决实际困难，给予生活照顾和精神上的慰藉。标准1100元*78户</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可持续影响指标</w:t>
            </w:r>
          </w:p>
        </w:tc>
        <w:tc>
          <w:tcPr>
            <w:tcW w:w="2466" w:type="dxa"/>
            <w:vAlign w:val="center"/>
          </w:tcPr>
          <w:p>
            <w:pPr>
              <w:pStyle w:val="30"/>
            </w:pPr>
            <w:r>
              <w:t>保障和改善民生，促进社会和谐稳定。</w:t>
            </w:r>
          </w:p>
        </w:tc>
        <w:tc>
          <w:tcPr>
            <w:tcW w:w="2466" w:type="dxa"/>
            <w:vAlign w:val="center"/>
          </w:tcPr>
          <w:p>
            <w:pPr>
              <w:pStyle w:val="30"/>
            </w:pPr>
            <w:r>
              <w:t>保障和改善民生，促进社会和谐稳定。</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辖区内符合条件申报对象全覆盖，在重大节日及时慰问，帮扶的计生特殊家庭的满意度</w:t>
            </w:r>
          </w:p>
        </w:tc>
        <w:tc>
          <w:tcPr>
            <w:tcW w:w="2466" w:type="dxa"/>
            <w:vAlign w:val="center"/>
          </w:tcPr>
          <w:p>
            <w:pPr>
              <w:pStyle w:val="30"/>
            </w:pPr>
            <w:r>
              <w:t>辖区内符合条件申报对象全覆盖，在重大节日及时慰问，帮扶的计生特殊家庭的满意度</w:t>
            </w:r>
          </w:p>
        </w:tc>
        <w:tc>
          <w:tcPr>
            <w:tcW w:w="2466" w:type="dxa"/>
            <w:vAlign w:val="center"/>
          </w:tcPr>
          <w:p>
            <w:pPr>
              <w:pStyle w:val="30"/>
            </w:pPr>
            <w:r>
              <w:t>≥95%</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2、计生协宣传服务专项经费绩效目标表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1.为进一步发挥计生协生力军的作用，重点开展一系列宣传活动，实施“天使圆梦”助学活动。</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为进一步发挥计生协生力军的作用，重点开展一系列宣传活动，实施“天使圆梦”助学活动。符合“天使圆梦”活动救助女孩的人数</w:t>
            </w:r>
          </w:p>
        </w:tc>
        <w:tc>
          <w:tcPr>
            <w:tcW w:w="2466" w:type="dxa"/>
            <w:vAlign w:val="center"/>
          </w:tcPr>
          <w:p>
            <w:pPr>
              <w:pStyle w:val="30"/>
            </w:pPr>
            <w:r>
              <w:t>利用“5.29”“7.11”“12.1”等活动日扩大计生宣传，积极为计生困难家庭考入“985”“211”高校的女孩争取支持，逐步完善藁城区“天使圆梦”活动。</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宣传活动日的宣传活动，核实符合“天使圆梦”活动救助女孩的人数</w:t>
            </w:r>
          </w:p>
        </w:tc>
        <w:tc>
          <w:tcPr>
            <w:tcW w:w="2466" w:type="dxa"/>
            <w:vAlign w:val="center"/>
          </w:tcPr>
          <w:p>
            <w:pPr>
              <w:pStyle w:val="30"/>
            </w:pPr>
            <w:r>
              <w:t>宣传活动日的宣传活动，核实符合“天使圆梦”活动救助女孩的人数</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扩大计生宣传，及时助贫困女孩顺利进入大学</w:t>
            </w:r>
          </w:p>
        </w:tc>
        <w:tc>
          <w:tcPr>
            <w:tcW w:w="2466" w:type="dxa"/>
            <w:vAlign w:val="center"/>
          </w:tcPr>
          <w:p>
            <w:pPr>
              <w:pStyle w:val="30"/>
            </w:pPr>
            <w:r>
              <w:t>扩大计生宣传，及时助贫困女孩顺利进入大学</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“天使圆梦”活动。救助金1000元/人</w:t>
            </w:r>
          </w:p>
        </w:tc>
        <w:tc>
          <w:tcPr>
            <w:tcW w:w="2466" w:type="dxa"/>
            <w:vAlign w:val="center"/>
          </w:tcPr>
          <w:p>
            <w:pPr>
              <w:pStyle w:val="30"/>
            </w:pPr>
            <w:r>
              <w:t>“天使圆梦”活动。救助金1000元/人</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可持续影响指标</w:t>
            </w:r>
          </w:p>
        </w:tc>
        <w:tc>
          <w:tcPr>
            <w:tcW w:w="2466" w:type="dxa"/>
            <w:vAlign w:val="center"/>
          </w:tcPr>
          <w:p>
            <w:pPr>
              <w:pStyle w:val="30"/>
            </w:pPr>
            <w:r>
              <w:t>利用“5.29”“7.11”“12.1”等活动日扩大计生宣传，积极为计生困难家庭考入“985”“211”高校的女孩争取支持，逐步完善藁城区“天使圆梦”活动。</w:t>
            </w:r>
          </w:p>
        </w:tc>
        <w:tc>
          <w:tcPr>
            <w:tcW w:w="2466" w:type="dxa"/>
            <w:vAlign w:val="center"/>
          </w:tcPr>
          <w:p>
            <w:pPr>
              <w:pStyle w:val="30"/>
            </w:pPr>
            <w:r>
              <w:t>利用“5.29”“7.11”“12.1”等活动日扩大计生宣传，积极为计生困难家庭考入“985”“211”高校的女孩争取支持，逐步完善藁城区“天使圆梦”活动。</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通过宣传增大群众的知晓率。辖区内符合条件的女孩人数</w:t>
            </w:r>
          </w:p>
        </w:tc>
        <w:tc>
          <w:tcPr>
            <w:tcW w:w="2466" w:type="dxa"/>
            <w:vAlign w:val="center"/>
          </w:tcPr>
          <w:p>
            <w:pPr>
              <w:pStyle w:val="30"/>
            </w:pPr>
            <w:r>
              <w:t>服务人群的满意，认可度</w:t>
            </w:r>
          </w:p>
        </w:tc>
        <w:tc>
          <w:tcPr>
            <w:tcW w:w="2466" w:type="dxa"/>
            <w:vAlign w:val="center"/>
          </w:tcPr>
          <w:p>
            <w:pPr>
              <w:pStyle w:val="30"/>
            </w:pPr>
            <w:r>
              <w:t>≥95%</w:t>
            </w:r>
          </w:p>
        </w:tc>
        <w:tc>
          <w:tcPr>
            <w:tcW w:w="2466" w:type="dxa"/>
            <w:vAlign w:val="center"/>
          </w:tcPr>
          <w:p>
            <w:pPr>
              <w:pStyle w:val="30"/>
            </w:pPr>
            <w:r>
              <w:t>实际情况</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3、劳务派遣工作人员费用绩效目标表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1.加强计生协队伍建设，提高工作效率</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根据工作需要招聘一名劳务派遣人员</w:t>
            </w:r>
          </w:p>
        </w:tc>
        <w:tc>
          <w:tcPr>
            <w:tcW w:w="2466" w:type="dxa"/>
            <w:vAlign w:val="center"/>
          </w:tcPr>
          <w:p>
            <w:pPr>
              <w:pStyle w:val="30"/>
            </w:pPr>
            <w:r>
              <w:t>根据工作需要招聘一名劳务派遣人员</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及时支付工作人员工资</w:t>
            </w:r>
          </w:p>
        </w:tc>
        <w:tc>
          <w:tcPr>
            <w:tcW w:w="2466" w:type="dxa"/>
            <w:vAlign w:val="center"/>
          </w:tcPr>
          <w:p>
            <w:pPr>
              <w:pStyle w:val="30"/>
            </w:pPr>
            <w:r>
              <w:t>及时支付工作人员工资</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加强计生协队伍建设，提高工作效率</w:t>
            </w:r>
          </w:p>
        </w:tc>
        <w:tc>
          <w:tcPr>
            <w:tcW w:w="2466" w:type="dxa"/>
            <w:vAlign w:val="center"/>
          </w:tcPr>
          <w:p>
            <w:pPr>
              <w:pStyle w:val="30"/>
            </w:pPr>
            <w:r>
              <w:t>加强计生协队伍建设，提高工作效率</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按照文件标准发放工资</w:t>
            </w:r>
          </w:p>
        </w:tc>
        <w:tc>
          <w:tcPr>
            <w:tcW w:w="2466" w:type="dxa"/>
            <w:vAlign w:val="center"/>
          </w:tcPr>
          <w:p>
            <w:pPr>
              <w:pStyle w:val="30"/>
            </w:pPr>
            <w:r>
              <w:t>按照文件标准发放工资</w:t>
            </w:r>
          </w:p>
        </w:tc>
        <w:tc>
          <w:tcPr>
            <w:tcW w:w="2466" w:type="dxa"/>
            <w:vAlign w:val="center"/>
          </w:tcPr>
          <w:p>
            <w:pPr>
              <w:pStyle w:val="30"/>
            </w:pPr>
            <w:r>
              <w:t>2850元/月</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为进一步增强计生协能力建设，通过购买社会服务的形式，通过劳务公司招录相关人员</w:t>
            </w:r>
          </w:p>
        </w:tc>
        <w:tc>
          <w:tcPr>
            <w:tcW w:w="2466" w:type="dxa"/>
            <w:vAlign w:val="center"/>
          </w:tcPr>
          <w:p>
            <w:pPr>
              <w:pStyle w:val="30"/>
            </w:pPr>
            <w:r>
              <w:t>为进一步增强计生协能力建设，通过购买社会服务的形式，通过劳务公司招录相关人员</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劳务派遣人员的满意度</w:t>
            </w:r>
          </w:p>
        </w:tc>
        <w:tc>
          <w:tcPr>
            <w:tcW w:w="2466" w:type="dxa"/>
            <w:vAlign w:val="center"/>
          </w:tcPr>
          <w:p>
            <w:pPr>
              <w:pStyle w:val="30"/>
            </w:pPr>
            <w:r>
              <w:t>劳务派遣人员的满意度，工作积极性</w:t>
            </w:r>
          </w:p>
        </w:tc>
        <w:tc>
          <w:tcPr>
            <w:tcW w:w="2466" w:type="dxa"/>
            <w:vAlign w:val="center"/>
          </w:tcPr>
          <w:p>
            <w:pPr>
              <w:pStyle w:val="30"/>
            </w:pPr>
            <w:r>
              <w:t>≥95%</w:t>
            </w:r>
          </w:p>
        </w:tc>
        <w:tc>
          <w:tcPr>
            <w:tcW w:w="2466" w:type="dxa"/>
            <w:vAlign w:val="center"/>
          </w:tcPr>
          <w:p>
            <w:pPr>
              <w:pStyle w:val="30"/>
            </w:pPr>
            <w:r>
              <w:t>实际情况</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4、农村独生子女家庭意外伤害保险绩效目标表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1.农村18-19周以内的独生子女家庭意外伤害保险</w:t>
            </w:r>
          </w:p>
          <w:p>
            <w:pPr>
              <w:pStyle w:val="30"/>
            </w:pPr>
            <w:r>
              <w:t>2.为了增强计生家庭抵御意外伤害能力，通过保险机制的经济补偿功能，为计生农村独生子女家庭，城镇低保户家庭，孤儿，失独家庭意赠送一份计划生育家庭意外伤害保险，让计生家庭得到保障。以较低的保费，较全较高的保额，最大限度地维护计划生育家庭的利益</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农村独生子女18-19周家庭，城镇低保户家庭，孤儿，失独家庭的数量</w:t>
            </w:r>
          </w:p>
        </w:tc>
        <w:tc>
          <w:tcPr>
            <w:tcW w:w="2466" w:type="dxa"/>
            <w:vAlign w:val="center"/>
          </w:tcPr>
          <w:p>
            <w:pPr>
              <w:pStyle w:val="30"/>
            </w:pPr>
            <w:r>
              <w:t>准确核实符合条件申报条件的家庭奖数量</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家庭意外伤害险的投保的及时率和赔付及时率</w:t>
            </w:r>
          </w:p>
        </w:tc>
        <w:tc>
          <w:tcPr>
            <w:tcW w:w="2466" w:type="dxa"/>
            <w:vAlign w:val="center"/>
          </w:tcPr>
          <w:p>
            <w:pPr>
              <w:pStyle w:val="30"/>
            </w:pPr>
            <w:r>
              <w:t>对计生家庭及时投保及时赔付</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保险期限为一年</w:t>
            </w:r>
          </w:p>
        </w:tc>
        <w:tc>
          <w:tcPr>
            <w:tcW w:w="2466" w:type="dxa"/>
            <w:vAlign w:val="center"/>
          </w:tcPr>
          <w:p>
            <w:pPr>
              <w:pStyle w:val="30"/>
            </w:pPr>
            <w:r>
              <w:t>家庭意外伤害险的有效期限为一年</w:t>
            </w:r>
          </w:p>
        </w:tc>
        <w:tc>
          <w:tcPr>
            <w:tcW w:w="2466" w:type="dxa"/>
            <w:vAlign w:val="center"/>
          </w:tcPr>
          <w:p>
            <w:pPr>
              <w:pStyle w:val="30"/>
            </w:pPr>
            <w:r>
              <w:t>1年</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保额为30元/户</w:t>
            </w:r>
          </w:p>
        </w:tc>
        <w:tc>
          <w:tcPr>
            <w:tcW w:w="2466" w:type="dxa"/>
            <w:vAlign w:val="center"/>
          </w:tcPr>
          <w:p>
            <w:pPr>
              <w:pStyle w:val="30"/>
            </w:pPr>
            <w:r>
              <w:t>家庭意外伤害险的保费为30元/户</w:t>
            </w:r>
          </w:p>
        </w:tc>
        <w:tc>
          <w:tcPr>
            <w:tcW w:w="2466" w:type="dxa"/>
            <w:vAlign w:val="center"/>
          </w:tcPr>
          <w:p>
            <w:pPr>
              <w:pStyle w:val="30"/>
            </w:pPr>
            <w:r>
              <w:t>30元/户</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可持续影响指标</w:t>
            </w:r>
          </w:p>
        </w:tc>
        <w:tc>
          <w:tcPr>
            <w:tcW w:w="2466" w:type="dxa"/>
            <w:vAlign w:val="center"/>
          </w:tcPr>
          <w:p>
            <w:pPr>
              <w:pStyle w:val="30"/>
            </w:pPr>
            <w:r>
              <w:t>为了增强计生家庭抵御意外伤害能力，最大限度地维护计划生育家庭的利益</w:t>
            </w:r>
          </w:p>
        </w:tc>
        <w:tc>
          <w:tcPr>
            <w:tcW w:w="2466" w:type="dxa"/>
            <w:vAlign w:val="center"/>
          </w:tcPr>
          <w:p>
            <w:pPr>
              <w:pStyle w:val="30"/>
            </w:pPr>
            <w:r>
              <w:t>以较低的保费，较全较高的保额，最大限度地维护计划生育家庭的利益</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计生农村独生子女家庭，城镇低保户家庭，孤儿，失独家庭</w:t>
            </w:r>
          </w:p>
        </w:tc>
        <w:tc>
          <w:tcPr>
            <w:tcW w:w="2466" w:type="dxa"/>
            <w:vAlign w:val="center"/>
          </w:tcPr>
          <w:p>
            <w:pPr>
              <w:pStyle w:val="30"/>
            </w:pPr>
            <w:r>
              <w:t>计生农村独生子女家庭，城镇低保户家庭，孤儿，失独家庭的满意度</w:t>
            </w:r>
          </w:p>
        </w:tc>
        <w:tc>
          <w:tcPr>
            <w:tcW w:w="2466" w:type="dxa"/>
            <w:vAlign w:val="center"/>
          </w:tcPr>
          <w:p>
            <w:pPr>
              <w:pStyle w:val="30"/>
            </w:pPr>
            <w:r>
              <w:t>≥95%</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5、亲情关爱救助基金绩效目标表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1.实施计划生育特困家庭帮扶制度，对计划生育家庭进行节日活动慰问和亲情关爱，给予计生失独家庭护工保险补贴,保障和改善民生，促进社会和谐稳定。</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计划生育特殊家庭户数及人数</w:t>
            </w:r>
          </w:p>
        </w:tc>
        <w:tc>
          <w:tcPr>
            <w:tcW w:w="2466" w:type="dxa"/>
            <w:vAlign w:val="center"/>
          </w:tcPr>
          <w:p>
            <w:pPr>
              <w:pStyle w:val="30"/>
            </w:pPr>
            <w:r>
              <w:t>符合申报条件的计划生育特殊家庭户数及人数</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符合条件申报对象的覆盖率</w:t>
            </w:r>
          </w:p>
        </w:tc>
        <w:tc>
          <w:tcPr>
            <w:tcW w:w="2466" w:type="dxa"/>
            <w:vAlign w:val="center"/>
          </w:tcPr>
          <w:p>
            <w:pPr>
              <w:pStyle w:val="30"/>
            </w:pPr>
            <w:r>
              <w:t>准确核实全区内符合申报条件的计划生育特殊家庭户数及人数</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帮扶兑现准确率和资金到位的及时率</w:t>
            </w:r>
          </w:p>
        </w:tc>
        <w:tc>
          <w:tcPr>
            <w:tcW w:w="2466" w:type="dxa"/>
            <w:vAlign w:val="center"/>
          </w:tcPr>
          <w:p>
            <w:pPr>
              <w:pStyle w:val="30"/>
            </w:pPr>
            <w:r>
              <w:t>实施计划生育特困家庭帮扶制度和亲情关爱，开展计生家庭保险工作，给予计生失独家庭护工保险补贴,</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农村计划生育特殊家庭护工保险的标准及亲情关爱</w:t>
            </w:r>
          </w:p>
        </w:tc>
        <w:tc>
          <w:tcPr>
            <w:tcW w:w="2466" w:type="dxa"/>
            <w:vAlign w:val="center"/>
          </w:tcPr>
          <w:p>
            <w:pPr>
              <w:pStyle w:val="30"/>
            </w:pPr>
            <w:r>
              <w:t>计生失独家庭护工保险补贴,保障特殊家庭成员在住院期间有人护理200元/户</w:t>
            </w:r>
          </w:p>
        </w:tc>
        <w:tc>
          <w:tcPr>
            <w:tcW w:w="2466" w:type="dxa"/>
            <w:vAlign w:val="center"/>
          </w:tcPr>
          <w:p>
            <w:pPr>
              <w:pStyle w:val="30"/>
            </w:pPr>
            <w:r>
              <w:t>200元/人</w:t>
            </w:r>
          </w:p>
        </w:tc>
        <w:tc>
          <w:tcPr>
            <w:tcW w:w="2466" w:type="dxa"/>
            <w:vAlign w:val="center"/>
          </w:tcPr>
          <w:p>
            <w:pPr>
              <w:pStyle w:val="30"/>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帮扶及关爱基金对帮扶对象生活困难，心情有所缓解</w:t>
            </w:r>
          </w:p>
        </w:tc>
        <w:tc>
          <w:tcPr>
            <w:tcW w:w="2466" w:type="dxa"/>
            <w:vAlign w:val="center"/>
          </w:tcPr>
          <w:p>
            <w:pPr>
              <w:pStyle w:val="30"/>
            </w:pPr>
            <w:r>
              <w:t>实施计划生育特困家庭帮扶制度和亲情关爱，开展计生家庭保险工作，给予计生失独家庭护工保险补贴,保障特殊家庭成员在住院期间有人护理，保障和改善民生，促进社会和谐稳定。</w:t>
            </w:r>
          </w:p>
        </w:tc>
        <w:tc>
          <w:tcPr>
            <w:tcW w:w="2466" w:type="dxa"/>
            <w:vAlign w:val="center"/>
          </w:tcPr>
          <w:p>
            <w:pPr>
              <w:pStyle w:val="30"/>
            </w:pPr>
            <w:r>
              <w:t>≥95%</w:t>
            </w:r>
          </w:p>
        </w:tc>
        <w:tc>
          <w:tcPr>
            <w:tcW w:w="2466"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奖励帮扶的计生特殊家庭的满意度</w:t>
            </w:r>
          </w:p>
        </w:tc>
        <w:tc>
          <w:tcPr>
            <w:tcW w:w="2466" w:type="dxa"/>
            <w:vAlign w:val="center"/>
          </w:tcPr>
          <w:p>
            <w:pPr>
              <w:pStyle w:val="30"/>
            </w:pPr>
            <w:r>
              <w:t>帮扶的计生特殊家庭对工作的认可</w:t>
            </w:r>
          </w:p>
        </w:tc>
        <w:tc>
          <w:tcPr>
            <w:tcW w:w="2466" w:type="dxa"/>
            <w:vAlign w:val="center"/>
          </w:tcPr>
          <w:p>
            <w:pPr>
              <w:pStyle w:val="30"/>
            </w:pPr>
            <w:r>
              <w:t>≥95%</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6、石财社[2021]118号关于提前下达2022年省级计划生育服务补助资金绩效目标表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1.优生优育指导中心服务情况，通过各项活动为目标人群服务。</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孕前健康培训及指导、优生优育讲座、孕期实操训练、家长课堂举办</w:t>
            </w:r>
          </w:p>
        </w:tc>
        <w:tc>
          <w:tcPr>
            <w:tcW w:w="2466" w:type="dxa"/>
            <w:vAlign w:val="center"/>
          </w:tcPr>
          <w:p>
            <w:pPr>
              <w:pStyle w:val="30"/>
            </w:pPr>
            <w:r>
              <w:t>6次</w:t>
            </w:r>
          </w:p>
        </w:tc>
        <w:tc>
          <w:tcPr>
            <w:tcW w:w="2466" w:type="dxa"/>
            <w:vAlign w:val="center"/>
          </w:tcPr>
          <w:p>
            <w:pPr>
              <w:pStyle w:val="30"/>
            </w:pPr>
            <w:r>
              <w:t>6次/年</w:t>
            </w:r>
          </w:p>
        </w:tc>
        <w:tc>
          <w:tcPr>
            <w:tcW w:w="2466" w:type="dxa"/>
            <w:vAlign w:val="center"/>
          </w:tcPr>
          <w:p>
            <w:pPr>
              <w:pStyle w:val="30"/>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家长课堂、亲子活动、家长经验交流会</w:t>
            </w:r>
          </w:p>
        </w:tc>
        <w:tc>
          <w:tcPr>
            <w:tcW w:w="2466" w:type="dxa"/>
            <w:vAlign w:val="center"/>
          </w:tcPr>
          <w:p>
            <w:pPr>
              <w:pStyle w:val="30"/>
            </w:pPr>
            <w:r>
              <w:t>提高广大家庭科学育儿的意识率</w:t>
            </w:r>
          </w:p>
        </w:tc>
        <w:tc>
          <w:tcPr>
            <w:tcW w:w="2466" w:type="dxa"/>
            <w:vAlign w:val="center"/>
          </w:tcPr>
          <w:p>
            <w:pPr>
              <w:pStyle w:val="30"/>
            </w:pPr>
            <w:r>
              <w:t>≥95%</w:t>
            </w:r>
          </w:p>
        </w:tc>
        <w:tc>
          <w:tcPr>
            <w:tcW w:w="2466" w:type="dxa"/>
            <w:vAlign w:val="center"/>
          </w:tcPr>
          <w:p>
            <w:pPr>
              <w:pStyle w:val="30"/>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优生优育指导中心服务情况</w:t>
            </w:r>
          </w:p>
        </w:tc>
        <w:tc>
          <w:tcPr>
            <w:tcW w:w="2466" w:type="dxa"/>
            <w:vAlign w:val="center"/>
          </w:tcPr>
          <w:p>
            <w:pPr>
              <w:pStyle w:val="30"/>
            </w:pPr>
            <w:r>
              <w:t>优生优育指导中心服务率</w:t>
            </w:r>
          </w:p>
        </w:tc>
        <w:tc>
          <w:tcPr>
            <w:tcW w:w="2466" w:type="dxa"/>
            <w:vAlign w:val="center"/>
          </w:tcPr>
          <w:p>
            <w:pPr>
              <w:pStyle w:val="30"/>
            </w:pPr>
            <w:r>
              <w:t>≥95%</w:t>
            </w:r>
          </w:p>
        </w:tc>
        <w:tc>
          <w:tcPr>
            <w:tcW w:w="2466" w:type="dxa"/>
            <w:vAlign w:val="center"/>
          </w:tcPr>
          <w:p>
            <w:pPr>
              <w:pStyle w:val="30"/>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优生优育指导中心项目款</w:t>
            </w:r>
          </w:p>
        </w:tc>
        <w:tc>
          <w:tcPr>
            <w:tcW w:w="2466" w:type="dxa"/>
            <w:vAlign w:val="center"/>
          </w:tcPr>
          <w:p>
            <w:pPr>
              <w:pStyle w:val="30"/>
            </w:pPr>
            <w:r>
              <w:t>优生优育指导中心项目款</w:t>
            </w:r>
          </w:p>
        </w:tc>
        <w:tc>
          <w:tcPr>
            <w:tcW w:w="2466" w:type="dxa"/>
            <w:vAlign w:val="center"/>
          </w:tcPr>
          <w:p>
            <w:pPr>
              <w:pStyle w:val="30"/>
            </w:pPr>
            <w:r>
              <w:t>10万</w:t>
            </w:r>
          </w:p>
        </w:tc>
        <w:tc>
          <w:tcPr>
            <w:tcW w:w="2466" w:type="dxa"/>
            <w:vAlign w:val="center"/>
          </w:tcPr>
          <w:p>
            <w:pPr>
              <w:pStyle w:val="30"/>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优生优育指导中心微信公务平台</w:t>
            </w:r>
          </w:p>
        </w:tc>
        <w:tc>
          <w:tcPr>
            <w:tcW w:w="2466" w:type="dxa"/>
            <w:vAlign w:val="center"/>
          </w:tcPr>
          <w:p>
            <w:pPr>
              <w:pStyle w:val="30"/>
            </w:pPr>
            <w:r>
              <w:t>定期推送优生优育优教的知识学习率</w:t>
            </w:r>
          </w:p>
        </w:tc>
        <w:tc>
          <w:tcPr>
            <w:tcW w:w="2466" w:type="dxa"/>
            <w:vAlign w:val="center"/>
          </w:tcPr>
          <w:p>
            <w:pPr>
              <w:pStyle w:val="30"/>
            </w:pPr>
            <w:r>
              <w:t>≥95%</w:t>
            </w:r>
          </w:p>
        </w:tc>
        <w:tc>
          <w:tcPr>
            <w:tcW w:w="2466" w:type="dxa"/>
            <w:vAlign w:val="center"/>
          </w:tcPr>
          <w:p>
            <w:pPr>
              <w:pStyle w:val="30"/>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加强免费婚前医学检查宣传</w:t>
            </w:r>
          </w:p>
        </w:tc>
        <w:tc>
          <w:tcPr>
            <w:tcW w:w="2466" w:type="dxa"/>
            <w:vAlign w:val="center"/>
          </w:tcPr>
          <w:p>
            <w:pPr>
              <w:pStyle w:val="30"/>
            </w:pPr>
            <w:r>
              <w:t>加强免费婚前医学检查宣传率</w:t>
            </w:r>
          </w:p>
        </w:tc>
        <w:tc>
          <w:tcPr>
            <w:tcW w:w="2466" w:type="dxa"/>
            <w:vAlign w:val="center"/>
          </w:tcPr>
          <w:p>
            <w:pPr>
              <w:pStyle w:val="30"/>
            </w:pPr>
            <w:r>
              <w:t>≥95%</w:t>
            </w:r>
          </w:p>
        </w:tc>
        <w:tc>
          <w:tcPr>
            <w:tcW w:w="2466" w:type="dxa"/>
            <w:vAlign w:val="center"/>
          </w:tcPr>
          <w:p>
            <w:pPr>
              <w:pStyle w:val="30"/>
            </w:pPr>
            <w:r>
              <w:t>评估报告</w:t>
            </w:r>
          </w:p>
        </w:tc>
      </w:tr>
    </w:tbl>
    <w:p>
      <w:pPr>
        <w:pStyle w:val="28"/>
        <w:sectPr>
          <w:pgSz w:w="16840" w:h="11900" w:orient="landscape"/>
          <w:pgMar w:top="1361" w:right="1020" w:bottom="1361"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2022年，石家庄市藁城区计划生育协会本级安排政府采购预算0.85万元。具体内容见下表。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725001石家庄市藁城区计划生育协会本级</w:t>
            </w:r>
          </w:p>
        </w:tc>
        <w:tc>
          <w:tcPr>
            <w:tcW w:w="8316"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0.85</w:t>
            </w:r>
          </w:p>
        </w:tc>
        <w:tc>
          <w:tcPr>
            <w:tcW w:w="924" w:type="dxa"/>
            <w:vAlign w:val="center"/>
          </w:tcPr>
          <w:p>
            <w:pPr>
              <w:pStyle w:val="19"/>
            </w:pPr>
            <w:r>
              <w:t>0.85</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石家庄市藁城区计划生育协会本级小计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0.85</w:t>
            </w:r>
          </w:p>
        </w:tc>
        <w:tc>
          <w:tcPr>
            <w:tcW w:w="924" w:type="dxa"/>
            <w:vAlign w:val="center"/>
          </w:tcPr>
          <w:p>
            <w:pPr>
              <w:pStyle w:val="19"/>
            </w:pPr>
            <w:r>
              <w:t>0.85</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2022年日常公用经费</w:t>
            </w:r>
          </w:p>
        </w:tc>
        <w:tc>
          <w:tcPr>
            <w:tcW w:w="924" w:type="dxa"/>
            <w:vAlign w:val="center"/>
          </w:tcPr>
          <w:p>
            <w:pPr>
              <w:pStyle w:val="15"/>
            </w:pPr>
            <w:r>
              <w:t>16.77</w:t>
            </w:r>
          </w:p>
        </w:tc>
        <w:tc>
          <w:tcPr>
            <w:tcW w:w="924" w:type="dxa"/>
            <w:vAlign w:val="center"/>
          </w:tcPr>
          <w:p>
            <w:pPr>
              <w:pStyle w:val="16"/>
            </w:pPr>
            <w:r>
              <w:t>台式计算机</w:t>
            </w:r>
          </w:p>
        </w:tc>
        <w:tc>
          <w:tcPr>
            <w:tcW w:w="924" w:type="dxa"/>
            <w:vAlign w:val="center"/>
          </w:tcPr>
          <w:p>
            <w:pPr>
              <w:pStyle w:val="16"/>
            </w:pPr>
            <w:r>
              <w:t>A02010104</w:t>
            </w:r>
          </w:p>
        </w:tc>
        <w:tc>
          <w:tcPr>
            <w:tcW w:w="924" w:type="dxa"/>
            <w:vAlign w:val="center"/>
          </w:tcPr>
          <w:p>
            <w:pPr>
              <w:pStyle w:val="17"/>
            </w:pPr>
            <w:r>
              <w:t>台</w:t>
            </w:r>
          </w:p>
        </w:tc>
        <w:tc>
          <w:tcPr>
            <w:tcW w:w="924" w:type="dxa"/>
            <w:vAlign w:val="center"/>
          </w:tcPr>
          <w:p>
            <w:pPr>
              <w:pStyle w:val="15"/>
            </w:pPr>
            <w:r>
              <w:t>2</w:t>
            </w:r>
          </w:p>
        </w:tc>
        <w:tc>
          <w:tcPr>
            <w:tcW w:w="924" w:type="dxa"/>
            <w:vAlign w:val="center"/>
          </w:tcPr>
          <w:p>
            <w:pPr>
              <w:pStyle w:val="15"/>
            </w:pPr>
            <w:r>
              <w:t>0.35</w:t>
            </w:r>
          </w:p>
        </w:tc>
        <w:tc>
          <w:tcPr>
            <w:tcW w:w="924" w:type="dxa"/>
            <w:vAlign w:val="center"/>
          </w:tcPr>
          <w:p>
            <w:pPr>
              <w:pStyle w:val="15"/>
            </w:pPr>
            <w:r>
              <w:t>0.70</w:t>
            </w:r>
          </w:p>
        </w:tc>
        <w:tc>
          <w:tcPr>
            <w:tcW w:w="924" w:type="dxa"/>
            <w:vAlign w:val="center"/>
          </w:tcPr>
          <w:p>
            <w:pPr>
              <w:pStyle w:val="15"/>
            </w:pPr>
            <w:r>
              <w:t>0.70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2022年日常公用经费</w:t>
            </w:r>
          </w:p>
        </w:tc>
        <w:tc>
          <w:tcPr>
            <w:tcW w:w="924" w:type="dxa"/>
            <w:vAlign w:val="center"/>
          </w:tcPr>
          <w:p>
            <w:pPr>
              <w:pStyle w:val="15"/>
            </w:pPr>
            <w:r>
              <w:t>16.77</w:t>
            </w:r>
          </w:p>
        </w:tc>
        <w:tc>
          <w:tcPr>
            <w:tcW w:w="924" w:type="dxa"/>
            <w:vAlign w:val="center"/>
          </w:tcPr>
          <w:p>
            <w:pPr>
              <w:pStyle w:val="16"/>
            </w:pPr>
            <w:r>
              <w:t>激光打印机</w:t>
            </w:r>
          </w:p>
        </w:tc>
        <w:tc>
          <w:tcPr>
            <w:tcW w:w="924" w:type="dxa"/>
            <w:vAlign w:val="center"/>
          </w:tcPr>
          <w:p>
            <w:pPr>
              <w:pStyle w:val="16"/>
            </w:pPr>
            <w:r>
              <w:t>A0201060102</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0.15</w:t>
            </w:r>
          </w:p>
        </w:tc>
        <w:tc>
          <w:tcPr>
            <w:tcW w:w="924" w:type="dxa"/>
            <w:vAlign w:val="center"/>
          </w:tcPr>
          <w:p>
            <w:pPr>
              <w:pStyle w:val="15"/>
            </w:pPr>
            <w:r>
              <w:t>0.15</w:t>
            </w:r>
          </w:p>
        </w:tc>
        <w:tc>
          <w:tcPr>
            <w:tcW w:w="924" w:type="dxa"/>
            <w:vAlign w:val="center"/>
          </w:tcPr>
          <w:p>
            <w:pPr>
              <w:pStyle w:val="15"/>
            </w:pPr>
            <w:r>
              <w:t>0.15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line="240" w:lineRule="auto"/>
        <w:ind w:firstLine="640"/>
        <w:jc w:val="left"/>
        <w:outlineLvl w:val="2"/>
        <w:rPr>
          <w:rFonts w:ascii="黑体" w:hAnsi="黑体" w:eastAsia="黑体" w:cs="黑体"/>
          <w:color w:val="000000"/>
          <w:sz w:val="32"/>
          <w:lang w:val="uk-UA"/>
        </w:rPr>
      </w:pPr>
      <w:r>
        <w:rPr>
          <w:rFonts w:ascii="Times New Roman" w:hAnsi="Times New Roman" w:eastAsia="方正仿宋_GBK" w:cs="Times New Roman"/>
          <w:color w:val="000000"/>
          <w:sz w:val="32"/>
        </w:rPr>
        <w:t xml:space="preserve"> </w:t>
      </w:r>
      <w:r>
        <w:rPr>
          <w:rFonts w:hint="eastAsia" w:ascii="黑体" w:hAnsi="黑体" w:eastAsia="黑体" w:cs="黑体"/>
          <w:color w:val="000000"/>
          <w:sz w:val="32"/>
          <w:lang w:val="uk-UA"/>
        </w:rPr>
        <w:t xml:space="preserve">七、国有资产信息 </w:t>
      </w:r>
    </w:p>
    <w:p>
      <w:pPr>
        <w:spacing w:before="10" w:after="10" w:line="240" w:lineRule="auto"/>
        <w:ind w:firstLine="640"/>
        <w:jc w:val="left"/>
        <w:outlineLvl w:val="5"/>
      </w:pP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石家庄市藁城区计划生育协会（含所属单位）上年末固定资产金额为1</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36万元（详见下表）。本年度拟购置固定资产总额为</w:t>
      </w:r>
      <w:r>
        <w:rPr>
          <w:rFonts w:hint="eastAsia" w:eastAsia="方正仿宋_GBK" w:cs="Times New Roman"/>
          <w:b w:val="0"/>
          <w:color w:val="000000"/>
          <w:sz w:val="28"/>
          <w:lang w:val="en-US" w:eastAsia="zh-CN"/>
        </w:rPr>
        <w:t>0.85</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val="en-US" w:eastAsia="zh-CN"/>
        </w:rPr>
        <w:t>主要为计算机。</w:t>
      </w:r>
    </w:p>
    <w:p>
      <w:pPr>
        <w:spacing w:before="0" w:after="0" w:line="500" w:lineRule="exact"/>
        <w:ind w:firstLine="560"/>
        <w:jc w:val="left"/>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725001石家庄市藁城区计划生育协会本级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1</w:t>
            </w:r>
            <w:r>
              <w:rPr>
                <w:rFonts w:hint="eastAsia"/>
                <w:lang w:val="en-US" w:eastAsia="zh-CN"/>
              </w:rPr>
              <w:t>.</w:t>
            </w:r>
            <w:r>
              <w:t>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r>
              <w:t>1</w:t>
            </w:r>
            <w:r>
              <w:rPr>
                <w:rFonts w:hint="eastAsia"/>
                <w:lang w:val="en-US" w:eastAsia="zh-CN"/>
              </w:rPr>
              <w:t>.</w:t>
            </w:r>
            <w:r>
              <w:t>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EB9E97"/>
    <w:multiLevelType w:val="singleLevel"/>
    <w:tmpl w:val="31EB9E9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FiNDcwZGI1NDk4YzQ5N2Q4MTkzMzZiMDRjYjlkOWQifQ=="/>
  </w:docVars>
  <w:rsids>
    <w:rsidRoot w:val="00000000"/>
    <w:rsid w:val="026B44D4"/>
    <w:rsid w:val="0A794981"/>
    <w:rsid w:val="1420610C"/>
    <w:rsid w:val="162E0AC3"/>
    <w:rsid w:val="17E72CD8"/>
    <w:rsid w:val="1A0F26D6"/>
    <w:rsid w:val="1D640B78"/>
    <w:rsid w:val="2BDB4DA6"/>
    <w:rsid w:val="2CD91AB0"/>
    <w:rsid w:val="37DE3CD8"/>
    <w:rsid w:val="38E02C52"/>
    <w:rsid w:val="3A9A07FD"/>
    <w:rsid w:val="3B904642"/>
    <w:rsid w:val="411C56DF"/>
    <w:rsid w:val="44E41A8F"/>
    <w:rsid w:val="4B453774"/>
    <w:rsid w:val="4DC1579E"/>
    <w:rsid w:val="53EF0D36"/>
    <w:rsid w:val="542B70CA"/>
    <w:rsid w:val="55C102C9"/>
    <w:rsid w:val="5A121D24"/>
    <w:rsid w:val="5E916EDE"/>
    <w:rsid w:val="5FD95878"/>
    <w:rsid w:val="69D4126F"/>
    <w:rsid w:val="6B8A580E"/>
    <w:rsid w:val="6CEB222C"/>
    <w:rsid w:val="715C7408"/>
    <w:rsid w:val="71F31B1A"/>
    <w:rsid w:val="730237E5"/>
    <w:rsid w:val="78943606"/>
    <w:rsid w:val="7F874AD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autoRedefine/>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Normal_1c2c5ea8-c065-4fd0-b616-04d8f72d7301"/>
    <w:autoRedefine/>
    <w:qFormat/>
    <w:uiPriority w:val="0"/>
    <w:rPr>
      <w:rFonts w:ascii="Times New Roman" w:hAnsi="Times New Roman" w:eastAsia="Times New Roman" w:cstheme="minorBidi"/>
      <w:sz w:val="24"/>
      <w:szCs w:val="24"/>
      <w:lang w:val="en-US" w:eastAsia="uk-UA" w:bidi="ar-SA"/>
    </w:rPr>
  </w:style>
  <w:style w:type="paragraph" w:customStyle="1" w:styleId="29">
    <w:name w:val="单元格样式1_aa90e4dc-b090-4bc7-8726-1ac9dab72464"/>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30">
    <w:name w:val="单元格样式2_8ef3571b-74b7-4889-8200-5b762ebee957"/>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1">
    <w:name w:val="单元格样式3_36be73ca-f0ec-46b3-ab95-8190289c5d3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2">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3">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6">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2022-02-14T17:48:29Z</dcterms:created>
  <dcterms:modified xsi:type="dcterms:W3CDTF">2022-02-14T09:48:29Z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2022-02-14T17:48:26Z</dcterms:created>
  <dcterms:modified xsi:type="dcterms:W3CDTF">2022-02-14T09:48:26Z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2022-02-14T17:48:22Z</dcterms:created>
  <dcterms:modified xsi:type="dcterms:W3CDTF">2022-02-14T09:48:22Z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2022-02-14T17:48:19Z</dcterms:created>
  <dcterms:modified xsi:type="dcterms:W3CDTF">2022-02-14T09:48:19Z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d2714fd-8f4a-442b-8ee1-09dd6175ade8}">
  <ds:schemaRefs/>
</ds:datastoreItem>
</file>

<file path=customXml/itemProps3.xml><?xml version="1.0" encoding="utf-8"?>
<ds:datastoreItem xmlns:ds="http://schemas.openxmlformats.org/officeDocument/2006/customXml" ds:itemID="{67e57d5c-c7f6-47c5-becd-ad6e59e4cd32}">
  <ds:schemaRefs/>
</ds:datastoreItem>
</file>

<file path=customXml/itemProps4.xml><?xml version="1.0" encoding="utf-8"?>
<ds:datastoreItem xmlns:ds="http://schemas.openxmlformats.org/officeDocument/2006/customXml" ds:itemID="{9662dce9-8174-4b83-ad25-c6e121f8bfb7}">
  <ds:schemaRefs/>
</ds:datastoreItem>
</file>

<file path=customXml/itemProps5.xml><?xml version="1.0" encoding="utf-8"?>
<ds:datastoreItem xmlns:ds="http://schemas.openxmlformats.org/officeDocument/2006/customXml" ds:itemID="{73b0c6d6-7a7f-464f-b091-065c9053e81c}">
  <ds:schemaRefs/>
</ds:datastoreItem>
</file>

<file path=customXml/itemProps6.xml><?xml version="1.0" encoding="utf-8"?>
<ds:datastoreItem xmlns:ds="http://schemas.openxmlformats.org/officeDocument/2006/customXml" ds:itemID="{997ac568-2ac6-46e4-8c61-16db22a32e56}">
  <ds:schemaRefs/>
</ds:datastoreItem>
</file>

<file path=customXml/itemProps7.xml><?xml version="1.0" encoding="utf-8"?>
<ds:datastoreItem xmlns:ds="http://schemas.openxmlformats.org/officeDocument/2006/customXml" ds:itemID="{275ffc34-d361-45af-8c2f-390533897bee}">
  <ds:schemaRefs/>
</ds:datastoreItem>
</file>

<file path=customXml/itemProps8.xml><?xml version="1.0" encoding="utf-8"?>
<ds:datastoreItem xmlns:ds="http://schemas.openxmlformats.org/officeDocument/2006/customXml" ds:itemID="{09145f17-b6e2-4f54-9d78-b0b755f2c1ac}">
  <ds:schemaRefs/>
</ds:datastoreItem>
</file>

<file path=customXml/itemProps9.xml><?xml version="1.0" encoding="utf-8"?>
<ds:datastoreItem xmlns:ds="http://schemas.openxmlformats.org/officeDocument/2006/customXml" ds:itemID="{1858afbf-63d6-4aae-befe-9144b34bfa92}">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2022-02-14T17:48:00Z</dcterms:created>
  <dc:creator>Administrator</dc:creator>
  <cp:lastModifiedBy>高</cp:lastModifiedBy>
  <dcterms:modified xsi:type="dcterms:W3CDTF">2024-02-23T07:16:26Z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2A9B2B1D6A784F58B42124F262711DFC_13</vt:lpwstr>
  </property>
</Properties>
</file>