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一、石家庄市藁城区计划生育协会本级收支预算</w:t>
      </w:r>
      <w:r>
        <w:tab/>
      </w:r>
      <w:r>
        <w:fldChar w:fldCharType="begin"/>
      </w:r>
      <w:r>
        <w:instrText xml:space="preserve">PAGEREF _Toc_4_4_0000000019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213.14</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213.14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213.14</w:t>
            </w:r>
          </w:p>
        </w:tc>
        <w:tc>
          <w:tcPr>
            <w:tcW w:w="1971" w:type="dxa"/>
            <w:vAlign w:val="center"/>
          </w:tcPr>
          <w:p>
            <w:pPr>
              <w:pStyle w:val="16"/>
            </w:pPr>
            <w:r>
              <w:t>本年支出合计</w:t>
            </w:r>
          </w:p>
        </w:tc>
        <w:tc>
          <w:tcPr>
            <w:tcW w:w="1971" w:type="dxa"/>
            <w:vAlign w:val="center"/>
          </w:tcPr>
          <w:p>
            <w:pPr>
              <w:pStyle w:val="17"/>
            </w:pPr>
            <w:r>
              <w:t>213.14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213.14</w:t>
            </w:r>
          </w:p>
        </w:tc>
        <w:tc>
          <w:tcPr>
            <w:tcW w:w="1971" w:type="dxa"/>
            <w:vAlign w:val="center"/>
          </w:tcPr>
          <w:p>
            <w:pPr>
              <w:pStyle w:val="16"/>
            </w:pPr>
            <w:r>
              <w:t>支出总计</w:t>
            </w:r>
          </w:p>
        </w:tc>
        <w:tc>
          <w:tcPr>
            <w:tcW w:w="1971" w:type="dxa"/>
            <w:vAlign w:val="center"/>
          </w:tcPr>
          <w:p>
            <w:pPr>
              <w:pStyle w:val="17"/>
            </w:pPr>
            <w:r>
              <w:t>213.14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213.14</w:t>
            </w:r>
          </w:p>
        </w:tc>
        <w:tc>
          <w:tcPr>
            <w:tcW w:w="758" w:type="dxa"/>
            <w:vAlign w:val="center"/>
          </w:tcPr>
          <w:p>
            <w:pPr>
              <w:pStyle w:val="17"/>
            </w:pPr>
            <w:r>
              <w:t>213.14</w:t>
            </w:r>
          </w:p>
        </w:tc>
        <w:tc>
          <w:tcPr>
            <w:tcW w:w="758" w:type="dxa"/>
            <w:vAlign w:val="center"/>
          </w:tcPr>
          <w:p>
            <w:pPr>
              <w:pStyle w:val="17"/>
            </w:pPr>
            <w:r>
              <w:t>213.14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213.14</w:t>
            </w:r>
          </w:p>
        </w:tc>
        <w:tc>
          <w:tcPr>
            <w:tcW w:w="758" w:type="dxa"/>
            <w:vAlign w:val="center"/>
          </w:tcPr>
          <w:p>
            <w:pPr>
              <w:pStyle w:val="13"/>
            </w:pPr>
            <w:r>
              <w:t>213.14</w:t>
            </w:r>
          </w:p>
        </w:tc>
        <w:tc>
          <w:tcPr>
            <w:tcW w:w="758" w:type="dxa"/>
            <w:vAlign w:val="center"/>
          </w:tcPr>
          <w:p>
            <w:pPr>
              <w:pStyle w:val="13"/>
            </w:pPr>
            <w:r>
              <w:t>213.14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213.14</w:t>
            </w:r>
          </w:p>
        </w:tc>
        <w:tc>
          <w:tcPr>
            <w:tcW w:w="758" w:type="dxa"/>
            <w:vAlign w:val="center"/>
          </w:tcPr>
          <w:p>
            <w:pPr>
              <w:pStyle w:val="13"/>
            </w:pPr>
            <w:r>
              <w:t>213.14</w:t>
            </w:r>
          </w:p>
        </w:tc>
        <w:tc>
          <w:tcPr>
            <w:tcW w:w="758" w:type="dxa"/>
            <w:vAlign w:val="center"/>
          </w:tcPr>
          <w:p>
            <w:pPr>
              <w:pStyle w:val="13"/>
            </w:pPr>
            <w:r>
              <w:t>213.14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2100717</w:t>
            </w:r>
          </w:p>
        </w:tc>
        <w:tc>
          <w:tcPr>
            <w:tcW w:w="758" w:type="dxa"/>
            <w:vAlign w:val="center"/>
          </w:tcPr>
          <w:p>
            <w:pPr>
              <w:pStyle w:val="14"/>
            </w:pPr>
            <w:r>
              <w:t>计划生育服务</w:t>
            </w:r>
          </w:p>
        </w:tc>
        <w:tc>
          <w:tcPr>
            <w:tcW w:w="758" w:type="dxa"/>
            <w:vAlign w:val="center"/>
          </w:tcPr>
          <w:p>
            <w:pPr>
              <w:pStyle w:val="13"/>
            </w:pPr>
            <w:r>
              <w:t>199.61</w:t>
            </w:r>
          </w:p>
        </w:tc>
        <w:tc>
          <w:tcPr>
            <w:tcW w:w="758" w:type="dxa"/>
            <w:vAlign w:val="center"/>
          </w:tcPr>
          <w:p>
            <w:pPr>
              <w:pStyle w:val="13"/>
            </w:pPr>
            <w:r>
              <w:t>199.61</w:t>
            </w:r>
          </w:p>
        </w:tc>
        <w:tc>
          <w:tcPr>
            <w:tcW w:w="758" w:type="dxa"/>
            <w:vAlign w:val="center"/>
          </w:tcPr>
          <w:p>
            <w:pPr>
              <w:pStyle w:val="13"/>
            </w:pPr>
            <w:r>
              <w:t>199.61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13.53</w:t>
            </w:r>
          </w:p>
        </w:tc>
        <w:tc>
          <w:tcPr>
            <w:tcW w:w="758" w:type="dxa"/>
            <w:vAlign w:val="center"/>
          </w:tcPr>
          <w:p>
            <w:pPr>
              <w:pStyle w:val="13"/>
            </w:pPr>
            <w:r>
              <w:t>13.53</w:t>
            </w:r>
          </w:p>
        </w:tc>
        <w:tc>
          <w:tcPr>
            <w:tcW w:w="758" w:type="dxa"/>
            <w:vAlign w:val="center"/>
          </w:tcPr>
          <w:p>
            <w:pPr>
              <w:pStyle w:val="13"/>
            </w:pPr>
            <w:r>
              <w:t>13.53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213.14</w:t>
            </w:r>
          </w:p>
        </w:tc>
        <w:tc>
          <w:tcPr>
            <w:tcW w:w="1095" w:type="dxa"/>
            <w:vAlign w:val="center"/>
          </w:tcPr>
          <w:p>
            <w:pPr>
              <w:pStyle w:val="17"/>
            </w:pPr>
            <w:r>
              <w:t>170.41</w:t>
            </w:r>
          </w:p>
        </w:tc>
        <w:tc>
          <w:tcPr>
            <w:tcW w:w="1095" w:type="dxa"/>
            <w:vAlign w:val="center"/>
          </w:tcPr>
          <w:p>
            <w:pPr>
              <w:pStyle w:val="17"/>
            </w:pPr>
            <w:r>
              <w:t>42.73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213.14</w:t>
            </w:r>
          </w:p>
        </w:tc>
        <w:tc>
          <w:tcPr>
            <w:tcW w:w="1095" w:type="dxa"/>
            <w:vAlign w:val="center"/>
          </w:tcPr>
          <w:p>
            <w:pPr>
              <w:pStyle w:val="13"/>
            </w:pPr>
            <w:r>
              <w:t>170.41</w:t>
            </w:r>
          </w:p>
        </w:tc>
        <w:tc>
          <w:tcPr>
            <w:tcW w:w="1095" w:type="dxa"/>
            <w:vAlign w:val="center"/>
          </w:tcPr>
          <w:p>
            <w:pPr>
              <w:pStyle w:val="13"/>
            </w:pPr>
            <w:r>
              <w:t>42.73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213.14</w:t>
            </w:r>
          </w:p>
        </w:tc>
        <w:tc>
          <w:tcPr>
            <w:tcW w:w="1095" w:type="dxa"/>
            <w:vAlign w:val="center"/>
          </w:tcPr>
          <w:p>
            <w:pPr>
              <w:pStyle w:val="13"/>
            </w:pPr>
            <w:r>
              <w:t>170.41</w:t>
            </w:r>
          </w:p>
        </w:tc>
        <w:tc>
          <w:tcPr>
            <w:tcW w:w="1095" w:type="dxa"/>
            <w:vAlign w:val="center"/>
          </w:tcPr>
          <w:p>
            <w:pPr>
              <w:pStyle w:val="13"/>
            </w:pPr>
            <w:r>
              <w:t>42.73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2100717</w:t>
            </w:r>
          </w:p>
        </w:tc>
        <w:tc>
          <w:tcPr>
            <w:tcW w:w="1095" w:type="dxa"/>
            <w:vAlign w:val="center"/>
          </w:tcPr>
          <w:p>
            <w:pPr>
              <w:pStyle w:val="14"/>
            </w:pPr>
            <w:r>
              <w:t>计划生育服务</w:t>
            </w:r>
          </w:p>
        </w:tc>
        <w:tc>
          <w:tcPr>
            <w:tcW w:w="1095" w:type="dxa"/>
            <w:vAlign w:val="center"/>
          </w:tcPr>
          <w:p>
            <w:pPr>
              <w:pStyle w:val="13"/>
            </w:pPr>
            <w:r>
              <w:t>199.61</w:t>
            </w:r>
          </w:p>
        </w:tc>
        <w:tc>
          <w:tcPr>
            <w:tcW w:w="1095" w:type="dxa"/>
            <w:vAlign w:val="center"/>
          </w:tcPr>
          <w:p>
            <w:pPr>
              <w:pStyle w:val="13"/>
            </w:pPr>
            <w:r>
              <w:t>170.41</w:t>
            </w:r>
          </w:p>
        </w:tc>
        <w:tc>
          <w:tcPr>
            <w:tcW w:w="1095" w:type="dxa"/>
            <w:vAlign w:val="center"/>
          </w:tcPr>
          <w:p>
            <w:pPr>
              <w:pStyle w:val="13"/>
            </w:pPr>
            <w:r>
              <w:t>29.20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13.53</w:t>
            </w:r>
          </w:p>
        </w:tc>
        <w:tc>
          <w:tcPr>
            <w:tcW w:w="1095" w:type="dxa"/>
            <w:vAlign w:val="center"/>
          </w:tcPr>
          <w:p>
            <w:pPr>
              <w:pStyle w:val="13"/>
            </w:pPr>
          </w:p>
        </w:tc>
        <w:tc>
          <w:tcPr>
            <w:tcW w:w="1095" w:type="dxa"/>
            <w:vAlign w:val="center"/>
          </w:tcPr>
          <w:p>
            <w:pPr>
              <w:pStyle w:val="13"/>
            </w:pPr>
            <w:r>
              <w:t>13.53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213.14</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213.14</w:t>
            </w:r>
          </w:p>
        </w:tc>
        <w:tc>
          <w:tcPr>
            <w:tcW w:w="1232" w:type="dxa"/>
            <w:vAlign w:val="center"/>
          </w:tcPr>
          <w:p>
            <w:pPr>
              <w:pStyle w:val="13"/>
            </w:pPr>
            <w:r>
              <w:t>213.14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213.14</w:t>
            </w:r>
          </w:p>
        </w:tc>
        <w:tc>
          <w:tcPr>
            <w:tcW w:w="1232" w:type="dxa"/>
            <w:vAlign w:val="center"/>
          </w:tcPr>
          <w:p>
            <w:pPr>
              <w:pStyle w:val="16"/>
            </w:pPr>
            <w:r>
              <w:t>本年支出合计</w:t>
            </w:r>
          </w:p>
        </w:tc>
        <w:tc>
          <w:tcPr>
            <w:tcW w:w="1232" w:type="dxa"/>
            <w:vAlign w:val="center"/>
          </w:tcPr>
          <w:p>
            <w:pPr>
              <w:pStyle w:val="17"/>
            </w:pPr>
            <w:r>
              <w:t>213.14</w:t>
            </w:r>
          </w:p>
        </w:tc>
        <w:tc>
          <w:tcPr>
            <w:tcW w:w="1232" w:type="dxa"/>
            <w:vAlign w:val="center"/>
          </w:tcPr>
          <w:p>
            <w:pPr>
              <w:pStyle w:val="17"/>
            </w:pPr>
            <w:r>
              <w:t>213.14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213.14</w:t>
            </w:r>
          </w:p>
        </w:tc>
        <w:tc>
          <w:tcPr>
            <w:tcW w:w="1232" w:type="dxa"/>
            <w:vAlign w:val="center"/>
          </w:tcPr>
          <w:p>
            <w:pPr>
              <w:pStyle w:val="16"/>
            </w:pPr>
            <w:r>
              <w:t>支出总计</w:t>
            </w:r>
          </w:p>
        </w:tc>
        <w:tc>
          <w:tcPr>
            <w:tcW w:w="1232" w:type="dxa"/>
            <w:vAlign w:val="center"/>
          </w:tcPr>
          <w:p>
            <w:pPr>
              <w:pStyle w:val="17"/>
            </w:pPr>
            <w:r>
              <w:t>213.14</w:t>
            </w:r>
          </w:p>
        </w:tc>
        <w:tc>
          <w:tcPr>
            <w:tcW w:w="1232" w:type="dxa"/>
            <w:vAlign w:val="center"/>
          </w:tcPr>
          <w:p>
            <w:pPr>
              <w:pStyle w:val="17"/>
            </w:pPr>
            <w:r>
              <w:t>213.14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213.14</w:t>
            </w:r>
          </w:p>
        </w:tc>
        <w:tc>
          <w:tcPr>
            <w:tcW w:w="1643" w:type="dxa"/>
            <w:vAlign w:val="center"/>
          </w:tcPr>
          <w:p>
            <w:pPr>
              <w:pStyle w:val="17"/>
            </w:pPr>
            <w:r>
              <w:t>170.41</w:t>
            </w:r>
          </w:p>
        </w:tc>
        <w:tc>
          <w:tcPr>
            <w:tcW w:w="1643" w:type="dxa"/>
            <w:vAlign w:val="center"/>
          </w:tcPr>
          <w:p>
            <w:pPr>
              <w:pStyle w:val="17"/>
            </w:pPr>
            <w:r>
              <w:t>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213.14</w:t>
            </w:r>
          </w:p>
        </w:tc>
        <w:tc>
          <w:tcPr>
            <w:tcW w:w="1643" w:type="dxa"/>
            <w:vAlign w:val="center"/>
          </w:tcPr>
          <w:p>
            <w:pPr>
              <w:pStyle w:val="13"/>
            </w:pPr>
            <w:r>
              <w:t>170.41</w:t>
            </w:r>
          </w:p>
        </w:tc>
        <w:tc>
          <w:tcPr>
            <w:tcW w:w="1643" w:type="dxa"/>
            <w:vAlign w:val="center"/>
          </w:tcPr>
          <w:p>
            <w:pPr>
              <w:pStyle w:val="13"/>
            </w:pPr>
            <w:r>
              <w:t>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213.14</w:t>
            </w:r>
          </w:p>
        </w:tc>
        <w:tc>
          <w:tcPr>
            <w:tcW w:w="1643" w:type="dxa"/>
            <w:vAlign w:val="center"/>
          </w:tcPr>
          <w:p>
            <w:pPr>
              <w:pStyle w:val="13"/>
            </w:pPr>
            <w:r>
              <w:t>170.41</w:t>
            </w:r>
          </w:p>
        </w:tc>
        <w:tc>
          <w:tcPr>
            <w:tcW w:w="1643" w:type="dxa"/>
            <w:vAlign w:val="center"/>
          </w:tcPr>
          <w:p>
            <w:pPr>
              <w:pStyle w:val="13"/>
            </w:pPr>
            <w:r>
              <w:t>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2100717</w:t>
            </w:r>
          </w:p>
        </w:tc>
        <w:tc>
          <w:tcPr>
            <w:tcW w:w="1643" w:type="dxa"/>
            <w:vAlign w:val="center"/>
          </w:tcPr>
          <w:p>
            <w:pPr>
              <w:pStyle w:val="14"/>
            </w:pPr>
            <w:r>
              <w:t>计划生育服务</w:t>
            </w:r>
          </w:p>
        </w:tc>
        <w:tc>
          <w:tcPr>
            <w:tcW w:w="1643" w:type="dxa"/>
            <w:vAlign w:val="center"/>
          </w:tcPr>
          <w:p>
            <w:pPr>
              <w:pStyle w:val="13"/>
            </w:pPr>
            <w:r>
              <w:t>199.61</w:t>
            </w:r>
          </w:p>
        </w:tc>
        <w:tc>
          <w:tcPr>
            <w:tcW w:w="1643" w:type="dxa"/>
            <w:vAlign w:val="center"/>
          </w:tcPr>
          <w:p>
            <w:pPr>
              <w:pStyle w:val="13"/>
            </w:pPr>
            <w:r>
              <w:t>170.41</w:t>
            </w:r>
          </w:p>
        </w:tc>
        <w:tc>
          <w:tcPr>
            <w:tcW w:w="1643" w:type="dxa"/>
            <w:vAlign w:val="center"/>
          </w:tcPr>
          <w:p>
            <w:pPr>
              <w:pStyle w:val="13"/>
            </w:pPr>
            <w:r>
              <w:t>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13.53</w:t>
            </w:r>
          </w:p>
        </w:tc>
        <w:tc>
          <w:tcPr>
            <w:tcW w:w="1643" w:type="dxa"/>
            <w:vAlign w:val="center"/>
          </w:tcPr>
          <w:p>
            <w:pPr>
              <w:pStyle w:val="13"/>
            </w:pPr>
          </w:p>
        </w:tc>
        <w:tc>
          <w:tcPr>
            <w:tcW w:w="1643" w:type="dxa"/>
            <w:vAlign w:val="center"/>
          </w:tcPr>
          <w:p>
            <w:pPr>
              <w:pStyle w:val="13"/>
            </w:pPr>
            <w:r>
              <w:t>13.53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170.41</w:t>
            </w:r>
          </w:p>
        </w:tc>
        <w:tc>
          <w:tcPr>
            <w:tcW w:w="1643" w:type="dxa"/>
            <w:vAlign w:val="center"/>
          </w:tcPr>
          <w:p>
            <w:pPr>
              <w:pStyle w:val="17"/>
            </w:pPr>
            <w:r>
              <w:t>153.63</w:t>
            </w:r>
          </w:p>
        </w:tc>
        <w:tc>
          <w:tcPr>
            <w:tcW w:w="1643" w:type="dxa"/>
            <w:vAlign w:val="center"/>
          </w:tcPr>
          <w:p>
            <w:pPr>
              <w:pStyle w:val="17"/>
            </w:pPr>
            <w:r>
              <w:t>16.77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153.63</w:t>
            </w:r>
          </w:p>
        </w:tc>
        <w:tc>
          <w:tcPr>
            <w:tcW w:w="1643" w:type="dxa"/>
            <w:vAlign w:val="center"/>
          </w:tcPr>
          <w:p>
            <w:pPr>
              <w:pStyle w:val="13"/>
            </w:pPr>
            <w:r>
              <w:t>153.63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37.70</w:t>
            </w:r>
          </w:p>
        </w:tc>
        <w:tc>
          <w:tcPr>
            <w:tcW w:w="1643" w:type="dxa"/>
            <w:vAlign w:val="center"/>
          </w:tcPr>
          <w:p>
            <w:pPr>
              <w:pStyle w:val="13"/>
            </w:pPr>
            <w:r>
              <w:t>37.70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63.19</w:t>
            </w:r>
          </w:p>
        </w:tc>
        <w:tc>
          <w:tcPr>
            <w:tcW w:w="1643" w:type="dxa"/>
            <w:vAlign w:val="center"/>
          </w:tcPr>
          <w:p>
            <w:pPr>
              <w:pStyle w:val="13"/>
            </w:pPr>
            <w:r>
              <w:t>63.19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3.14</w:t>
            </w:r>
          </w:p>
        </w:tc>
        <w:tc>
          <w:tcPr>
            <w:tcW w:w="1643" w:type="dxa"/>
            <w:vAlign w:val="center"/>
          </w:tcPr>
          <w:p>
            <w:pPr>
              <w:pStyle w:val="13"/>
            </w:pPr>
            <w:r>
              <w:t>3.14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13.68</w:t>
            </w:r>
          </w:p>
        </w:tc>
        <w:tc>
          <w:tcPr>
            <w:tcW w:w="1643" w:type="dxa"/>
            <w:vAlign w:val="center"/>
          </w:tcPr>
          <w:p>
            <w:pPr>
              <w:pStyle w:val="13"/>
            </w:pPr>
            <w:r>
              <w:t>13.68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7.18</w:t>
            </w:r>
          </w:p>
        </w:tc>
        <w:tc>
          <w:tcPr>
            <w:tcW w:w="1643" w:type="dxa"/>
            <w:vAlign w:val="center"/>
          </w:tcPr>
          <w:p>
            <w:pPr>
              <w:pStyle w:val="13"/>
            </w:pPr>
            <w:r>
              <w:t>7.18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5.56</w:t>
            </w:r>
          </w:p>
        </w:tc>
        <w:tc>
          <w:tcPr>
            <w:tcW w:w="1643" w:type="dxa"/>
            <w:vAlign w:val="center"/>
          </w:tcPr>
          <w:p>
            <w:pPr>
              <w:pStyle w:val="13"/>
            </w:pPr>
            <w:r>
              <w:t>5.56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11.83</w:t>
            </w:r>
          </w:p>
        </w:tc>
        <w:tc>
          <w:tcPr>
            <w:tcW w:w="1643" w:type="dxa"/>
            <w:vAlign w:val="center"/>
          </w:tcPr>
          <w:p>
            <w:pPr>
              <w:pStyle w:val="13"/>
            </w:pPr>
            <w:r>
              <w:t>11.83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11.34</w:t>
            </w:r>
          </w:p>
        </w:tc>
        <w:tc>
          <w:tcPr>
            <w:tcW w:w="1643" w:type="dxa"/>
            <w:vAlign w:val="center"/>
          </w:tcPr>
          <w:p>
            <w:pPr>
              <w:pStyle w:val="13"/>
            </w:pPr>
            <w:r>
              <w:t>11.34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15.92</w:t>
            </w:r>
          </w:p>
        </w:tc>
        <w:tc>
          <w:tcPr>
            <w:tcW w:w="1643" w:type="dxa"/>
            <w:vAlign w:val="center"/>
          </w:tcPr>
          <w:p>
            <w:pPr>
              <w:pStyle w:val="13"/>
            </w:pPr>
          </w:p>
        </w:tc>
        <w:tc>
          <w:tcPr>
            <w:tcW w:w="1643" w:type="dxa"/>
            <w:vAlign w:val="center"/>
          </w:tcPr>
          <w:p>
            <w:pPr>
              <w:pStyle w:val="13"/>
            </w:pPr>
            <w:r>
              <w:t>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2.75</w:t>
            </w:r>
          </w:p>
        </w:tc>
        <w:tc>
          <w:tcPr>
            <w:tcW w:w="1643" w:type="dxa"/>
            <w:vAlign w:val="center"/>
          </w:tcPr>
          <w:p>
            <w:pPr>
              <w:pStyle w:val="13"/>
            </w:pPr>
          </w:p>
        </w:tc>
        <w:tc>
          <w:tcPr>
            <w:tcW w:w="1643" w:type="dxa"/>
            <w:vAlign w:val="center"/>
          </w:tcPr>
          <w:p>
            <w:pPr>
              <w:pStyle w:val="13"/>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4.86</w:t>
            </w:r>
          </w:p>
        </w:tc>
        <w:tc>
          <w:tcPr>
            <w:tcW w:w="1643" w:type="dxa"/>
            <w:vAlign w:val="center"/>
          </w:tcPr>
          <w:p>
            <w:pPr>
              <w:pStyle w:val="13"/>
            </w:pPr>
          </w:p>
        </w:tc>
        <w:tc>
          <w:tcPr>
            <w:tcW w:w="1643"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0.94</w:t>
            </w:r>
          </w:p>
        </w:tc>
        <w:tc>
          <w:tcPr>
            <w:tcW w:w="1643" w:type="dxa"/>
            <w:vAlign w:val="center"/>
          </w:tcPr>
          <w:p>
            <w:pPr>
              <w:pStyle w:val="13"/>
            </w:pPr>
          </w:p>
        </w:tc>
        <w:tc>
          <w:tcPr>
            <w:tcW w:w="1643" w:type="dxa"/>
            <w:vAlign w:val="center"/>
          </w:tcPr>
          <w:p>
            <w:pPr>
              <w:pStyle w:val="13"/>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0.57</w:t>
            </w:r>
          </w:p>
        </w:tc>
        <w:tc>
          <w:tcPr>
            <w:tcW w:w="1643" w:type="dxa"/>
            <w:vAlign w:val="center"/>
          </w:tcPr>
          <w:p>
            <w:pPr>
              <w:pStyle w:val="13"/>
            </w:pPr>
          </w:p>
        </w:tc>
        <w:tc>
          <w:tcPr>
            <w:tcW w:w="1643"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0.85</w:t>
            </w:r>
          </w:p>
        </w:tc>
        <w:tc>
          <w:tcPr>
            <w:tcW w:w="1643" w:type="dxa"/>
            <w:vAlign w:val="center"/>
          </w:tcPr>
          <w:p>
            <w:pPr>
              <w:pStyle w:val="13"/>
            </w:pPr>
          </w:p>
        </w:tc>
        <w:tc>
          <w:tcPr>
            <w:tcW w:w="1643" w:type="dxa"/>
            <w:vAlign w:val="center"/>
          </w:tcPr>
          <w:p>
            <w:pPr>
              <w:pStyle w:val="13"/>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0.85</w:t>
            </w:r>
          </w:p>
        </w:tc>
        <w:tc>
          <w:tcPr>
            <w:tcW w:w="1643" w:type="dxa"/>
            <w:vAlign w:val="center"/>
          </w:tcPr>
          <w:p>
            <w:pPr>
              <w:pStyle w:val="13"/>
            </w:pPr>
          </w:p>
        </w:tc>
        <w:tc>
          <w:tcPr>
            <w:tcW w:w="1643" w:type="dxa"/>
            <w:vAlign w:val="center"/>
          </w:tcPr>
          <w:p>
            <w:pPr>
              <w:pStyle w:val="13"/>
            </w:pPr>
            <w:r>
              <w:t>0.85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石家庄市藁城区计划生育协会2022年部门预算信息公开情况说明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石家庄市藁城区计划生育协会2022年部门预算信息公开情况说明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预算法》、《地方预决算公开操作规程》和《关于进一步推进预算公开工作的实施意见》规定，现将石家庄市藁城区计划生育协会2022年部门预算公开如下：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根据《石家庄市藁城区计划生育协会职能配置、内设机构和人员编制规定》石家庄市藁城区计划生育协会的主要职责是：</w:t>
      </w:r>
    </w:p>
    <w:p>
      <w:pPr>
        <w:pStyle w:val="19"/>
      </w:pPr>
      <w:r>
        <w:t xml:space="preserve">1落实现行的计划生育方针政策。推动实现适度生育水平，优化人口结构，促进人口长期均衡发展。               2完善三级组织建设，建立健全工作机制。指导各级协会向群众宣传计划生育方针政策和生育健康知识。      3协调社会力量，向群众提供生产、生活、生育服务开展计划生育系列保险等社会保障事业，继续开展独生子女意外伤害保险和护工保险业务。组织实施幸福工程项目，对计划生育特殊家庭帮扶，给予计生失独家庭护工保险补贴,保障和改善民生，促进社会和谐稳定，实施亲情关爱。积极为计生困难家庭考入“985”“211”高校的女孩争取支持，逐步完善藁城区“天使圆梦”活动。帮助群众解决实行计划生育的实际困难和后顾之忧。在重大节日对计生特殊家庭进行慰问，使他们得到慰藉。                                      4实施“生育维权”工程，开展计划生育便民维权活动，宣传计生公共服务，计生奖励优惠政策，为计生家庭提供法律援助等相关的维权活动。   5坚持党委领导的群团组织序列，承担中央赋予的“六项重点任务”切实履行好计生协的职责。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石家庄市藁城区计划生育协会本级</w:t>
            </w:r>
          </w:p>
        </w:tc>
        <w:tc>
          <w:tcPr>
            <w:tcW w:w="2464" w:type="dxa"/>
            <w:vAlign w:val="center"/>
          </w:tcPr>
          <w:p>
            <w:pPr>
              <w:pStyle w:val="15"/>
              <w:rPr>
                <w:rFonts w:hint="default" w:eastAsia="方正书宋_GBK"/>
                <w:lang w:val="en-US" w:eastAsia="zh-CN"/>
              </w:rPr>
            </w:pPr>
            <w:r>
              <w:rPr>
                <w:rFonts w:hint="eastAsia"/>
                <w:lang w:val="en-US" w:eastAsia="zh-CN"/>
              </w:rPr>
              <w:t>群众团体</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按照预算管理有关规定，目前我省部门预算的编制实行综合预算管理，即全部收入和支出都反映在预算中。石家庄市藁城区计划生育协会机关及所属事业单位的收支包含在部门预算中。</w:t>
      </w:r>
    </w:p>
    <w:p>
      <w:pPr>
        <w:numPr>
          <w:ilvl w:val="0"/>
          <w:numId w:val="1"/>
        </w:numPr>
        <w:spacing w:line="460" w:lineRule="exact"/>
        <w:ind w:firstLine="640"/>
        <w:rPr>
          <w:rFonts w:hint="eastAsia" w:eastAsia="仿宋" w:cs="Times New Roman"/>
          <w:sz w:val="32"/>
          <w:szCs w:val="32"/>
          <w:lang w:eastAsia="zh-CN"/>
        </w:rPr>
      </w:pPr>
      <w:r>
        <w:rPr>
          <w:rFonts w:ascii="Times New Roman" w:hAnsi="Times New Roman" w:eastAsia="仿宋" w:cs="Times New Roman"/>
          <w:sz w:val="32"/>
          <w:szCs w:val="32"/>
        </w:rPr>
        <w:t>收入说明</w:t>
      </w:r>
      <w:r>
        <w:rPr>
          <w:rFonts w:hint="eastAsia" w:eastAsia="仿宋" w:cs="Times New Roman"/>
          <w:sz w:val="32"/>
          <w:szCs w:val="32"/>
          <w:lang w:eastAsia="zh-CN"/>
        </w:rPr>
        <w:t>：</w:t>
      </w:r>
    </w:p>
    <w:p>
      <w:pPr>
        <w:numPr>
          <w:ilvl w:val="0"/>
          <w:numId w:val="0"/>
        </w:numPr>
        <w:spacing w:line="460" w:lineRule="exact"/>
        <w:ind w:firstLine="960" w:firstLineChars="3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213.14</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213.14</w:t>
      </w:r>
      <w:r>
        <w:rPr>
          <w:rFonts w:hint="eastAsia" w:ascii="Times New Roman" w:hAnsi="Times New Roman" w:eastAsia="仿宋" w:cs="Times New Roman"/>
          <w:sz w:val="32"/>
          <w:szCs w:val="32"/>
        </w:rPr>
        <w:t>万元，基金预算收入0万元，财政专户核拨收入0万元，其他来源收入0万元。</w:t>
      </w:r>
    </w:p>
    <w:p>
      <w:pPr>
        <w:numPr>
          <w:ilvl w:val="0"/>
          <w:numId w:val="1"/>
        </w:numPr>
        <w:spacing w:line="460" w:lineRule="exact"/>
        <w:ind w:left="0" w:leftChars="0" w:firstLine="640" w:firstLineChars="0"/>
        <w:rPr>
          <w:rFonts w:hint="eastAsia" w:eastAsia="仿宋" w:cs="Times New Roman"/>
          <w:sz w:val="32"/>
          <w:szCs w:val="32"/>
          <w:lang w:eastAsia="zh-CN"/>
        </w:rPr>
      </w:pPr>
      <w:r>
        <w:rPr>
          <w:rFonts w:ascii="Times New Roman" w:hAnsi="Times New Roman" w:eastAsia="仿宋" w:cs="Times New Roman"/>
          <w:sz w:val="32"/>
          <w:szCs w:val="32"/>
        </w:rPr>
        <w:t>支出说明</w:t>
      </w:r>
      <w:r>
        <w:rPr>
          <w:rFonts w:hint="eastAsia" w:eastAsia="仿宋" w:cs="Times New Roman"/>
          <w:sz w:val="32"/>
          <w:szCs w:val="32"/>
          <w:lang w:eastAsia="zh-CN"/>
        </w:rPr>
        <w:t>：</w:t>
      </w:r>
    </w:p>
    <w:p>
      <w:pPr>
        <w:numPr>
          <w:ilvl w:val="0"/>
          <w:numId w:val="0"/>
        </w:numPr>
        <w:spacing w:line="460" w:lineRule="exact"/>
        <w:ind w:left="640" w:leftChars="0" w:firstLine="320" w:firstLineChars="10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213.14</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170.41</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153.63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16.77</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42.73</w:t>
      </w:r>
      <w:r>
        <w:rPr>
          <w:rFonts w:hint="eastAsia" w:ascii="Times New Roman" w:hAnsi="Times New Roman" w:eastAsia="仿宋" w:cs="Times New Roman"/>
          <w:sz w:val="32"/>
          <w:szCs w:val="32"/>
        </w:rPr>
        <w:t>万元，主要为</w:t>
      </w:r>
      <w:r>
        <w:rPr>
          <w:rFonts w:hint="eastAsia" w:eastAsia="仿宋" w:cs="Times New Roman"/>
          <w:sz w:val="32"/>
          <w:szCs w:val="32"/>
          <w:lang w:val="en-US" w:eastAsia="zh-CN"/>
        </w:rPr>
        <w:t>农村独生子女家庭意外伤害保险</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9.96</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亲情关爱救助基金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7.24</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宣传服务专项经费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2</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计生特殊家庭慰问资金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8.58</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劳务派遣人员费用支出4.95</w:t>
      </w:r>
      <w:r>
        <w:rPr>
          <w:rFonts w:hint="eastAsia" w:ascii="Times New Roman" w:hAnsi="Times New Roman" w:eastAsia="仿宋" w:cs="Times New Roman"/>
          <w:sz w:val="32"/>
          <w:szCs w:val="32"/>
        </w:rPr>
        <w:t>万元</w:t>
      </w:r>
      <w:r>
        <w:rPr>
          <w:rFonts w:hint="eastAsia" w:eastAsia="仿宋" w:cs="Times New Roman"/>
          <w:sz w:val="32"/>
          <w:szCs w:val="32"/>
          <w:lang w:eastAsia="zh-CN"/>
        </w:rPr>
        <w:t>，</w:t>
      </w:r>
      <w:r>
        <w:rPr>
          <w:rFonts w:hint="eastAsia" w:hAnsi="仿宋" w:eastAsia="仿宋" w:cs="仿宋" w:asciiTheme="minorAscii"/>
          <w:b w:val="0"/>
          <w:bCs/>
          <w:color w:val="000000"/>
          <w:sz w:val="32"/>
          <w:szCs w:val="32"/>
        </w:rPr>
        <w:t>省级计划生育服务补助资金</w:t>
      </w:r>
      <w:r>
        <w:rPr>
          <w:rFonts w:hint="eastAsia" w:hAnsi="仿宋" w:eastAsia="仿宋" w:cs="仿宋" w:asciiTheme="minorAscii"/>
          <w:b w:val="0"/>
          <w:bCs/>
          <w:color w:val="000000"/>
          <w:sz w:val="32"/>
          <w:szCs w:val="32"/>
          <w:lang w:val="en-US" w:eastAsia="zh-CN"/>
        </w:rPr>
        <w:t>10万</w:t>
      </w:r>
      <w:r>
        <w:rPr>
          <w:rFonts w:hint="eastAsia" w:ascii="Times New Roman" w:hAnsi="Times New Roman" w:eastAsia="仿宋" w:cs="Times New Roman"/>
          <w:sz w:val="32"/>
          <w:szCs w:val="32"/>
        </w:rPr>
        <w:t>；其他支出0万元。</w:t>
      </w:r>
    </w:p>
    <w:p>
      <w:pPr>
        <w:numPr>
          <w:ilvl w:val="0"/>
          <w:numId w:val="1"/>
        </w:numPr>
        <w:spacing w:line="460" w:lineRule="exact"/>
        <w:ind w:left="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r>
        <w:rPr>
          <w:rFonts w:hint="eastAsia" w:eastAsia="仿宋" w:cs="Times New Roman"/>
          <w:sz w:val="32"/>
          <w:szCs w:val="32"/>
          <w:lang w:eastAsia="zh-CN"/>
        </w:rPr>
        <w:t>：</w:t>
      </w:r>
    </w:p>
    <w:p>
      <w:pPr>
        <w:numPr>
          <w:ilvl w:val="0"/>
          <w:numId w:val="0"/>
        </w:numPr>
        <w:spacing w:line="460" w:lineRule="exact"/>
        <w:ind w:left="640" w:leftChars="0" w:firstLine="320" w:firstLineChars="10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213.14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51.05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增加25.52</w:t>
      </w:r>
      <w:r>
        <w:rPr>
          <w:rFonts w:hint="eastAsia" w:ascii="Times New Roman" w:hAnsi="Times New Roman" w:eastAsia="仿宋" w:cs="Times New Roman"/>
          <w:sz w:val="32"/>
          <w:szCs w:val="32"/>
        </w:rPr>
        <w:t>万元，主要是人员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25.53</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宣传服务专项经费</w:t>
      </w:r>
      <w:r>
        <w:rPr>
          <w:rFonts w:hint="eastAsia" w:ascii="Times New Roman" w:hAnsi="Times New Roman" w:eastAsia="仿宋" w:cs="Times New Roman"/>
          <w:sz w:val="32"/>
          <w:szCs w:val="32"/>
        </w:rPr>
        <w:t>、</w:t>
      </w:r>
      <w:r>
        <w:rPr>
          <w:rFonts w:hint="eastAsia" w:eastAsia="仿宋" w:cs="Times New Roman"/>
          <w:sz w:val="32"/>
          <w:szCs w:val="32"/>
          <w:lang w:val="en-US" w:eastAsia="zh-CN"/>
        </w:rPr>
        <w:t>计生特殊家庭慰问资金、劳务派遣人员费用、</w:t>
      </w:r>
      <w:r>
        <w:rPr>
          <w:rFonts w:hint="eastAsia" w:hAnsi="仿宋" w:eastAsia="仿宋" w:cs="仿宋" w:asciiTheme="minorAscii"/>
          <w:b w:val="0"/>
          <w:bCs/>
          <w:color w:val="000000"/>
          <w:sz w:val="32"/>
          <w:szCs w:val="32"/>
        </w:rPr>
        <w:t>省级计划生育服务补助资金</w:t>
      </w:r>
      <w:r>
        <w:rPr>
          <w:rFonts w:hint="eastAsia" w:ascii="Times New Roman" w:hAnsi="Times New Roman" w:eastAsia="仿宋" w:cs="Times New Roman"/>
          <w:sz w:val="32"/>
          <w:szCs w:val="32"/>
        </w:rPr>
        <w:t>；其他支出无增减变化。</w:t>
      </w:r>
    </w:p>
    <w:p>
      <w:pPr>
        <w:numPr>
          <w:ilvl w:val="0"/>
          <w:numId w:val="0"/>
        </w:numPr>
        <w:spacing w:line="460" w:lineRule="exact"/>
        <w:ind w:firstLine="960" w:firstLineChars="300"/>
        <w:rPr>
          <w:rFonts w:hint="eastAsia" w:ascii="Times New Roman" w:hAnsi="Times New Roman" w:eastAsia="仿宋" w:cs="Times New Roman"/>
          <w:sz w:val="32"/>
          <w:szCs w:val="32"/>
        </w:rPr>
      </w:pPr>
    </w:p>
    <w:p>
      <w:pPr>
        <w:numPr>
          <w:ilvl w:val="0"/>
          <w:numId w:val="2"/>
        </w:numPr>
        <w:spacing w:before="10" w:after="10" w:line="360" w:lineRule="auto"/>
        <w:ind w:firstLine="640" w:firstLineChars="20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spacing w:line="460" w:lineRule="exact"/>
        <w:ind w:left="638" w:leftChars="266" w:firstLine="640" w:firstLineChars="200"/>
        <w:rPr>
          <w:rFonts w:ascii="仿宋" w:hAnsi="仿宋" w:eastAsia="仿宋"/>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16.77</w:t>
      </w:r>
      <w:r>
        <w:rPr>
          <w:rFonts w:hint="eastAsia" w:ascii="Times New Roman" w:hAnsi="Times New Roman" w:eastAsia="仿宋" w:cs="Times New Roman"/>
          <w:sz w:val="32"/>
          <w:szCs w:val="32"/>
        </w:rPr>
        <w:t>万元，主要用于保证机关正常运转的办公及印刷费、邮电费、差旅费、福利费及一般设备购置费、日常维修费等支出。</w:t>
      </w:r>
    </w:p>
    <w:p>
      <w:pPr>
        <w:pStyle w:val="21"/>
        <w:ind w:left="0" w:leftChars="0" w:firstLine="0" w:firstLineChars="0"/>
      </w:pPr>
    </w:p>
    <w:p>
      <w:pPr>
        <w:numPr>
          <w:ilvl w:val="0"/>
          <w:numId w:val="2"/>
        </w:numPr>
        <w:spacing w:before="10" w:after="10" w:line="360" w:lineRule="auto"/>
        <w:ind w:left="0" w:leftChars="0" w:firstLine="640" w:firstLineChars="20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spacing w:line="460" w:lineRule="exact"/>
        <w:ind w:left="638" w:leftChars="266"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numPr>
          <w:ilvl w:val="0"/>
          <w:numId w:val="0"/>
        </w:numPr>
        <w:spacing w:before="10" w:after="10" w:line="360" w:lineRule="auto"/>
        <w:ind w:leftChars="200"/>
        <w:jc w:val="left"/>
        <w:outlineLvl w:val="2"/>
        <w:rPr>
          <w:rFonts w:ascii="黑体" w:hAnsi="黑体" w:eastAsia="黑体" w:cs="黑体"/>
          <w:color w:val="000000"/>
          <w:sz w:val="32"/>
        </w:rPr>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深入贯彻落实党的十九大精神，坚持以习近平新时代中国特色社会主义思想为指导，坚持以人民为中心的发展思想，围绕全面落实中央赋予的“六项重点任务”，以保持和增强政治性、先进性、群众性为出发点和落脚点。通过改革，创新计划生育协会组织的管理体制，运行机制和服务模式，增强基层组织活力。更好的适应人口和计划生育工作转型发展的新要求，以及广大育龄群众和计划生育家庭对生育关怀、家庭健康等服务需求的新特点，创新宣传服务活动，打造青春健康服务品牌，完善“亲情关爱”服务模式，着力推进计划生育协会组织和工作创新，推动“八项工程”落实，切实把计划生育协会组织建设成为家庭发展的“助推者”、计划生育权益维护的“代言人”、计划生育特殊家庭的“贴心人”，进一步提高新时期计划生育协会联系和服务群众的能力，促进人口长期均衡发展与家庭健康幸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1、建立健全计划生育协会工作制度。</w:t>
      </w:r>
    </w:p>
    <w:p>
      <w:pPr>
        <w:pStyle w:val="24"/>
      </w:pPr>
      <w:r>
        <w:t>绩效目标：建立健全计生协依法以章程独立自主开展工作的制度。依照章程适时组织召开计生协会员代表大会和理事会，按时换届，调整理事会、常务理事会结构，提高基层和一线人员比例。进一步增强计生协的代表性、广泛性。建立健全理事会、会员联系群众制度.</w:t>
      </w:r>
    </w:p>
    <w:p>
      <w:pPr>
        <w:pStyle w:val="24"/>
      </w:pPr>
      <w:r>
        <w:t>绩效指标：对我区计生协宣传员60名，238名秘书长和若干志愿者进行培训。根据《中国计生协章程》规定和省市对计生协要求对我区计生协进行换届召开会员代表大会。</w:t>
      </w:r>
    </w:p>
    <w:p>
      <w:pPr>
        <w:pStyle w:val="24"/>
      </w:pPr>
    </w:p>
    <w:p>
      <w:pPr>
        <w:pStyle w:val="24"/>
      </w:pPr>
      <w:r>
        <w:t>2、开展计划生育家庭帮扶.</w:t>
      </w:r>
    </w:p>
    <w:p>
      <w:pPr>
        <w:pStyle w:val="24"/>
      </w:pPr>
      <w:r>
        <w:t>绩效目标：围绕计生家庭需求，在生活、生育方面提供帮扶，推进家庭文明建设。深入实施计划生育保险等商业保险项目，完善计划生育家庭意外伤害保险、计生特殊家庭住院护工补贴保险。保障独生子女家庭因发生意外而得到基本的治疗服务和必要的扶助，有效提高独生子女家庭抵御意外伤害风险的能力。</w:t>
      </w:r>
    </w:p>
    <w:p>
      <w:pPr>
        <w:pStyle w:val="24"/>
      </w:pPr>
    </w:p>
    <w:p>
      <w:pPr>
        <w:pStyle w:val="24"/>
      </w:pPr>
      <w:r>
        <w:t>绩效指标：对全区农村计生家庭和城镇低保户计生家庭投保计生家庭意外伤害保险、30元/户。农村18周岁-19周岁独生子女家庭、失独家庭、军人家庭、孤儿家庭、双女户特困家庭，为计生特殊家庭缴纳护工补贴保险200/人。根据特殊人员需求投保覆盖率达95%以上</w:t>
      </w:r>
    </w:p>
    <w:p>
      <w:pPr>
        <w:pStyle w:val="24"/>
      </w:pPr>
    </w:p>
    <w:p>
      <w:pPr>
        <w:pStyle w:val="24"/>
      </w:pPr>
      <w:r>
        <w:t>3、实施计生特殊家庭亲情关爱</w:t>
      </w:r>
    </w:p>
    <w:p>
      <w:pPr>
        <w:pStyle w:val="24"/>
      </w:pPr>
      <w:r>
        <w:t>绩效目标：继续开展计生特殊家庭“亲情关爱”行动，在生活帮扶，心理疏导、精神慰藉、精神支持等方面提供精准服务。在重大节日对辖区内的关爱对象进行上门走访慰问。继续为计生困难家庭考入“985”“211”高校的女孩争取支持，逐步完善藁城区“天使圆梦”活动</w:t>
      </w:r>
    </w:p>
    <w:p>
      <w:pPr>
        <w:pStyle w:val="24"/>
      </w:pPr>
    </w:p>
    <w:p>
      <w:pPr>
        <w:pStyle w:val="24"/>
      </w:pPr>
      <w:r>
        <w:t>绩效指标：对全区约80户计生特殊家庭在母亲节，春节元旦等重大传统节日进行亲情关爱精神慰藉紧急救助等活动，给予生活用品或慰问金等。为计生困难家庭考入“985”“211”高校的女孩圆梦。对全区符合条件计生家庭做到随有随报。</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1、加强党对计划生育协会的全面领导</w:t>
      </w:r>
    </w:p>
    <w:p>
      <w:pPr>
        <w:pStyle w:val="25"/>
      </w:pPr>
      <w:r>
        <w:t>计生协作为党领导的群团组织，要深入学习贯彻习近平新时代中国特色社会主义思想，增强</w:t>
      </w:r>
      <w:r>
        <w:rPr>
          <w:rFonts w:hint="eastAsia" w:eastAsia="宋体"/>
          <w:lang w:eastAsia="zh-CN"/>
        </w:rPr>
        <w:t>“</w:t>
      </w:r>
      <w:bookmarkStart w:id="18" w:name="_GoBack"/>
      <w:bookmarkEnd w:id="18"/>
      <w:r>
        <w:t>四个意识</w:t>
      </w:r>
      <w:r>
        <w:rPr>
          <w:rFonts w:hint="eastAsia" w:eastAsia="宋体"/>
          <w:lang w:eastAsia="zh-CN"/>
        </w:rPr>
        <w:t>”</w:t>
      </w:r>
      <w:r>
        <w:t>，践行</w:t>
      </w:r>
      <w:r>
        <w:rPr>
          <w:rFonts w:hint="eastAsia" w:eastAsia="宋体"/>
          <w:lang w:eastAsia="zh-CN"/>
        </w:rPr>
        <w:t>“</w:t>
      </w:r>
      <w:r>
        <w:t>两个维护</w:t>
      </w:r>
      <w:r>
        <w:rPr>
          <w:rFonts w:hint="eastAsia" w:eastAsia="宋体"/>
          <w:lang w:eastAsia="zh-CN"/>
        </w:rPr>
        <w:t>”</w:t>
      </w:r>
      <w:r>
        <w:t>，坚定</w:t>
      </w:r>
      <w:r>
        <w:rPr>
          <w:rFonts w:hint="default" w:eastAsia="宋体"/>
          <w:lang w:val="en-US" w:eastAsia="zh-CN"/>
        </w:rPr>
        <w:t>“</w:t>
      </w:r>
      <w:r>
        <w:t>四个自信</w:t>
      </w:r>
      <w:r>
        <w:rPr>
          <w:rFonts w:hint="default"/>
          <w:lang w:val="en-US" w:eastAsia="zh-CN"/>
        </w:rPr>
        <w:t>”</w:t>
      </w:r>
      <w:r>
        <w:t>始终保持计生协组织和工作的正确方向。</w:t>
      </w:r>
    </w:p>
    <w:p>
      <w:pPr>
        <w:pStyle w:val="25"/>
      </w:pPr>
      <w:r>
        <w:t>2、加强计划生育协会组织建设</w:t>
      </w:r>
    </w:p>
    <w:p>
      <w:pPr>
        <w:tabs>
          <w:tab w:val="left" w:pos="5460"/>
        </w:tabs>
        <w:bidi w:val="0"/>
        <w:jc w:val="left"/>
        <w:rPr>
          <w:rFonts w:hint="default" w:eastAsia="宋体"/>
          <w:lang w:val="en-US" w:eastAsia="zh-CN"/>
        </w:rPr>
      </w:pPr>
      <w:r>
        <w:rPr>
          <w:rFonts w:hint="eastAsia" w:eastAsia="宋体"/>
          <w:lang w:eastAsia="zh-CN"/>
        </w:rPr>
        <w:tab/>
      </w:r>
    </w:p>
    <w:p>
      <w:pPr>
        <w:pStyle w:val="25"/>
      </w:pPr>
      <w:r>
        <w:t>坚持由分管计生工作的党委副书记担任会长，坚持和完善将计生协组织建设纳入计划生育目标管理责任制。坚持将区计生协纳入群团序列，参照公务员管理，配备与计生协工作任务相适应的人员。</w:t>
      </w:r>
    </w:p>
    <w:p>
      <w:pPr>
        <w:pStyle w:val="25"/>
      </w:pPr>
      <w:r>
        <w:t>3、夯实乡级计划生育协会组织基础</w:t>
      </w:r>
    </w:p>
    <w:p>
      <w:pPr>
        <w:pStyle w:val="25"/>
      </w:pPr>
      <w:r>
        <w:t>按照组织健全、设施完善、制度规范、任务明确的要求，着力解决乡级计生协组织虚化、人员不落实、管理不规范、职能作用发挥不充分等突出问题。</w:t>
      </w:r>
    </w:p>
    <w:p>
      <w:pPr>
        <w:pStyle w:val="25"/>
      </w:pPr>
      <w:r>
        <w:t>4、完善村（居）计划生育协会组织</w:t>
      </w:r>
    </w:p>
    <w:p>
      <w:pPr>
        <w:pStyle w:val="25"/>
      </w:pPr>
      <w:r>
        <w:t>结合村两委班子换届工作，选配号村计生协领导班子，吸收致富带头人，行业领军人才，技术特长人员，社会知名人士等加入计生协组织，打造一支结构合理的基层队伍。</w:t>
      </w:r>
    </w:p>
    <w:p>
      <w:pPr>
        <w:pStyle w:val="25"/>
      </w:pPr>
      <w:r>
        <w:t>5、推动计划生育多元共治新格局的形成。</w:t>
      </w:r>
    </w:p>
    <w:p>
      <w:pPr>
        <w:pStyle w:val="25"/>
      </w:pPr>
      <w:r>
        <w:t>聚焦生育行为全周期，开展优生优育知识科普培训，办好优生优育大讲坛。更好的发挥党和政府联系广大育龄群众和计生家庭的桥梁和纽带作用，推动形成生育多元化共治新格局。</w:t>
      </w:r>
    </w:p>
    <w:p>
      <w:pPr>
        <w:pStyle w:val="25"/>
      </w:pPr>
      <w:r>
        <w:t>6、开展计划生育家庭帮扶。</w:t>
      </w:r>
    </w:p>
    <w:p>
      <w:pPr>
        <w:pStyle w:val="25"/>
      </w:pPr>
      <w:r>
        <w:t>围绕计生家庭需求，在生产，生活，生育方面提供帮扶，推进家庭文明建设。深入开展计生特殊家庭亲情关爱行动。</w:t>
      </w:r>
    </w:p>
    <w:p>
      <w:pPr>
        <w:pStyle w:val="25"/>
      </w:pPr>
      <w:r>
        <w:t>7、参与基层社会治理</w:t>
      </w:r>
    </w:p>
    <w:p>
      <w:pPr>
        <w:pStyle w:val="25"/>
      </w:pPr>
      <w:r>
        <w:t>扎实开展服务乡村振兴、促进家庭健康行动。积极参与乡村治理。发挥计生协基层优势，助力建设共建共享的社会治理格局。</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1、计生特殊家庭慰问资金绩效目标表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1.实施计划生育特困家庭帮扶制度，对计划生育家庭进行节日活动慰问和亲情关爱,实施计生特殊家庭亲情关爱，精神慰藉紧急救助等重大传统节日慰问走访活动。保障和改善民生，促进社会和谐稳定。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符合条件的计划生育特困家庭数量</w:t>
            </w:r>
          </w:p>
        </w:tc>
        <w:tc>
          <w:tcPr>
            <w:tcW w:w="2466" w:type="dxa"/>
            <w:vAlign w:val="center"/>
          </w:tcPr>
          <w:p>
            <w:pPr>
              <w:pStyle w:val="28"/>
            </w:pPr>
            <w:r>
              <w:t>符合条件的计划生育特困家庭数量由经相关部门审批通过。</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辖区内符合条件申报对象全覆盖，在重大节日及时慰问</w:t>
            </w:r>
          </w:p>
        </w:tc>
        <w:tc>
          <w:tcPr>
            <w:tcW w:w="2466" w:type="dxa"/>
            <w:vAlign w:val="center"/>
          </w:tcPr>
          <w:p>
            <w:pPr>
              <w:pStyle w:val="28"/>
            </w:pPr>
            <w:r>
              <w:t>辖区内符合条件申报对象全覆盖，在重大节日及时慰问和亲情关爱</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在传统节日走访慰问帮助解决实际困难。</w:t>
            </w:r>
          </w:p>
        </w:tc>
        <w:tc>
          <w:tcPr>
            <w:tcW w:w="2466" w:type="dxa"/>
            <w:vAlign w:val="center"/>
          </w:tcPr>
          <w:p>
            <w:pPr>
              <w:pStyle w:val="28"/>
            </w:pPr>
            <w:r>
              <w:t>对计划生育家庭进行节日活动慰问和亲情关爱,保障和改善民生，促进社会和谐稳定。</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开展计划生育特殊家庭“暖心行动”在传统节日端午，中秋，重阳，春节等重要节日开展走访慰问，帮助解决实际困难，给予生活照顾和精神上的慰藉。标准1100元*78户</w:t>
            </w:r>
          </w:p>
        </w:tc>
        <w:tc>
          <w:tcPr>
            <w:tcW w:w="2466" w:type="dxa"/>
            <w:vAlign w:val="center"/>
          </w:tcPr>
          <w:p>
            <w:pPr>
              <w:pStyle w:val="28"/>
            </w:pPr>
            <w:r>
              <w:t>开展计划生育特殊家庭“暖心行动”在传统节日端午，中秋，重阳，春节等重要节日开展走访慰问，帮助解决实际困难，给予生活照顾和精神上的慰藉。标准1100元*78户</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保障和改善民生，促进社会和谐稳定。</w:t>
            </w:r>
          </w:p>
        </w:tc>
        <w:tc>
          <w:tcPr>
            <w:tcW w:w="2466" w:type="dxa"/>
            <w:vAlign w:val="center"/>
          </w:tcPr>
          <w:p>
            <w:pPr>
              <w:pStyle w:val="28"/>
            </w:pPr>
            <w:r>
              <w:t>保障和改善民生，促进社会和谐稳定。</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辖区内符合条件申报对象全覆盖，在重大节日及时慰问，帮扶的计生特殊家庭的满意度</w:t>
            </w:r>
          </w:p>
        </w:tc>
        <w:tc>
          <w:tcPr>
            <w:tcW w:w="2466" w:type="dxa"/>
            <w:vAlign w:val="center"/>
          </w:tcPr>
          <w:p>
            <w:pPr>
              <w:pStyle w:val="28"/>
            </w:pPr>
            <w:r>
              <w:t>辖区内符合条件申报对象全覆盖，在重大节日及时慰问，帮扶的计生特殊家庭的满意度</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2、计生协宣传服务专项经费绩效目标表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1.为进一步发挥计生协生力军的作用，重点开展一系列宣传活动，实施“天使圆梦”助学活动。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为进一步发挥计生协生力军的作用，重点开展一系列宣传活动，实施“天使圆梦”助学活动。符合“天使圆梦”活动救助女孩的人数</w:t>
            </w:r>
          </w:p>
        </w:tc>
        <w:tc>
          <w:tcPr>
            <w:tcW w:w="2466" w:type="dxa"/>
            <w:vAlign w:val="center"/>
          </w:tcPr>
          <w:p>
            <w:pPr>
              <w:pStyle w:val="28"/>
            </w:pPr>
            <w:r>
              <w:t>利用“5.29”“7.11”“12.1”等活动日扩大计生宣传，积极为计生困难家庭考入“985”“211”高校的女孩争取支持，逐步完善藁城区“天使圆梦”活动。</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宣传活动日的宣传活动，核实符合“天使圆梦”活动救助女孩的人数</w:t>
            </w:r>
          </w:p>
        </w:tc>
        <w:tc>
          <w:tcPr>
            <w:tcW w:w="2466" w:type="dxa"/>
            <w:vAlign w:val="center"/>
          </w:tcPr>
          <w:p>
            <w:pPr>
              <w:pStyle w:val="28"/>
            </w:pPr>
            <w:r>
              <w:t>宣传活动日的宣传活动，核实符合“天使圆梦”活动救助女孩的人数</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扩大计生宣传，及时助贫困女孩顺利进入大学</w:t>
            </w:r>
          </w:p>
        </w:tc>
        <w:tc>
          <w:tcPr>
            <w:tcW w:w="2466" w:type="dxa"/>
            <w:vAlign w:val="center"/>
          </w:tcPr>
          <w:p>
            <w:pPr>
              <w:pStyle w:val="28"/>
            </w:pPr>
            <w:r>
              <w:t>扩大计生宣传，及时助贫困女孩顺利进入大学</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“天使圆梦”活动。救助金1000元/人</w:t>
            </w:r>
          </w:p>
        </w:tc>
        <w:tc>
          <w:tcPr>
            <w:tcW w:w="2466" w:type="dxa"/>
            <w:vAlign w:val="center"/>
          </w:tcPr>
          <w:p>
            <w:pPr>
              <w:pStyle w:val="28"/>
            </w:pPr>
            <w:r>
              <w:t>“天使圆梦”活动。救助金1000元/人</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利用“5.29”“7.11”“12.1”等活动日扩大计生宣传，积极为计生困难家庭考入“985”“211”高校的女孩争取支持，逐步完善藁城区“天使圆梦”活动。</w:t>
            </w:r>
          </w:p>
        </w:tc>
        <w:tc>
          <w:tcPr>
            <w:tcW w:w="2466" w:type="dxa"/>
            <w:vAlign w:val="center"/>
          </w:tcPr>
          <w:p>
            <w:pPr>
              <w:pStyle w:val="28"/>
            </w:pPr>
            <w:r>
              <w:t>利用“5.29”“7.11”“12.1”等活动日扩大计生宣传，积极为计生困难家庭考入“985”“211”高校的女孩争取支持，逐步完善藁城区“天使圆梦”活动。</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通过宣传增大群众的知晓率。辖区内符合条件的女孩人数</w:t>
            </w:r>
          </w:p>
        </w:tc>
        <w:tc>
          <w:tcPr>
            <w:tcW w:w="2466" w:type="dxa"/>
            <w:vAlign w:val="center"/>
          </w:tcPr>
          <w:p>
            <w:pPr>
              <w:pStyle w:val="28"/>
            </w:pPr>
            <w:r>
              <w:t>服务人群的满意，认可度</w:t>
            </w:r>
          </w:p>
        </w:tc>
        <w:tc>
          <w:tcPr>
            <w:tcW w:w="2466" w:type="dxa"/>
            <w:vAlign w:val="center"/>
          </w:tcPr>
          <w:p>
            <w:pPr>
              <w:pStyle w:val="28"/>
            </w:pPr>
            <w:r>
              <w:t>≥95%</w:t>
            </w:r>
          </w:p>
        </w:tc>
        <w:tc>
          <w:tcPr>
            <w:tcW w:w="2466" w:type="dxa"/>
            <w:vAlign w:val="center"/>
          </w:tcPr>
          <w:p>
            <w:pPr>
              <w:pStyle w:val="28"/>
            </w:pPr>
            <w:r>
              <w:t>实际情况</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3、劳务派遣工作人员费用绩效目标表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1.加强计生协队伍建设，提高工作效率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根据工作需要招聘一名劳务派遣人员</w:t>
            </w:r>
          </w:p>
        </w:tc>
        <w:tc>
          <w:tcPr>
            <w:tcW w:w="2466" w:type="dxa"/>
            <w:vAlign w:val="center"/>
          </w:tcPr>
          <w:p>
            <w:pPr>
              <w:pStyle w:val="28"/>
            </w:pPr>
            <w:r>
              <w:t>根据工作需要招聘一名劳务派遣人员</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及时支付工作人员工资</w:t>
            </w:r>
          </w:p>
        </w:tc>
        <w:tc>
          <w:tcPr>
            <w:tcW w:w="2466" w:type="dxa"/>
            <w:vAlign w:val="center"/>
          </w:tcPr>
          <w:p>
            <w:pPr>
              <w:pStyle w:val="28"/>
            </w:pPr>
            <w:r>
              <w:t>及时支付工作人员工资</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加强计生协队伍建设，提高工作效率</w:t>
            </w:r>
          </w:p>
        </w:tc>
        <w:tc>
          <w:tcPr>
            <w:tcW w:w="2466" w:type="dxa"/>
            <w:vAlign w:val="center"/>
          </w:tcPr>
          <w:p>
            <w:pPr>
              <w:pStyle w:val="28"/>
            </w:pPr>
            <w:r>
              <w:t>加强计生协队伍建设，提高工作效率</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按照文件标准发放工资</w:t>
            </w:r>
          </w:p>
        </w:tc>
        <w:tc>
          <w:tcPr>
            <w:tcW w:w="2466" w:type="dxa"/>
            <w:vAlign w:val="center"/>
          </w:tcPr>
          <w:p>
            <w:pPr>
              <w:pStyle w:val="28"/>
            </w:pPr>
            <w:r>
              <w:t>按照文件标准发放工资</w:t>
            </w:r>
          </w:p>
        </w:tc>
        <w:tc>
          <w:tcPr>
            <w:tcW w:w="2466" w:type="dxa"/>
            <w:vAlign w:val="center"/>
          </w:tcPr>
          <w:p>
            <w:pPr>
              <w:pStyle w:val="28"/>
            </w:pPr>
            <w:r>
              <w:t>2850元/月</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为进一步增强计生协能力建设，通过购买社会服务的形式，通过劳务公司招录相关人员</w:t>
            </w:r>
          </w:p>
        </w:tc>
        <w:tc>
          <w:tcPr>
            <w:tcW w:w="2466" w:type="dxa"/>
            <w:vAlign w:val="center"/>
          </w:tcPr>
          <w:p>
            <w:pPr>
              <w:pStyle w:val="28"/>
            </w:pPr>
            <w:r>
              <w:t>为进一步增强计生协能力建设，通过购买社会服务的形式，通过劳务公司招录相关人员</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劳务派遣人员的满意度</w:t>
            </w:r>
          </w:p>
        </w:tc>
        <w:tc>
          <w:tcPr>
            <w:tcW w:w="2466" w:type="dxa"/>
            <w:vAlign w:val="center"/>
          </w:tcPr>
          <w:p>
            <w:pPr>
              <w:pStyle w:val="28"/>
            </w:pPr>
            <w:r>
              <w:t>劳务派遣人员的满意度，工作积极性</w:t>
            </w:r>
          </w:p>
        </w:tc>
        <w:tc>
          <w:tcPr>
            <w:tcW w:w="2466" w:type="dxa"/>
            <w:vAlign w:val="center"/>
          </w:tcPr>
          <w:p>
            <w:pPr>
              <w:pStyle w:val="28"/>
            </w:pPr>
            <w:r>
              <w:t>≥95%</w:t>
            </w:r>
          </w:p>
        </w:tc>
        <w:tc>
          <w:tcPr>
            <w:tcW w:w="2466" w:type="dxa"/>
            <w:vAlign w:val="center"/>
          </w:tcPr>
          <w:p>
            <w:pPr>
              <w:pStyle w:val="28"/>
            </w:pPr>
            <w:r>
              <w:t>实际情况</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4、农村独生子女家庭意外伤害保险绩效目标表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1.农村18-19周以内的独生子女家庭意外伤害保险</w:t>
            </w:r>
          </w:p>
          <w:p>
            <w:pPr>
              <w:pStyle w:val="28"/>
            </w:pPr>
            <w:r>
              <w:t>2.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农村独生子女18-19周家庭，城镇低保户家庭，孤儿，失独家庭的数量</w:t>
            </w:r>
          </w:p>
        </w:tc>
        <w:tc>
          <w:tcPr>
            <w:tcW w:w="2466" w:type="dxa"/>
            <w:vAlign w:val="center"/>
          </w:tcPr>
          <w:p>
            <w:pPr>
              <w:pStyle w:val="28"/>
            </w:pPr>
            <w:r>
              <w:t>准确核实符合条件申报条件的家庭奖数量</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家庭意外伤害险的投保的及时率和赔付及时率</w:t>
            </w:r>
          </w:p>
        </w:tc>
        <w:tc>
          <w:tcPr>
            <w:tcW w:w="2466" w:type="dxa"/>
            <w:vAlign w:val="center"/>
          </w:tcPr>
          <w:p>
            <w:pPr>
              <w:pStyle w:val="28"/>
            </w:pPr>
            <w:r>
              <w:t>对计生家庭及时投保及时赔付</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保险期限为一年</w:t>
            </w:r>
          </w:p>
        </w:tc>
        <w:tc>
          <w:tcPr>
            <w:tcW w:w="2466" w:type="dxa"/>
            <w:vAlign w:val="center"/>
          </w:tcPr>
          <w:p>
            <w:pPr>
              <w:pStyle w:val="28"/>
            </w:pPr>
            <w:r>
              <w:t>家庭意外伤害险的有效期限为一年</w:t>
            </w:r>
          </w:p>
        </w:tc>
        <w:tc>
          <w:tcPr>
            <w:tcW w:w="2466" w:type="dxa"/>
            <w:vAlign w:val="center"/>
          </w:tcPr>
          <w:p>
            <w:pPr>
              <w:pStyle w:val="28"/>
            </w:pPr>
            <w:r>
              <w:t>1年</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保额为30元/户</w:t>
            </w:r>
          </w:p>
        </w:tc>
        <w:tc>
          <w:tcPr>
            <w:tcW w:w="2466" w:type="dxa"/>
            <w:vAlign w:val="center"/>
          </w:tcPr>
          <w:p>
            <w:pPr>
              <w:pStyle w:val="28"/>
            </w:pPr>
            <w:r>
              <w:t>家庭意外伤害险的保费为30元/户</w:t>
            </w:r>
          </w:p>
        </w:tc>
        <w:tc>
          <w:tcPr>
            <w:tcW w:w="2466" w:type="dxa"/>
            <w:vAlign w:val="center"/>
          </w:tcPr>
          <w:p>
            <w:pPr>
              <w:pStyle w:val="28"/>
            </w:pPr>
            <w:r>
              <w:t>30元/户</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为了增强计生家庭抵御意外伤害能力，最大限度地维护计划生育家庭的利益</w:t>
            </w:r>
          </w:p>
        </w:tc>
        <w:tc>
          <w:tcPr>
            <w:tcW w:w="2466" w:type="dxa"/>
            <w:vAlign w:val="center"/>
          </w:tcPr>
          <w:p>
            <w:pPr>
              <w:pStyle w:val="28"/>
            </w:pPr>
            <w:r>
              <w:t>以较低的保费，较全较高的保额，最大限度地维护计划生育家庭的利益</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计生农村独生子女家庭，城镇低保户家庭，孤儿，失独家庭</w:t>
            </w:r>
          </w:p>
        </w:tc>
        <w:tc>
          <w:tcPr>
            <w:tcW w:w="2466" w:type="dxa"/>
            <w:vAlign w:val="center"/>
          </w:tcPr>
          <w:p>
            <w:pPr>
              <w:pStyle w:val="28"/>
            </w:pPr>
            <w:r>
              <w:t>计生农村独生子女家庭，城镇低保户家庭，孤儿，失独家庭的满意度</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5、亲情关爱救助基金绩效目标表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1.实施计划生育特困家庭帮扶制度，对计划生育家庭进行节日活动慰问和亲情关爱，给予计生失独家庭护工保险补贴,保障和改善民生，促进社会和谐稳定。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计划生育特殊家庭户数及人数</w:t>
            </w:r>
          </w:p>
        </w:tc>
        <w:tc>
          <w:tcPr>
            <w:tcW w:w="2466" w:type="dxa"/>
            <w:vAlign w:val="center"/>
          </w:tcPr>
          <w:p>
            <w:pPr>
              <w:pStyle w:val="28"/>
            </w:pPr>
            <w:r>
              <w:t>符合申报条件的计划生育特殊家庭户数及人数</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符合条件申报对象的覆盖率</w:t>
            </w:r>
          </w:p>
        </w:tc>
        <w:tc>
          <w:tcPr>
            <w:tcW w:w="2466" w:type="dxa"/>
            <w:vAlign w:val="center"/>
          </w:tcPr>
          <w:p>
            <w:pPr>
              <w:pStyle w:val="28"/>
            </w:pPr>
            <w:r>
              <w:t>准确核实全区内符合申报条件的计划生育特殊家庭户数及人数</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帮扶兑现准确率和资金到位的及时率</w:t>
            </w:r>
          </w:p>
        </w:tc>
        <w:tc>
          <w:tcPr>
            <w:tcW w:w="2466" w:type="dxa"/>
            <w:vAlign w:val="center"/>
          </w:tcPr>
          <w:p>
            <w:pPr>
              <w:pStyle w:val="28"/>
            </w:pPr>
            <w:r>
              <w:t>实施计划生育特困家庭帮扶制度和亲情关爱，开展计生家庭保险工作，给予计生失独家庭护工保险补贴,</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农村计划生育特殊家庭护工保险的标准及亲情关爱</w:t>
            </w:r>
          </w:p>
        </w:tc>
        <w:tc>
          <w:tcPr>
            <w:tcW w:w="2466" w:type="dxa"/>
            <w:vAlign w:val="center"/>
          </w:tcPr>
          <w:p>
            <w:pPr>
              <w:pStyle w:val="28"/>
            </w:pPr>
            <w:r>
              <w:t>计生失独家庭护工保险补贴,保障特殊家庭成员在住院期间有人护理200元/户</w:t>
            </w:r>
          </w:p>
        </w:tc>
        <w:tc>
          <w:tcPr>
            <w:tcW w:w="2466" w:type="dxa"/>
            <w:vAlign w:val="center"/>
          </w:tcPr>
          <w:p>
            <w:pPr>
              <w:pStyle w:val="28"/>
            </w:pPr>
            <w:r>
              <w:t>200元/人</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帮扶及关爱基金对帮扶对象生活困难，心情有所缓解</w:t>
            </w:r>
          </w:p>
        </w:tc>
        <w:tc>
          <w:tcPr>
            <w:tcW w:w="2466" w:type="dxa"/>
            <w:vAlign w:val="center"/>
          </w:tcPr>
          <w:p>
            <w:pPr>
              <w:pStyle w:val="28"/>
            </w:pPr>
            <w:r>
              <w:t>实施计划生育特困家庭帮扶制度和亲情关爱，开展计生家庭保险工作，给予计生失独家庭护工保险补贴,保障特殊家庭成员在住院期间有人护理，保障和改善民生，促进社会和谐稳定。</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奖励帮扶的计生特殊家庭的满意度</w:t>
            </w:r>
          </w:p>
        </w:tc>
        <w:tc>
          <w:tcPr>
            <w:tcW w:w="2466" w:type="dxa"/>
            <w:vAlign w:val="center"/>
          </w:tcPr>
          <w:p>
            <w:pPr>
              <w:pStyle w:val="28"/>
            </w:pPr>
            <w:r>
              <w:t>帮扶的计生特殊家庭对工作的认可</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6、石财社[2021]118号关于提前下达2022年省级计划生育服务补助资金绩效目标表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1.优生优育指导中心服务情况，通过各项活动为目标人群服务。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孕前健康培训及指导、优生优育讲座、孕期实操训练、家长课堂举办</w:t>
            </w:r>
          </w:p>
        </w:tc>
        <w:tc>
          <w:tcPr>
            <w:tcW w:w="2466" w:type="dxa"/>
            <w:vAlign w:val="center"/>
          </w:tcPr>
          <w:p>
            <w:pPr>
              <w:pStyle w:val="28"/>
            </w:pPr>
            <w:r>
              <w:t>6次</w:t>
            </w:r>
          </w:p>
        </w:tc>
        <w:tc>
          <w:tcPr>
            <w:tcW w:w="2466" w:type="dxa"/>
            <w:vAlign w:val="center"/>
          </w:tcPr>
          <w:p>
            <w:pPr>
              <w:pStyle w:val="28"/>
            </w:pPr>
            <w:r>
              <w:t>6次/年</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家长课堂、亲子活动、家长经验交流会</w:t>
            </w:r>
          </w:p>
        </w:tc>
        <w:tc>
          <w:tcPr>
            <w:tcW w:w="2466" w:type="dxa"/>
            <w:vAlign w:val="center"/>
          </w:tcPr>
          <w:p>
            <w:pPr>
              <w:pStyle w:val="28"/>
            </w:pPr>
            <w:r>
              <w:t>提高广大家庭科学育儿的意识率</w:t>
            </w:r>
          </w:p>
        </w:tc>
        <w:tc>
          <w:tcPr>
            <w:tcW w:w="2466" w:type="dxa"/>
            <w:vAlign w:val="center"/>
          </w:tcPr>
          <w:p>
            <w:pPr>
              <w:pStyle w:val="28"/>
            </w:pPr>
            <w:r>
              <w:t>≥95%</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优生优育指导中心服务情况</w:t>
            </w:r>
          </w:p>
        </w:tc>
        <w:tc>
          <w:tcPr>
            <w:tcW w:w="2466" w:type="dxa"/>
            <w:vAlign w:val="center"/>
          </w:tcPr>
          <w:p>
            <w:pPr>
              <w:pStyle w:val="28"/>
            </w:pPr>
            <w:r>
              <w:t>优生优育指导中心服务率</w:t>
            </w:r>
          </w:p>
        </w:tc>
        <w:tc>
          <w:tcPr>
            <w:tcW w:w="2466" w:type="dxa"/>
            <w:vAlign w:val="center"/>
          </w:tcPr>
          <w:p>
            <w:pPr>
              <w:pStyle w:val="28"/>
            </w:pPr>
            <w:r>
              <w:t>≥95%</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优生优育指导中心项目款</w:t>
            </w:r>
          </w:p>
        </w:tc>
        <w:tc>
          <w:tcPr>
            <w:tcW w:w="2466" w:type="dxa"/>
            <w:vAlign w:val="center"/>
          </w:tcPr>
          <w:p>
            <w:pPr>
              <w:pStyle w:val="28"/>
            </w:pPr>
            <w:r>
              <w:t>优生优育指导中心项目款</w:t>
            </w:r>
          </w:p>
        </w:tc>
        <w:tc>
          <w:tcPr>
            <w:tcW w:w="2466" w:type="dxa"/>
            <w:vAlign w:val="center"/>
          </w:tcPr>
          <w:p>
            <w:pPr>
              <w:pStyle w:val="28"/>
            </w:pPr>
            <w:r>
              <w:t>10万</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优生优育指导中心微信公务平台</w:t>
            </w:r>
          </w:p>
        </w:tc>
        <w:tc>
          <w:tcPr>
            <w:tcW w:w="2466" w:type="dxa"/>
            <w:vAlign w:val="center"/>
          </w:tcPr>
          <w:p>
            <w:pPr>
              <w:pStyle w:val="28"/>
            </w:pPr>
            <w:r>
              <w:t>定期推送优生优育优教的知识学习率</w:t>
            </w:r>
          </w:p>
        </w:tc>
        <w:tc>
          <w:tcPr>
            <w:tcW w:w="2466" w:type="dxa"/>
            <w:vAlign w:val="center"/>
          </w:tcPr>
          <w:p>
            <w:pPr>
              <w:pStyle w:val="28"/>
            </w:pPr>
            <w:r>
              <w:t>≥95%</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加强免费婚前医学检查宣传</w:t>
            </w:r>
          </w:p>
        </w:tc>
        <w:tc>
          <w:tcPr>
            <w:tcW w:w="2466" w:type="dxa"/>
            <w:vAlign w:val="center"/>
          </w:tcPr>
          <w:p>
            <w:pPr>
              <w:pStyle w:val="28"/>
            </w:pPr>
            <w:r>
              <w:t>加强免费婚前医学检查宣传率</w:t>
            </w:r>
          </w:p>
        </w:tc>
        <w:tc>
          <w:tcPr>
            <w:tcW w:w="2466" w:type="dxa"/>
            <w:vAlign w:val="center"/>
          </w:tcPr>
          <w:p>
            <w:pPr>
              <w:pStyle w:val="28"/>
            </w:pPr>
            <w:r>
              <w:t>≥95%</w:t>
            </w:r>
          </w:p>
        </w:tc>
        <w:tc>
          <w:tcPr>
            <w:tcW w:w="2466" w:type="dxa"/>
            <w:vAlign w:val="center"/>
          </w:tcPr>
          <w:p>
            <w:pPr>
              <w:pStyle w:val="28"/>
            </w:pPr>
            <w:r>
              <w:t>评估报告</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2022年，石家庄市藁城区计划生育协会安排政府采购预算0.85万元。具体内容见下表。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c>
          <w:tcPr>
            <w:tcW w:w="924" w:type="dxa"/>
            <w:vAlign w:val="center"/>
          </w:tcPr>
          <w:p>
            <w:pPr>
              <w:pStyle w:val="17"/>
            </w:pPr>
            <w:r>
              <w:t>0.85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石家庄市藁城区计划生育协会本级小计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c>
          <w:tcPr>
            <w:tcW w:w="924" w:type="dxa"/>
            <w:vAlign w:val="center"/>
          </w:tcPr>
          <w:p>
            <w:pPr>
              <w:pStyle w:val="17"/>
            </w:pPr>
            <w:r>
              <w:t>0.85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2022年日常公用经费</w:t>
            </w:r>
          </w:p>
        </w:tc>
        <w:tc>
          <w:tcPr>
            <w:tcW w:w="924" w:type="dxa"/>
            <w:vAlign w:val="center"/>
          </w:tcPr>
          <w:p>
            <w:pPr>
              <w:pStyle w:val="13"/>
            </w:pPr>
            <w:r>
              <w:t>16.77</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2</w:t>
            </w:r>
          </w:p>
        </w:tc>
        <w:tc>
          <w:tcPr>
            <w:tcW w:w="924" w:type="dxa"/>
            <w:vAlign w:val="center"/>
          </w:tcPr>
          <w:p>
            <w:pPr>
              <w:pStyle w:val="13"/>
            </w:pPr>
            <w:r>
              <w:t>0.35</w:t>
            </w:r>
          </w:p>
        </w:tc>
        <w:tc>
          <w:tcPr>
            <w:tcW w:w="924" w:type="dxa"/>
            <w:vAlign w:val="center"/>
          </w:tcPr>
          <w:p>
            <w:pPr>
              <w:pStyle w:val="13"/>
            </w:pPr>
            <w:r>
              <w:t>0.70</w:t>
            </w:r>
          </w:p>
        </w:tc>
        <w:tc>
          <w:tcPr>
            <w:tcW w:w="924" w:type="dxa"/>
            <w:vAlign w:val="center"/>
          </w:tcPr>
          <w:p>
            <w:pPr>
              <w:pStyle w:val="13"/>
            </w:pPr>
            <w:r>
              <w:t>0.70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2022年日常公用经费</w:t>
            </w:r>
          </w:p>
        </w:tc>
        <w:tc>
          <w:tcPr>
            <w:tcW w:w="924" w:type="dxa"/>
            <w:vAlign w:val="center"/>
          </w:tcPr>
          <w:p>
            <w:pPr>
              <w:pStyle w:val="13"/>
            </w:pPr>
            <w:r>
              <w:t>16.77</w:t>
            </w:r>
          </w:p>
        </w:tc>
        <w:tc>
          <w:tcPr>
            <w:tcW w:w="924" w:type="dxa"/>
            <w:vAlign w:val="center"/>
          </w:tcPr>
          <w:p>
            <w:pPr>
              <w:pStyle w:val="14"/>
            </w:pPr>
            <w:r>
              <w:t>激光打印机</w:t>
            </w:r>
          </w:p>
        </w:tc>
        <w:tc>
          <w:tcPr>
            <w:tcW w:w="924" w:type="dxa"/>
            <w:vAlign w:val="center"/>
          </w:tcPr>
          <w:p>
            <w:pPr>
              <w:pStyle w:val="14"/>
            </w:pPr>
            <w:r>
              <w:t>A0201060102</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2"/>
        <w:rPr>
          <w:rFonts w:ascii="黑体" w:hAnsi="黑体" w:eastAsia="黑体" w:cs="黑体"/>
          <w:color w:val="000000"/>
          <w:sz w:val="32"/>
        </w:rPr>
      </w:pPr>
      <w:r>
        <w:rPr>
          <w:rFonts w:ascii="黑体" w:hAnsi="黑体" w:eastAsia="黑体" w:cs="黑体"/>
          <w:color w:val="000000"/>
          <w:sz w:val="32"/>
        </w:rPr>
        <w:t xml:space="preserve"> </w:t>
      </w:r>
    </w:p>
    <w:p>
      <w:pPr>
        <w:spacing w:before="10" w:after="10" w:line="240" w:lineRule="auto"/>
        <w:ind w:firstLine="640"/>
        <w:jc w:val="left"/>
        <w:outlineLvl w:val="2"/>
        <w:rPr>
          <w:rFonts w:ascii="黑体" w:hAnsi="黑体" w:eastAsia="黑体" w:cs="黑体"/>
          <w:color w:val="000000"/>
          <w:sz w:val="32"/>
          <w:lang w:val="uk-UA"/>
        </w:rPr>
      </w:pPr>
      <w:r>
        <w:rPr>
          <w:rFonts w:hint="eastAsia" w:ascii="黑体" w:hAnsi="黑体" w:eastAsia="黑体" w:cs="黑体"/>
          <w:color w:val="000000"/>
          <w:sz w:val="32"/>
          <w:lang w:val="uk-UA"/>
        </w:rPr>
        <w:t xml:space="preserve">七、国有资产信息 </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石家庄市藁城区计划生育协会（含所属单位）上年末固定资产金额为1</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36万元（详见下表）。本年度拟购置固定资产总额为</w:t>
      </w:r>
      <w:r>
        <w:rPr>
          <w:rFonts w:hint="eastAsia" w:eastAsia="方正仿宋_GBK" w:cs="Times New Roman"/>
          <w:b w:val="0"/>
          <w:color w:val="000000"/>
          <w:sz w:val="28"/>
          <w:lang w:val="en-US" w:eastAsia="zh-CN"/>
        </w:rPr>
        <w:t>0.85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主要为计算机，打印机。</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725石家庄市藁城区计划生育协会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eastAsia" w:eastAsia="方正书宋_GBK"/>
                <w:lang w:val="en-US" w:eastAsia="zh-CN"/>
              </w:rPr>
            </w:pPr>
            <w:r>
              <w:t>1</w:t>
            </w:r>
            <w:r>
              <w:rPr>
                <w:rFonts w:hint="eastAsia"/>
                <w:lang w:val="en-US" w:eastAsia="zh-CN"/>
              </w:rPr>
              <w:t>.</w:t>
            </w:r>
            <w:r>
              <w:t>3</w:t>
            </w:r>
            <w:r>
              <w:rPr>
                <w:rFonts w:hint="eastAsia"/>
                <w:lang w:val="en-US" w:eastAsia="zh-CN"/>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w:t>
            </w:r>
            <w:r>
              <w:rPr>
                <w:rFonts w:hint="eastAsia"/>
                <w:lang w:val="en-US" w:eastAsia="zh-CN"/>
              </w:rPr>
              <w:t>.</w:t>
            </w:r>
            <w:r>
              <w:t>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7"/>
      <w:r>
        <w:rPr>
          <w:rFonts w:ascii="黑体" w:hAnsi="黑体" w:eastAsia="黑体" w:cs="黑体"/>
          <w:color w:val="000000"/>
          <w:sz w:val="32"/>
        </w:rPr>
        <w:t>八、名词解释</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6" w:name="_Toc_3_3_0000000018"/>
      <w:r>
        <w:rPr>
          <w:rFonts w:ascii="黑体" w:hAnsi="黑体" w:eastAsia="黑体" w:cs="黑体"/>
          <w:color w:val="000000"/>
          <w:sz w:val="32"/>
        </w:rPr>
        <w:t>九、其他需要说明的事项</w:t>
      </w:r>
      <w:bookmarkEnd w:id="16"/>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7" w:name="_Toc_4_4_0000000019"/>
      <w:r>
        <w:rPr>
          <w:rFonts w:ascii="方正小标宋_GBK" w:hAnsi="方正小标宋_GBK" w:eastAsia="方正小标宋_GBK" w:cs="方正小标宋_GBK"/>
          <w:b w:val="0"/>
          <w:color w:val="000000"/>
          <w:sz w:val="44"/>
        </w:rPr>
        <w:t>一、石家庄市藁城区计划生育协会本级收支预算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213.14</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213.14</w:t>
            </w:r>
          </w:p>
        </w:tc>
        <w:tc>
          <w:tcPr>
            <w:tcW w:w="2959" w:type="dxa"/>
            <w:vAlign w:val="center"/>
          </w:tcPr>
          <w:p>
            <w:pPr>
              <w:pStyle w:val="16"/>
            </w:pPr>
            <w:r>
              <w:t>本年支出合计</w:t>
            </w:r>
          </w:p>
        </w:tc>
        <w:tc>
          <w:tcPr>
            <w:tcW w:w="2959" w:type="dxa"/>
            <w:vAlign w:val="center"/>
          </w:tcPr>
          <w:p>
            <w:pPr>
              <w:pStyle w:val="17"/>
            </w:pPr>
            <w:r>
              <w:t>213.14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213.14</w:t>
            </w:r>
          </w:p>
        </w:tc>
        <w:tc>
          <w:tcPr>
            <w:tcW w:w="2959" w:type="dxa"/>
            <w:vAlign w:val="center"/>
          </w:tcPr>
          <w:p>
            <w:pPr>
              <w:pStyle w:val="16"/>
            </w:pPr>
            <w:r>
              <w:t>支出总计</w:t>
            </w:r>
          </w:p>
        </w:tc>
        <w:tc>
          <w:tcPr>
            <w:tcW w:w="2959" w:type="dxa"/>
            <w:vAlign w:val="center"/>
          </w:tcPr>
          <w:p>
            <w:pPr>
              <w:pStyle w:val="17"/>
            </w:pPr>
            <w:r>
              <w:t>213.14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213.14</w:t>
            </w:r>
          </w:p>
        </w:tc>
        <w:tc>
          <w:tcPr>
            <w:tcW w:w="758" w:type="dxa"/>
            <w:vAlign w:val="center"/>
          </w:tcPr>
          <w:p>
            <w:pPr>
              <w:pStyle w:val="17"/>
            </w:pPr>
            <w:r>
              <w:t>213.14</w:t>
            </w:r>
          </w:p>
        </w:tc>
        <w:tc>
          <w:tcPr>
            <w:tcW w:w="758" w:type="dxa"/>
            <w:vAlign w:val="center"/>
          </w:tcPr>
          <w:p>
            <w:pPr>
              <w:pStyle w:val="17"/>
            </w:pPr>
            <w:r>
              <w:t>213.14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213.14</w:t>
            </w:r>
          </w:p>
        </w:tc>
        <w:tc>
          <w:tcPr>
            <w:tcW w:w="758" w:type="dxa"/>
            <w:vAlign w:val="center"/>
          </w:tcPr>
          <w:p>
            <w:pPr>
              <w:pStyle w:val="13"/>
            </w:pPr>
            <w:r>
              <w:t>213.14</w:t>
            </w:r>
          </w:p>
        </w:tc>
        <w:tc>
          <w:tcPr>
            <w:tcW w:w="758" w:type="dxa"/>
            <w:vAlign w:val="center"/>
          </w:tcPr>
          <w:p>
            <w:pPr>
              <w:pStyle w:val="13"/>
            </w:pPr>
            <w:r>
              <w:t>213.14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213.14</w:t>
            </w:r>
          </w:p>
        </w:tc>
        <w:tc>
          <w:tcPr>
            <w:tcW w:w="758" w:type="dxa"/>
            <w:vAlign w:val="center"/>
          </w:tcPr>
          <w:p>
            <w:pPr>
              <w:pStyle w:val="13"/>
            </w:pPr>
            <w:r>
              <w:t>213.14</w:t>
            </w:r>
          </w:p>
        </w:tc>
        <w:tc>
          <w:tcPr>
            <w:tcW w:w="758" w:type="dxa"/>
            <w:vAlign w:val="center"/>
          </w:tcPr>
          <w:p>
            <w:pPr>
              <w:pStyle w:val="13"/>
            </w:pPr>
            <w:r>
              <w:t>213.14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2100717</w:t>
            </w:r>
          </w:p>
        </w:tc>
        <w:tc>
          <w:tcPr>
            <w:tcW w:w="758" w:type="dxa"/>
            <w:vAlign w:val="center"/>
          </w:tcPr>
          <w:p>
            <w:pPr>
              <w:pStyle w:val="14"/>
            </w:pPr>
            <w:r>
              <w:t>计划生育服务</w:t>
            </w:r>
          </w:p>
        </w:tc>
        <w:tc>
          <w:tcPr>
            <w:tcW w:w="758" w:type="dxa"/>
            <w:vAlign w:val="center"/>
          </w:tcPr>
          <w:p>
            <w:pPr>
              <w:pStyle w:val="13"/>
            </w:pPr>
            <w:r>
              <w:t>199.61</w:t>
            </w:r>
          </w:p>
        </w:tc>
        <w:tc>
          <w:tcPr>
            <w:tcW w:w="758" w:type="dxa"/>
            <w:vAlign w:val="center"/>
          </w:tcPr>
          <w:p>
            <w:pPr>
              <w:pStyle w:val="13"/>
            </w:pPr>
            <w:r>
              <w:t>199.61</w:t>
            </w:r>
          </w:p>
        </w:tc>
        <w:tc>
          <w:tcPr>
            <w:tcW w:w="758" w:type="dxa"/>
            <w:vAlign w:val="center"/>
          </w:tcPr>
          <w:p>
            <w:pPr>
              <w:pStyle w:val="13"/>
            </w:pPr>
            <w:r>
              <w:t>199.61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2100799</w:t>
            </w:r>
          </w:p>
        </w:tc>
        <w:tc>
          <w:tcPr>
            <w:tcW w:w="758" w:type="dxa"/>
            <w:vAlign w:val="center"/>
          </w:tcPr>
          <w:p>
            <w:pPr>
              <w:pStyle w:val="14"/>
            </w:pPr>
            <w:r>
              <w:t>其他计划生育事务支出</w:t>
            </w:r>
          </w:p>
        </w:tc>
        <w:tc>
          <w:tcPr>
            <w:tcW w:w="758" w:type="dxa"/>
            <w:vAlign w:val="center"/>
          </w:tcPr>
          <w:p>
            <w:pPr>
              <w:pStyle w:val="13"/>
            </w:pPr>
            <w:r>
              <w:t>13.53</w:t>
            </w:r>
          </w:p>
        </w:tc>
        <w:tc>
          <w:tcPr>
            <w:tcW w:w="758" w:type="dxa"/>
            <w:vAlign w:val="center"/>
          </w:tcPr>
          <w:p>
            <w:pPr>
              <w:pStyle w:val="13"/>
            </w:pPr>
            <w:r>
              <w:t>13.53</w:t>
            </w:r>
          </w:p>
        </w:tc>
        <w:tc>
          <w:tcPr>
            <w:tcW w:w="758" w:type="dxa"/>
            <w:vAlign w:val="center"/>
          </w:tcPr>
          <w:p>
            <w:pPr>
              <w:pStyle w:val="13"/>
            </w:pPr>
            <w:r>
              <w:t>13.53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213.14</w:t>
            </w:r>
          </w:p>
        </w:tc>
        <w:tc>
          <w:tcPr>
            <w:tcW w:w="1095" w:type="dxa"/>
            <w:vAlign w:val="center"/>
          </w:tcPr>
          <w:p>
            <w:pPr>
              <w:pStyle w:val="17"/>
            </w:pPr>
            <w:r>
              <w:t>170.41</w:t>
            </w:r>
          </w:p>
        </w:tc>
        <w:tc>
          <w:tcPr>
            <w:tcW w:w="1095" w:type="dxa"/>
            <w:vAlign w:val="center"/>
          </w:tcPr>
          <w:p>
            <w:pPr>
              <w:pStyle w:val="17"/>
            </w:pPr>
            <w:r>
              <w:t>42.73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213.14</w:t>
            </w:r>
          </w:p>
        </w:tc>
        <w:tc>
          <w:tcPr>
            <w:tcW w:w="1095" w:type="dxa"/>
            <w:vAlign w:val="center"/>
          </w:tcPr>
          <w:p>
            <w:pPr>
              <w:pStyle w:val="13"/>
            </w:pPr>
            <w:r>
              <w:t>170.41</w:t>
            </w:r>
          </w:p>
        </w:tc>
        <w:tc>
          <w:tcPr>
            <w:tcW w:w="1095" w:type="dxa"/>
            <w:vAlign w:val="center"/>
          </w:tcPr>
          <w:p>
            <w:pPr>
              <w:pStyle w:val="13"/>
            </w:pPr>
            <w:r>
              <w:t>42.73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213.14</w:t>
            </w:r>
          </w:p>
        </w:tc>
        <w:tc>
          <w:tcPr>
            <w:tcW w:w="1095" w:type="dxa"/>
            <w:vAlign w:val="center"/>
          </w:tcPr>
          <w:p>
            <w:pPr>
              <w:pStyle w:val="13"/>
            </w:pPr>
            <w:r>
              <w:t>170.41</w:t>
            </w:r>
          </w:p>
        </w:tc>
        <w:tc>
          <w:tcPr>
            <w:tcW w:w="1095" w:type="dxa"/>
            <w:vAlign w:val="center"/>
          </w:tcPr>
          <w:p>
            <w:pPr>
              <w:pStyle w:val="13"/>
            </w:pPr>
            <w:r>
              <w:t>42.73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2100717</w:t>
            </w:r>
          </w:p>
        </w:tc>
        <w:tc>
          <w:tcPr>
            <w:tcW w:w="1095" w:type="dxa"/>
            <w:vAlign w:val="center"/>
          </w:tcPr>
          <w:p>
            <w:pPr>
              <w:pStyle w:val="14"/>
            </w:pPr>
            <w:r>
              <w:t>计划生育服务</w:t>
            </w:r>
          </w:p>
        </w:tc>
        <w:tc>
          <w:tcPr>
            <w:tcW w:w="1095" w:type="dxa"/>
            <w:vAlign w:val="center"/>
          </w:tcPr>
          <w:p>
            <w:pPr>
              <w:pStyle w:val="13"/>
            </w:pPr>
            <w:r>
              <w:t>199.61</w:t>
            </w:r>
          </w:p>
        </w:tc>
        <w:tc>
          <w:tcPr>
            <w:tcW w:w="1095" w:type="dxa"/>
            <w:vAlign w:val="center"/>
          </w:tcPr>
          <w:p>
            <w:pPr>
              <w:pStyle w:val="13"/>
            </w:pPr>
            <w:r>
              <w:t>170.41</w:t>
            </w:r>
          </w:p>
        </w:tc>
        <w:tc>
          <w:tcPr>
            <w:tcW w:w="1095" w:type="dxa"/>
            <w:vAlign w:val="center"/>
          </w:tcPr>
          <w:p>
            <w:pPr>
              <w:pStyle w:val="13"/>
            </w:pPr>
            <w:r>
              <w:t>29.20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2100799</w:t>
            </w:r>
          </w:p>
        </w:tc>
        <w:tc>
          <w:tcPr>
            <w:tcW w:w="1095" w:type="dxa"/>
            <w:vAlign w:val="center"/>
          </w:tcPr>
          <w:p>
            <w:pPr>
              <w:pStyle w:val="14"/>
            </w:pPr>
            <w:r>
              <w:t>其他计划生育事务支出</w:t>
            </w:r>
          </w:p>
        </w:tc>
        <w:tc>
          <w:tcPr>
            <w:tcW w:w="1095" w:type="dxa"/>
            <w:vAlign w:val="center"/>
          </w:tcPr>
          <w:p>
            <w:pPr>
              <w:pStyle w:val="13"/>
            </w:pPr>
            <w:r>
              <w:t>13.53</w:t>
            </w:r>
          </w:p>
        </w:tc>
        <w:tc>
          <w:tcPr>
            <w:tcW w:w="1095" w:type="dxa"/>
            <w:vAlign w:val="center"/>
          </w:tcPr>
          <w:p>
            <w:pPr>
              <w:pStyle w:val="13"/>
            </w:pPr>
          </w:p>
        </w:tc>
        <w:tc>
          <w:tcPr>
            <w:tcW w:w="1095" w:type="dxa"/>
            <w:vAlign w:val="center"/>
          </w:tcPr>
          <w:p>
            <w:pPr>
              <w:pStyle w:val="13"/>
            </w:pPr>
            <w:r>
              <w:t>13.53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213.14</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213.14</w:t>
            </w:r>
          </w:p>
        </w:tc>
        <w:tc>
          <w:tcPr>
            <w:tcW w:w="1232" w:type="dxa"/>
            <w:vAlign w:val="center"/>
          </w:tcPr>
          <w:p>
            <w:pPr>
              <w:pStyle w:val="13"/>
            </w:pPr>
            <w:r>
              <w:t>213.14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213.14</w:t>
            </w:r>
          </w:p>
        </w:tc>
        <w:tc>
          <w:tcPr>
            <w:tcW w:w="1232" w:type="dxa"/>
            <w:vAlign w:val="center"/>
          </w:tcPr>
          <w:p>
            <w:pPr>
              <w:pStyle w:val="16"/>
            </w:pPr>
            <w:r>
              <w:t>本年支出合计</w:t>
            </w:r>
          </w:p>
        </w:tc>
        <w:tc>
          <w:tcPr>
            <w:tcW w:w="1232" w:type="dxa"/>
            <w:vAlign w:val="center"/>
          </w:tcPr>
          <w:p>
            <w:pPr>
              <w:pStyle w:val="17"/>
            </w:pPr>
            <w:r>
              <w:t>213.14</w:t>
            </w:r>
          </w:p>
        </w:tc>
        <w:tc>
          <w:tcPr>
            <w:tcW w:w="1232" w:type="dxa"/>
            <w:vAlign w:val="center"/>
          </w:tcPr>
          <w:p>
            <w:pPr>
              <w:pStyle w:val="17"/>
            </w:pPr>
            <w:r>
              <w:t>213.14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213.14</w:t>
            </w:r>
          </w:p>
        </w:tc>
        <w:tc>
          <w:tcPr>
            <w:tcW w:w="1232" w:type="dxa"/>
            <w:vAlign w:val="center"/>
          </w:tcPr>
          <w:p>
            <w:pPr>
              <w:pStyle w:val="16"/>
            </w:pPr>
            <w:r>
              <w:t>支出总计</w:t>
            </w:r>
          </w:p>
        </w:tc>
        <w:tc>
          <w:tcPr>
            <w:tcW w:w="1232" w:type="dxa"/>
            <w:vAlign w:val="center"/>
          </w:tcPr>
          <w:p>
            <w:pPr>
              <w:pStyle w:val="17"/>
            </w:pPr>
            <w:r>
              <w:t>213.14</w:t>
            </w:r>
          </w:p>
        </w:tc>
        <w:tc>
          <w:tcPr>
            <w:tcW w:w="1232" w:type="dxa"/>
            <w:vAlign w:val="center"/>
          </w:tcPr>
          <w:p>
            <w:pPr>
              <w:pStyle w:val="17"/>
            </w:pPr>
            <w:r>
              <w:t>213.14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213.14</w:t>
            </w:r>
          </w:p>
        </w:tc>
        <w:tc>
          <w:tcPr>
            <w:tcW w:w="1643" w:type="dxa"/>
            <w:vAlign w:val="center"/>
          </w:tcPr>
          <w:p>
            <w:pPr>
              <w:pStyle w:val="17"/>
            </w:pPr>
            <w:r>
              <w:t>170.41</w:t>
            </w:r>
          </w:p>
        </w:tc>
        <w:tc>
          <w:tcPr>
            <w:tcW w:w="1643" w:type="dxa"/>
            <w:vAlign w:val="center"/>
          </w:tcPr>
          <w:p>
            <w:pPr>
              <w:pStyle w:val="17"/>
            </w:pPr>
            <w:r>
              <w:t>42.73</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213.14</w:t>
            </w:r>
          </w:p>
        </w:tc>
        <w:tc>
          <w:tcPr>
            <w:tcW w:w="1643" w:type="dxa"/>
            <w:vAlign w:val="center"/>
          </w:tcPr>
          <w:p>
            <w:pPr>
              <w:pStyle w:val="13"/>
            </w:pPr>
            <w:r>
              <w:t>170.41</w:t>
            </w:r>
          </w:p>
        </w:tc>
        <w:tc>
          <w:tcPr>
            <w:tcW w:w="1643" w:type="dxa"/>
            <w:vAlign w:val="center"/>
          </w:tcPr>
          <w:p>
            <w:pPr>
              <w:pStyle w:val="13"/>
            </w:pPr>
            <w:r>
              <w:t>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213.14</w:t>
            </w:r>
          </w:p>
        </w:tc>
        <w:tc>
          <w:tcPr>
            <w:tcW w:w="1643" w:type="dxa"/>
            <w:vAlign w:val="center"/>
          </w:tcPr>
          <w:p>
            <w:pPr>
              <w:pStyle w:val="13"/>
            </w:pPr>
            <w:r>
              <w:t>170.41</w:t>
            </w:r>
          </w:p>
        </w:tc>
        <w:tc>
          <w:tcPr>
            <w:tcW w:w="1643" w:type="dxa"/>
            <w:vAlign w:val="center"/>
          </w:tcPr>
          <w:p>
            <w:pPr>
              <w:pStyle w:val="13"/>
            </w:pPr>
            <w:r>
              <w:t>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2100717</w:t>
            </w:r>
          </w:p>
        </w:tc>
        <w:tc>
          <w:tcPr>
            <w:tcW w:w="1643" w:type="dxa"/>
            <w:vAlign w:val="center"/>
          </w:tcPr>
          <w:p>
            <w:pPr>
              <w:pStyle w:val="14"/>
            </w:pPr>
            <w:r>
              <w:t>计划生育服务</w:t>
            </w:r>
          </w:p>
        </w:tc>
        <w:tc>
          <w:tcPr>
            <w:tcW w:w="1643" w:type="dxa"/>
            <w:vAlign w:val="center"/>
          </w:tcPr>
          <w:p>
            <w:pPr>
              <w:pStyle w:val="13"/>
            </w:pPr>
            <w:r>
              <w:t>199.61</w:t>
            </w:r>
          </w:p>
        </w:tc>
        <w:tc>
          <w:tcPr>
            <w:tcW w:w="1643" w:type="dxa"/>
            <w:vAlign w:val="center"/>
          </w:tcPr>
          <w:p>
            <w:pPr>
              <w:pStyle w:val="13"/>
            </w:pPr>
            <w:r>
              <w:t>170.41</w:t>
            </w:r>
          </w:p>
        </w:tc>
        <w:tc>
          <w:tcPr>
            <w:tcW w:w="1643" w:type="dxa"/>
            <w:vAlign w:val="center"/>
          </w:tcPr>
          <w:p>
            <w:pPr>
              <w:pStyle w:val="13"/>
            </w:pPr>
            <w:r>
              <w:t>29.20</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2100799</w:t>
            </w:r>
          </w:p>
        </w:tc>
        <w:tc>
          <w:tcPr>
            <w:tcW w:w="1643" w:type="dxa"/>
            <w:vAlign w:val="center"/>
          </w:tcPr>
          <w:p>
            <w:pPr>
              <w:pStyle w:val="14"/>
            </w:pPr>
            <w:r>
              <w:t>其他计划生育事务支出</w:t>
            </w:r>
          </w:p>
        </w:tc>
        <w:tc>
          <w:tcPr>
            <w:tcW w:w="1643" w:type="dxa"/>
            <w:vAlign w:val="center"/>
          </w:tcPr>
          <w:p>
            <w:pPr>
              <w:pStyle w:val="13"/>
            </w:pPr>
            <w:r>
              <w:t>13.53</w:t>
            </w:r>
          </w:p>
        </w:tc>
        <w:tc>
          <w:tcPr>
            <w:tcW w:w="1643" w:type="dxa"/>
            <w:vAlign w:val="center"/>
          </w:tcPr>
          <w:p>
            <w:pPr>
              <w:pStyle w:val="13"/>
            </w:pPr>
          </w:p>
        </w:tc>
        <w:tc>
          <w:tcPr>
            <w:tcW w:w="1643" w:type="dxa"/>
            <w:vAlign w:val="center"/>
          </w:tcPr>
          <w:p>
            <w:pPr>
              <w:pStyle w:val="13"/>
            </w:pPr>
            <w:r>
              <w:t>13.53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170.41</w:t>
            </w:r>
          </w:p>
        </w:tc>
        <w:tc>
          <w:tcPr>
            <w:tcW w:w="1643" w:type="dxa"/>
            <w:vAlign w:val="center"/>
          </w:tcPr>
          <w:p>
            <w:pPr>
              <w:pStyle w:val="17"/>
            </w:pPr>
            <w:r>
              <w:t>153.63</w:t>
            </w:r>
          </w:p>
        </w:tc>
        <w:tc>
          <w:tcPr>
            <w:tcW w:w="1643" w:type="dxa"/>
            <w:vAlign w:val="center"/>
          </w:tcPr>
          <w:p>
            <w:pPr>
              <w:pStyle w:val="17"/>
            </w:pPr>
            <w:r>
              <w:t>16.77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153.63</w:t>
            </w:r>
          </w:p>
        </w:tc>
        <w:tc>
          <w:tcPr>
            <w:tcW w:w="1643" w:type="dxa"/>
            <w:vAlign w:val="center"/>
          </w:tcPr>
          <w:p>
            <w:pPr>
              <w:pStyle w:val="13"/>
            </w:pPr>
            <w:r>
              <w:t>153.63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37.70</w:t>
            </w:r>
          </w:p>
        </w:tc>
        <w:tc>
          <w:tcPr>
            <w:tcW w:w="1643" w:type="dxa"/>
            <w:vAlign w:val="center"/>
          </w:tcPr>
          <w:p>
            <w:pPr>
              <w:pStyle w:val="13"/>
            </w:pPr>
            <w:r>
              <w:t>37.70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63.19</w:t>
            </w:r>
          </w:p>
        </w:tc>
        <w:tc>
          <w:tcPr>
            <w:tcW w:w="1643" w:type="dxa"/>
            <w:vAlign w:val="center"/>
          </w:tcPr>
          <w:p>
            <w:pPr>
              <w:pStyle w:val="13"/>
            </w:pPr>
            <w:r>
              <w:t>63.19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3.14</w:t>
            </w:r>
          </w:p>
        </w:tc>
        <w:tc>
          <w:tcPr>
            <w:tcW w:w="1643" w:type="dxa"/>
            <w:vAlign w:val="center"/>
          </w:tcPr>
          <w:p>
            <w:pPr>
              <w:pStyle w:val="13"/>
            </w:pPr>
            <w:r>
              <w:t>3.14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13.68</w:t>
            </w:r>
          </w:p>
        </w:tc>
        <w:tc>
          <w:tcPr>
            <w:tcW w:w="1643" w:type="dxa"/>
            <w:vAlign w:val="center"/>
          </w:tcPr>
          <w:p>
            <w:pPr>
              <w:pStyle w:val="13"/>
            </w:pPr>
            <w:r>
              <w:t>13.68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7.18</w:t>
            </w:r>
          </w:p>
        </w:tc>
        <w:tc>
          <w:tcPr>
            <w:tcW w:w="1643" w:type="dxa"/>
            <w:vAlign w:val="center"/>
          </w:tcPr>
          <w:p>
            <w:pPr>
              <w:pStyle w:val="13"/>
            </w:pPr>
            <w:r>
              <w:t>7.18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5.56</w:t>
            </w:r>
          </w:p>
        </w:tc>
        <w:tc>
          <w:tcPr>
            <w:tcW w:w="1643" w:type="dxa"/>
            <w:vAlign w:val="center"/>
          </w:tcPr>
          <w:p>
            <w:pPr>
              <w:pStyle w:val="13"/>
            </w:pPr>
            <w:r>
              <w:t>5.56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11.83</w:t>
            </w:r>
          </w:p>
        </w:tc>
        <w:tc>
          <w:tcPr>
            <w:tcW w:w="1643" w:type="dxa"/>
            <w:vAlign w:val="center"/>
          </w:tcPr>
          <w:p>
            <w:pPr>
              <w:pStyle w:val="13"/>
            </w:pPr>
            <w:r>
              <w:t>11.83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11.34</w:t>
            </w:r>
          </w:p>
        </w:tc>
        <w:tc>
          <w:tcPr>
            <w:tcW w:w="1643" w:type="dxa"/>
            <w:vAlign w:val="center"/>
          </w:tcPr>
          <w:p>
            <w:pPr>
              <w:pStyle w:val="13"/>
            </w:pPr>
            <w:r>
              <w:t>11.34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15.92</w:t>
            </w:r>
          </w:p>
        </w:tc>
        <w:tc>
          <w:tcPr>
            <w:tcW w:w="1643" w:type="dxa"/>
            <w:vAlign w:val="center"/>
          </w:tcPr>
          <w:p>
            <w:pPr>
              <w:pStyle w:val="13"/>
            </w:pPr>
          </w:p>
        </w:tc>
        <w:tc>
          <w:tcPr>
            <w:tcW w:w="1643" w:type="dxa"/>
            <w:vAlign w:val="center"/>
          </w:tcPr>
          <w:p>
            <w:pPr>
              <w:pStyle w:val="13"/>
            </w:pPr>
            <w:r>
              <w:t>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2.75</w:t>
            </w:r>
          </w:p>
        </w:tc>
        <w:tc>
          <w:tcPr>
            <w:tcW w:w="1643" w:type="dxa"/>
            <w:vAlign w:val="center"/>
          </w:tcPr>
          <w:p>
            <w:pPr>
              <w:pStyle w:val="13"/>
            </w:pPr>
          </w:p>
        </w:tc>
        <w:tc>
          <w:tcPr>
            <w:tcW w:w="1643" w:type="dxa"/>
            <w:vAlign w:val="center"/>
          </w:tcPr>
          <w:p>
            <w:pPr>
              <w:pStyle w:val="13"/>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4.86</w:t>
            </w:r>
          </w:p>
        </w:tc>
        <w:tc>
          <w:tcPr>
            <w:tcW w:w="1643" w:type="dxa"/>
            <w:vAlign w:val="center"/>
          </w:tcPr>
          <w:p>
            <w:pPr>
              <w:pStyle w:val="13"/>
            </w:pPr>
          </w:p>
        </w:tc>
        <w:tc>
          <w:tcPr>
            <w:tcW w:w="1643"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0.94</w:t>
            </w:r>
          </w:p>
        </w:tc>
        <w:tc>
          <w:tcPr>
            <w:tcW w:w="1643" w:type="dxa"/>
            <w:vAlign w:val="center"/>
          </w:tcPr>
          <w:p>
            <w:pPr>
              <w:pStyle w:val="13"/>
            </w:pPr>
          </w:p>
        </w:tc>
        <w:tc>
          <w:tcPr>
            <w:tcW w:w="1643" w:type="dxa"/>
            <w:vAlign w:val="center"/>
          </w:tcPr>
          <w:p>
            <w:pPr>
              <w:pStyle w:val="13"/>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0.57</w:t>
            </w:r>
          </w:p>
        </w:tc>
        <w:tc>
          <w:tcPr>
            <w:tcW w:w="1643" w:type="dxa"/>
            <w:vAlign w:val="center"/>
          </w:tcPr>
          <w:p>
            <w:pPr>
              <w:pStyle w:val="13"/>
            </w:pPr>
          </w:p>
        </w:tc>
        <w:tc>
          <w:tcPr>
            <w:tcW w:w="1643"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0.85</w:t>
            </w:r>
          </w:p>
        </w:tc>
        <w:tc>
          <w:tcPr>
            <w:tcW w:w="1643" w:type="dxa"/>
            <w:vAlign w:val="center"/>
          </w:tcPr>
          <w:p>
            <w:pPr>
              <w:pStyle w:val="13"/>
            </w:pPr>
          </w:p>
        </w:tc>
        <w:tc>
          <w:tcPr>
            <w:tcW w:w="1643" w:type="dxa"/>
            <w:vAlign w:val="center"/>
          </w:tcPr>
          <w:p>
            <w:pPr>
              <w:pStyle w:val="13"/>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0.85</w:t>
            </w:r>
          </w:p>
        </w:tc>
        <w:tc>
          <w:tcPr>
            <w:tcW w:w="1643" w:type="dxa"/>
            <w:vAlign w:val="center"/>
          </w:tcPr>
          <w:p>
            <w:pPr>
              <w:pStyle w:val="13"/>
            </w:pPr>
          </w:p>
        </w:tc>
        <w:tc>
          <w:tcPr>
            <w:tcW w:w="1643" w:type="dxa"/>
            <w:vAlign w:val="center"/>
          </w:tcPr>
          <w:p>
            <w:pPr>
              <w:pStyle w:val="13"/>
            </w:pPr>
            <w:r>
              <w:t>0.85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石家庄市藁城区计划生育协会本级2022年单位预算信息公开情况说明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预算法》、《地方预决算公开操作规程》和《关于进一步推进预算公开工作的实施意见》规定，现将石家庄市藁城区计划生育协会本级2022年单位预算公开如下：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9"/>
      </w:pPr>
      <w:r>
        <w:rPr>
          <w:rFonts w:ascii="方正楷体_GBK" w:hAnsi="方正楷体_GBK" w:eastAsia="方正楷体_GBK" w:cs="方正楷体_GBK"/>
          <w:b/>
          <w:color w:val="000000"/>
          <w:sz w:val="32"/>
        </w:rPr>
        <w:t>单位职责：</w:t>
      </w:r>
      <w:r>
        <w:t>根据《石家庄市藁城区计划生育协会职能配置、内设机构和人员编制规定》石家庄市藁城区计划生育协会的主要职责是：</w:t>
      </w:r>
    </w:p>
    <w:p>
      <w:pPr>
        <w:pStyle w:val="19"/>
      </w:pPr>
      <w:r>
        <w:t xml:space="preserve">1落实现行的计划生育方针政策。推动实现适度生育水平，优化人口结构，促进人口长期均衡发展。               2完善三级组织建设，建立健全工作机制。指导各级协会向群众宣传计划生育方针政策和生育健康知识。      3协调社会力量，向群众提供生产、生活、生育服务开展计划生育系列保险等社会保障事业，继续开展独生子女意外伤害保险和护工保险业务。组织实施幸福工程项目，对计划生育特殊家庭帮扶，给予计生失独家庭护工保险补贴,保障和改善民生，促进社会和谐稳定，实施亲情关爱。积极为计生困难家庭考入“985”“211”高校的女孩争取支持，逐步完善藁城区“天使圆梦”活动。帮助群众解决实行计划生育的实际困难和后顾之忧。在重大节日对计生特殊家庭进行慰问，使他们得到慰藉。                                      4实施“生育维权”工程，开展计划生育便民维权活动，宣传计生公共服务，计生奖励优惠政策，为计生家庭提供法律援助等相关的维权活动。   5坚持党委领导的群团组织序列，承担中央赋予的“六项重点任务”切实履行好计生协的职责。   </w:t>
      </w:r>
    </w:p>
    <w:p>
      <w:pPr>
        <w:spacing w:before="0" w:after="0" w:line="240" w:lineRule="auto"/>
        <w:ind w:firstLine="640"/>
        <w:jc w:val="left"/>
        <w:outlineLvl w:val="9"/>
      </w:pP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石家庄市藁城区计划生育协会本级</w:t>
            </w:r>
          </w:p>
        </w:tc>
        <w:tc>
          <w:tcPr>
            <w:tcW w:w="2464" w:type="dxa"/>
            <w:vAlign w:val="center"/>
          </w:tcPr>
          <w:p>
            <w:pPr>
              <w:pStyle w:val="15"/>
              <w:rPr>
                <w:rFonts w:hint="default" w:eastAsia="方正书宋_GBK"/>
                <w:lang w:val="en-US" w:eastAsia="zh-CN"/>
              </w:rPr>
            </w:pPr>
            <w:r>
              <w:rPr>
                <w:rFonts w:hint="eastAsia"/>
                <w:lang w:val="en-US" w:eastAsia="zh-CN"/>
              </w:rPr>
              <w:t>群众团体</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numPr>
          <w:ilvl w:val="0"/>
          <w:numId w:val="0"/>
        </w:numPr>
        <w:spacing w:line="460" w:lineRule="exact"/>
        <w:ind w:firstLine="640" w:firstLineChars="200"/>
        <w:rPr>
          <w:rFonts w:hint="eastAsia" w:eastAsia="仿宋" w:cs="Times New Roman"/>
          <w:sz w:val="32"/>
          <w:szCs w:val="32"/>
          <w:lang w:eastAsia="zh-CN"/>
        </w:rPr>
      </w:pPr>
      <w:r>
        <w:rPr>
          <w:rFonts w:hint="eastAsia" w:eastAsia="仿宋" w:cs="Times New Roman"/>
          <w:sz w:val="32"/>
          <w:szCs w:val="32"/>
          <w:lang w:val="en-US" w:eastAsia="zh-CN"/>
        </w:rPr>
        <w:t>1、</w:t>
      </w:r>
      <w:r>
        <w:rPr>
          <w:rFonts w:ascii="Times New Roman" w:hAnsi="Times New Roman" w:eastAsia="仿宋" w:cs="Times New Roman"/>
          <w:sz w:val="32"/>
          <w:szCs w:val="32"/>
        </w:rPr>
        <w:t>收入说明</w:t>
      </w:r>
      <w:r>
        <w:rPr>
          <w:rFonts w:hint="eastAsia" w:eastAsia="仿宋" w:cs="Times New Roman"/>
          <w:sz w:val="32"/>
          <w:szCs w:val="32"/>
          <w:lang w:eastAsia="zh-CN"/>
        </w:rPr>
        <w:t>：</w:t>
      </w:r>
    </w:p>
    <w:p>
      <w:pPr>
        <w:numPr>
          <w:ilvl w:val="0"/>
          <w:numId w:val="0"/>
        </w:numPr>
        <w:spacing w:line="460" w:lineRule="exact"/>
        <w:ind w:firstLine="960" w:firstLineChars="3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当年全部收入。2022年预算收入</w:t>
      </w:r>
      <w:r>
        <w:rPr>
          <w:rFonts w:hint="eastAsia" w:eastAsia="仿宋" w:cs="Times New Roman"/>
          <w:sz w:val="32"/>
          <w:szCs w:val="32"/>
          <w:lang w:val="en-US" w:eastAsia="zh-CN"/>
        </w:rPr>
        <w:t>213.14</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213.14</w:t>
      </w:r>
      <w:r>
        <w:rPr>
          <w:rFonts w:hint="eastAsia" w:ascii="Times New Roman" w:hAnsi="Times New Roman" w:eastAsia="仿宋" w:cs="Times New Roman"/>
          <w:sz w:val="32"/>
          <w:szCs w:val="32"/>
        </w:rPr>
        <w:t>万元，基金预算收入0万元，财政专户核拨收入0万元，其他来源收入0万元。</w:t>
      </w:r>
    </w:p>
    <w:p>
      <w:pPr>
        <w:numPr>
          <w:ilvl w:val="0"/>
          <w:numId w:val="0"/>
        </w:numPr>
        <w:spacing w:line="460" w:lineRule="exact"/>
        <w:ind w:left="640" w:leftChars="0"/>
        <w:rPr>
          <w:rFonts w:hint="eastAsia" w:eastAsia="仿宋" w:cs="Times New Roman"/>
          <w:sz w:val="32"/>
          <w:szCs w:val="32"/>
          <w:lang w:eastAsia="zh-CN"/>
        </w:rPr>
      </w:pPr>
      <w:r>
        <w:rPr>
          <w:rFonts w:hint="eastAsia" w:eastAsia="仿宋" w:cs="Times New Roman"/>
          <w:sz w:val="32"/>
          <w:szCs w:val="32"/>
          <w:lang w:val="en-US" w:eastAsia="zh-CN"/>
        </w:rPr>
        <w:t>2、</w:t>
      </w:r>
      <w:r>
        <w:rPr>
          <w:rFonts w:ascii="Times New Roman" w:hAnsi="Times New Roman" w:eastAsia="仿宋" w:cs="Times New Roman"/>
          <w:sz w:val="32"/>
          <w:szCs w:val="32"/>
        </w:rPr>
        <w:t>支出说明</w:t>
      </w:r>
      <w:r>
        <w:rPr>
          <w:rFonts w:hint="eastAsia" w:eastAsia="仿宋" w:cs="Times New Roman"/>
          <w:sz w:val="32"/>
          <w:szCs w:val="32"/>
          <w:lang w:eastAsia="zh-CN"/>
        </w:rPr>
        <w:t>：</w:t>
      </w:r>
    </w:p>
    <w:p>
      <w:pPr>
        <w:numPr>
          <w:ilvl w:val="0"/>
          <w:numId w:val="0"/>
        </w:numPr>
        <w:spacing w:line="460" w:lineRule="exact"/>
        <w:ind w:left="640" w:leftChars="0" w:firstLine="320" w:firstLineChars="10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预算中支出预算的总体情况。2022年</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支出预算为</w:t>
      </w:r>
      <w:r>
        <w:rPr>
          <w:rFonts w:hint="eastAsia" w:eastAsia="仿宋" w:cs="Times New Roman"/>
          <w:sz w:val="32"/>
          <w:szCs w:val="32"/>
          <w:lang w:val="en-US" w:eastAsia="zh-CN"/>
        </w:rPr>
        <w:t>213.14</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170.41</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153.63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16.77</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42.73</w:t>
      </w:r>
      <w:r>
        <w:rPr>
          <w:rFonts w:hint="eastAsia" w:ascii="Times New Roman" w:hAnsi="Times New Roman" w:eastAsia="仿宋" w:cs="Times New Roman"/>
          <w:sz w:val="32"/>
          <w:szCs w:val="32"/>
        </w:rPr>
        <w:t>万元，主要为</w:t>
      </w:r>
      <w:r>
        <w:rPr>
          <w:rFonts w:hint="eastAsia" w:eastAsia="仿宋" w:cs="Times New Roman"/>
          <w:sz w:val="32"/>
          <w:szCs w:val="32"/>
          <w:lang w:val="en-US" w:eastAsia="zh-CN"/>
        </w:rPr>
        <w:t>农村独生子女家庭意外伤害保险</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9.96</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亲情关爱救助基金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7.24</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宣传服务专项经费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2</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计生特殊家庭慰问资金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8.58</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劳务派遣人员费用支出4.95</w:t>
      </w:r>
      <w:r>
        <w:rPr>
          <w:rFonts w:hint="eastAsia" w:ascii="Times New Roman" w:hAnsi="Times New Roman" w:eastAsia="仿宋" w:cs="Times New Roman"/>
          <w:sz w:val="32"/>
          <w:szCs w:val="32"/>
        </w:rPr>
        <w:t>万元</w:t>
      </w:r>
      <w:r>
        <w:rPr>
          <w:rFonts w:hint="eastAsia" w:eastAsia="仿宋" w:cs="Times New Roman"/>
          <w:sz w:val="32"/>
          <w:szCs w:val="32"/>
          <w:lang w:eastAsia="zh-CN"/>
        </w:rPr>
        <w:t>，</w:t>
      </w:r>
      <w:r>
        <w:rPr>
          <w:rFonts w:hint="eastAsia" w:hAnsi="仿宋" w:eastAsia="仿宋" w:cs="仿宋" w:asciiTheme="minorAscii"/>
          <w:b w:val="0"/>
          <w:bCs/>
          <w:color w:val="000000"/>
          <w:sz w:val="32"/>
          <w:szCs w:val="32"/>
        </w:rPr>
        <w:t>省级计划生育服务补助资金</w:t>
      </w:r>
      <w:r>
        <w:rPr>
          <w:rFonts w:hint="eastAsia" w:hAnsi="仿宋" w:eastAsia="仿宋" w:cs="仿宋" w:asciiTheme="minorAscii"/>
          <w:b w:val="0"/>
          <w:bCs/>
          <w:color w:val="000000"/>
          <w:sz w:val="32"/>
          <w:szCs w:val="32"/>
          <w:lang w:val="en-US" w:eastAsia="zh-CN"/>
        </w:rPr>
        <w:t>10万</w:t>
      </w:r>
      <w:r>
        <w:rPr>
          <w:rFonts w:hint="eastAsia" w:ascii="Times New Roman" w:hAnsi="Times New Roman" w:eastAsia="仿宋" w:cs="Times New Roman"/>
          <w:sz w:val="32"/>
          <w:szCs w:val="32"/>
        </w:rPr>
        <w:t>；其他支出0万元。</w:t>
      </w:r>
    </w:p>
    <w:p>
      <w:pPr>
        <w:numPr>
          <w:ilvl w:val="0"/>
          <w:numId w:val="0"/>
        </w:numPr>
        <w:spacing w:line="460" w:lineRule="exact"/>
        <w:ind w:left="640" w:leftChars="0"/>
        <w:rPr>
          <w:rFonts w:ascii="Times New Roman" w:hAnsi="Times New Roman" w:eastAsia="仿宋" w:cs="Times New Roman"/>
          <w:sz w:val="32"/>
          <w:szCs w:val="32"/>
        </w:rPr>
      </w:pPr>
      <w:r>
        <w:rPr>
          <w:rFonts w:hint="eastAsia" w:eastAsia="仿宋" w:cs="Times New Roman"/>
          <w:sz w:val="32"/>
          <w:szCs w:val="32"/>
          <w:lang w:val="en-US" w:eastAsia="zh-CN"/>
        </w:rPr>
        <w:t>3、</w:t>
      </w:r>
      <w:r>
        <w:rPr>
          <w:rFonts w:ascii="Times New Roman" w:hAnsi="Times New Roman" w:eastAsia="仿宋" w:cs="Times New Roman"/>
          <w:sz w:val="32"/>
          <w:szCs w:val="32"/>
        </w:rPr>
        <w:t>比上年增减情况</w:t>
      </w:r>
      <w:r>
        <w:rPr>
          <w:rFonts w:hint="eastAsia" w:eastAsia="仿宋" w:cs="Times New Roman"/>
          <w:sz w:val="32"/>
          <w:szCs w:val="32"/>
          <w:lang w:eastAsia="zh-CN"/>
        </w:rPr>
        <w:t>：</w:t>
      </w:r>
    </w:p>
    <w:p>
      <w:pPr>
        <w:numPr>
          <w:ilvl w:val="0"/>
          <w:numId w:val="0"/>
        </w:numPr>
        <w:spacing w:line="460" w:lineRule="exact"/>
        <w:ind w:left="640" w:leftChars="0" w:firstLine="320" w:firstLineChars="10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w:t>
      </w:r>
      <w:r>
        <w:rPr>
          <w:rFonts w:hint="eastAsia" w:eastAsia="仿宋" w:cs="Times New Roman"/>
          <w:color w:val="000000"/>
          <w:sz w:val="32"/>
          <w:szCs w:val="32"/>
          <w:lang w:val="en-US" w:eastAsia="zh-CN"/>
        </w:rPr>
        <w:t>单位</w:t>
      </w:r>
      <w:r>
        <w:rPr>
          <w:rFonts w:hint="eastAsia" w:ascii="Times New Roman" w:hAnsi="Times New Roman" w:eastAsia="仿宋" w:cs="Times New Roman"/>
          <w:color w:val="000000"/>
          <w:sz w:val="32"/>
          <w:szCs w:val="32"/>
        </w:rPr>
        <w:t>预算收支安排</w:t>
      </w:r>
      <w:r>
        <w:rPr>
          <w:rFonts w:hint="eastAsia" w:eastAsia="仿宋" w:cs="Times New Roman"/>
          <w:sz w:val="32"/>
          <w:szCs w:val="32"/>
          <w:lang w:val="en-US" w:eastAsia="zh-CN"/>
        </w:rPr>
        <w:t>213.14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51.05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增加25.52</w:t>
      </w:r>
      <w:r>
        <w:rPr>
          <w:rFonts w:hint="eastAsia" w:ascii="Times New Roman" w:hAnsi="Times New Roman" w:eastAsia="仿宋" w:cs="Times New Roman"/>
          <w:sz w:val="32"/>
          <w:szCs w:val="32"/>
        </w:rPr>
        <w:t>万元，主要是人员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25.53</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宣传服务专项经费</w:t>
      </w:r>
      <w:r>
        <w:rPr>
          <w:rFonts w:hint="eastAsia" w:ascii="Times New Roman" w:hAnsi="Times New Roman" w:eastAsia="仿宋" w:cs="Times New Roman"/>
          <w:sz w:val="32"/>
          <w:szCs w:val="32"/>
        </w:rPr>
        <w:t>、</w:t>
      </w:r>
      <w:r>
        <w:rPr>
          <w:rFonts w:hint="eastAsia" w:eastAsia="仿宋" w:cs="Times New Roman"/>
          <w:sz w:val="32"/>
          <w:szCs w:val="32"/>
          <w:lang w:val="en-US" w:eastAsia="zh-CN"/>
        </w:rPr>
        <w:t>计生特殊家庭慰问资金、劳务派遣人员费用、</w:t>
      </w:r>
      <w:r>
        <w:rPr>
          <w:rFonts w:hint="eastAsia" w:hAnsi="仿宋" w:eastAsia="仿宋" w:cs="仿宋" w:asciiTheme="minorAscii"/>
          <w:b w:val="0"/>
          <w:bCs/>
          <w:color w:val="000000"/>
          <w:sz w:val="32"/>
          <w:szCs w:val="32"/>
        </w:rPr>
        <w:t>省级计划生育服务补助资金</w:t>
      </w:r>
      <w:r>
        <w:rPr>
          <w:rFonts w:hint="eastAsia" w:ascii="Times New Roman" w:hAnsi="Times New Roman" w:eastAsia="仿宋" w:cs="Times New Roman"/>
          <w:sz w:val="32"/>
          <w:szCs w:val="32"/>
        </w:rPr>
        <w:t>；其他支出无增减变化。</w:t>
      </w:r>
    </w:p>
    <w:p>
      <w:pPr>
        <w:spacing w:before="0" w:after="0" w:line="500" w:lineRule="exact"/>
        <w:ind w:firstLine="560"/>
        <w:jc w:val="left"/>
        <w:outlineLvl w:val="9"/>
        <w:rPr>
          <w:rFonts w:ascii="Times New Roman" w:hAnsi="Times New Roman" w:eastAsia="方正仿宋_GBK" w:cs="Times New Roman"/>
          <w:b w:val="0"/>
          <w:color w:val="000000"/>
          <w:sz w:val="28"/>
        </w:rPr>
      </w:pPr>
    </w:p>
    <w:p>
      <w:pPr>
        <w:pStyle w:val="32"/>
      </w:pPr>
    </w:p>
    <w:p>
      <w:pPr>
        <w:numPr>
          <w:ilvl w:val="0"/>
          <w:numId w:val="3"/>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10" w:after="10" w:line="240" w:lineRule="auto"/>
        <w:jc w:val="left"/>
        <w:outlineLvl w:val="5"/>
        <w:rPr>
          <w:rFonts w:ascii="黑体" w:hAnsi="黑体" w:eastAsia="黑体" w:cs="黑体"/>
          <w:color w:val="000000"/>
          <w:sz w:val="32"/>
        </w:rPr>
      </w:pPr>
    </w:p>
    <w:p>
      <w:pPr>
        <w:spacing w:line="460" w:lineRule="exact"/>
        <w:ind w:left="638" w:leftChars="266"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16.77</w:t>
      </w:r>
      <w:r>
        <w:rPr>
          <w:rFonts w:hint="eastAsia" w:ascii="Times New Roman" w:hAnsi="Times New Roman" w:eastAsia="仿宋" w:cs="Times New Roman"/>
          <w:sz w:val="32"/>
          <w:szCs w:val="32"/>
        </w:rPr>
        <w:t>万元，主要用于保证机关正常运转的办公及印刷费、邮电费、差旅费、福利费及一般设备购置费、日常维修费等支出。</w:t>
      </w:r>
    </w:p>
    <w:p>
      <w:pPr>
        <w:pStyle w:val="33"/>
        <w:ind w:left="0" w:leftChars="0" w:firstLine="0" w:firstLineChars="0"/>
      </w:pPr>
    </w:p>
    <w:p>
      <w:pPr>
        <w:numPr>
          <w:ilvl w:val="0"/>
          <w:numId w:val="3"/>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line="460" w:lineRule="exact"/>
        <w:ind w:left="638" w:leftChars="266" w:firstLine="640" w:firstLineChars="200"/>
        <w:rPr>
          <w:rFonts w:ascii="仿宋" w:hAnsi="仿宋" w:eastAsia="仿宋"/>
          <w:sz w:val="32"/>
          <w:szCs w:val="32"/>
        </w:rPr>
      </w:pPr>
      <w:r>
        <w:rPr>
          <w:rFonts w:hint="eastAsia" w:ascii="Times New Roman" w:hAnsi="Times New Roman" w:eastAsia="仿宋" w:cs="Times New Roman"/>
          <w:sz w:val="32"/>
          <w:szCs w:val="32"/>
        </w:rPr>
        <w:t>2022年，我</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1、计生特殊家庭慰问资金绩效目标表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1.实施计划生育特困家庭帮扶制度，对计划生育家庭进行节日活动慰问和亲情关爱,实施计生特殊家庭亲情关爱，精神慰藉紧急救助等重大传统节日慰问走访活动。保障和改善民生，促进社会和谐稳定。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符合条件的计划生育特困家庭数量</w:t>
            </w:r>
          </w:p>
        </w:tc>
        <w:tc>
          <w:tcPr>
            <w:tcW w:w="2466" w:type="dxa"/>
            <w:vAlign w:val="center"/>
          </w:tcPr>
          <w:p>
            <w:pPr>
              <w:pStyle w:val="28"/>
            </w:pPr>
            <w:r>
              <w:t>符合条件的计划生育特困家庭数量由经相关部门审批通过。</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辖区内符合条件申报对象全覆盖，在重大节日及时慰问</w:t>
            </w:r>
          </w:p>
        </w:tc>
        <w:tc>
          <w:tcPr>
            <w:tcW w:w="2466" w:type="dxa"/>
            <w:vAlign w:val="center"/>
          </w:tcPr>
          <w:p>
            <w:pPr>
              <w:pStyle w:val="28"/>
            </w:pPr>
            <w:r>
              <w:t>辖区内符合条件申报对象全覆盖，在重大节日及时慰问和亲情关爱</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在传统节日走访慰问帮助解决实际困难。</w:t>
            </w:r>
          </w:p>
        </w:tc>
        <w:tc>
          <w:tcPr>
            <w:tcW w:w="2466" w:type="dxa"/>
            <w:vAlign w:val="center"/>
          </w:tcPr>
          <w:p>
            <w:pPr>
              <w:pStyle w:val="28"/>
            </w:pPr>
            <w:r>
              <w:t>对计划生育家庭进行节日活动慰问和亲情关爱,保障和改善民生，促进社会和谐稳定。</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开展计划生育特殊家庭“暖心行动”在传统节日端午，中秋，重阳，春节等重要节日开展走访慰问，帮助解决实际困难，给予生活照顾和精神上的慰藉。标准1100元*78户</w:t>
            </w:r>
          </w:p>
        </w:tc>
        <w:tc>
          <w:tcPr>
            <w:tcW w:w="2466" w:type="dxa"/>
            <w:vAlign w:val="center"/>
          </w:tcPr>
          <w:p>
            <w:pPr>
              <w:pStyle w:val="28"/>
            </w:pPr>
            <w:r>
              <w:t>开展计划生育特殊家庭“暖心行动”在传统节日端午，中秋，重阳，春节等重要节日开展走访慰问，帮助解决实际困难，给予生活照顾和精神上的慰藉。标准1100元*78户</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保障和改善民生，促进社会和谐稳定。</w:t>
            </w:r>
          </w:p>
        </w:tc>
        <w:tc>
          <w:tcPr>
            <w:tcW w:w="2466" w:type="dxa"/>
            <w:vAlign w:val="center"/>
          </w:tcPr>
          <w:p>
            <w:pPr>
              <w:pStyle w:val="28"/>
            </w:pPr>
            <w:r>
              <w:t>保障和改善民生，促进社会和谐稳定。</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辖区内符合条件申报对象全覆盖，在重大节日及时慰问，帮扶的计生特殊家庭的满意度</w:t>
            </w:r>
          </w:p>
        </w:tc>
        <w:tc>
          <w:tcPr>
            <w:tcW w:w="2466" w:type="dxa"/>
            <w:vAlign w:val="center"/>
          </w:tcPr>
          <w:p>
            <w:pPr>
              <w:pStyle w:val="28"/>
            </w:pPr>
            <w:r>
              <w:t>辖区内符合条件申报对象全覆盖，在重大节日及时慰问，帮扶的计生特殊家庭的满意度</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2、计生协宣传服务专项经费绩效目标表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1.为进一步发挥计生协生力军的作用，重点开展一系列宣传活动，实施“天使圆梦”助学活动。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为进一步发挥计生协生力军的作用，重点开展一系列宣传活动，实施“天使圆梦”助学活动。符合“天使圆梦”活动救助女孩的人数</w:t>
            </w:r>
          </w:p>
        </w:tc>
        <w:tc>
          <w:tcPr>
            <w:tcW w:w="2466" w:type="dxa"/>
            <w:vAlign w:val="center"/>
          </w:tcPr>
          <w:p>
            <w:pPr>
              <w:pStyle w:val="28"/>
            </w:pPr>
            <w:r>
              <w:t>利用“5.29”“7.11”“12.1”等活动日扩大计生宣传，积极为计生困难家庭考入“985”“211”高校的女孩争取支持，逐步完善藁城区“天使圆梦”活动。</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宣传活动日的宣传活动，核实符合“天使圆梦”活动救助女孩的人数</w:t>
            </w:r>
          </w:p>
        </w:tc>
        <w:tc>
          <w:tcPr>
            <w:tcW w:w="2466" w:type="dxa"/>
            <w:vAlign w:val="center"/>
          </w:tcPr>
          <w:p>
            <w:pPr>
              <w:pStyle w:val="28"/>
            </w:pPr>
            <w:r>
              <w:t>宣传活动日的宣传活动，核实符合“天使圆梦”活动救助女孩的人数</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扩大计生宣传，及时助贫困女孩顺利进入大学</w:t>
            </w:r>
          </w:p>
        </w:tc>
        <w:tc>
          <w:tcPr>
            <w:tcW w:w="2466" w:type="dxa"/>
            <w:vAlign w:val="center"/>
          </w:tcPr>
          <w:p>
            <w:pPr>
              <w:pStyle w:val="28"/>
            </w:pPr>
            <w:r>
              <w:t>扩大计生宣传，及时助贫困女孩顺利进入大学</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“天使圆梦”活动。救助金1000元/人</w:t>
            </w:r>
          </w:p>
        </w:tc>
        <w:tc>
          <w:tcPr>
            <w:tcW w:w="2466" w:type="dxa"/>
            <w:vAlign w:val="center"/>
          </w:tcPr>
          <w:p>
            <w:pPr>
              <w:pStyle w:val="28"/>
            </w:pPr>
            <w:r>
              <w:t>“天使圆梦”活动。救助金1000元/人</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利用“5.29”“7.11”“12.1”等活动日扩大计生宣传，积极为计生困难家庭考入“985”“211”高校的女孩争取支持，逐步完善藁城区“天使圆梦”活动。</w:t>
            </w:r>
          </w:p>
        </w:tc>
        <w:tc>
          <w:tcPr>
            <w:tcW w:w="2466" w:type="dxa"/>
            <w:vAlign w:val="center"/>
          </w:tcPr>
          <w:p>
            <w:pPr>
              <w:pStyle w:val="28"/>
            </w:pPr>
            <w:r>
              <w:t>利用“5.29”“7.11”“12.1”等活动日扩大计生宣传，积极为计生困难家庭考入“985”“211”高校的女孩争取支持，逐步完善藁城区“天使圆梦”活动。</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通过宣传增大群众的知晓率。辖区内符合条件的女孩人数</w:t>
            </w:r>
          </w:p>
        </w:tc>
        <w:tc>
          <w:tcPr>
            <w:tcW w:w="2466" w:type="dxa"/>
            <w:vAlign w:val="center"/>
          </w:tcPr>
          <w:p>
            <w:pPr>
              <w:pStyle w:val="28"/>
            </w:pPr>
            <w:r>
              <w:t>服务人群的满意，认可度</w:t>
            </w:r>
          </w:p>
        </w:tc>
        <w:tc>
          <w:tcPr>
            <w:tcW w:w="2466" w:type="dxa"/>
            <w:vAlign w:val="center"/>
          </w:tcPr>
          <w:p>
            <w:pPr>
              <w:pStyle w:val="28"/>
            </w:pPr>
            <w:r>
              <w:t>≥95%</w:t>
            </w:r>
          </w:p>
        </w:tc>
        <w:tc>
          <w:tcPr>
            <w:tcW w:w="2466" w:type="dxa"/>
            <w:vAlign w:val="center"/>
          </w:tcPr>
          <w:p>
            <w:pPr>
              <w:pStyle w:val="28"/>
            </w:pPr>
            <w:r>
              <w:t>实际情况</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3、劳务派遣工作人员费用绩效目标表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1.加强计生协队伍建设，提高工作效率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根据工作需要招聘一名劳务派遣人员</w:t>
            </w:r>
          </w:p>
        </w:tc>
        <w:tc>
          <w:tcPr>
            <w:tcW w:w="2466" w:type="dxa"/>
            <w:vAlign w:val="center"/>
          </w:tcPr>
          <w:p>
            <w:pPr>
              <w:pStyle w:val="28"/>
            </w:pPr>
            <w:r>
              <w:t>根据工作需要招聘一名劳务派遣人员</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及时支付工作人员工资</w:t>
            </w:r>
          </w:p>
        </w:tc>
        <w:tc>
          <w:tcPr>
            <w:tcW w:w="2466" w:type="dxa"/>
            <w:vAlign w:val="center"/>
          </w:tcPr>
          <w:p>
            <w:pPr>
              <w:pStyle w:val="28"/>
            </w:pPr>
            <w:r>
              <w:t>及时支付工作人员工资</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加强计生协队伍建设，提高工作效率</w:t>
            </w:r>
          </w:p>
        </w:tc>
        <w:tc>
          <w:tcPr>
            <w:tcW w:w="2466" w:type="dxa"/>
            <w:vAlign w:val="center"/>
          </w:tcPr>
          <w:p>
            <w:pPr>
              <w:pStyle w:val="28"/>
            </w:pPr>
            <w:r>
              <w:t>加强计生协队伍建设，提高工作效率</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按照文件标准发放工资</w:t>
            </w:r>
          </w:p>
        </w:tc>
        <w:tc>
          <w:tcPr>
            <w:tcW w:w="2466" w:type="dxa"/>
            <w:vAlign w:val="center"/>
          </w:tcPr>
          <w:p>
            <w:pPr>
              <w:pStyle w:val="28"/>
            </w:pPr>
            <w:r>
              <w:t>按照文件标准发放工资</w:t>
            </w:r>
          </w:p>
        </w:tc>
        <w:tc>
          <w:tcPr>
            <w:tcW w:w="2466" w:type="dxa"/>
            <w:vAlign w:val="center"/>
          </w:tcPr>
          <w:p>
            <w:pPr>
              <w:pStyle w:val="28"/>
            </w:pPr>
            <w:r>
              <w:t>2850元/月</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为进一步增强计生协能力建设，通过购买社会服务的形式，通过劳务公司招录相关人员</w:t>
            </w:r>
          </w:p>
        </w:tc>
        <w:tc>
          <w:tcPr>
            <w:tcW w:w="2466" w:type="dxa"/>
            <w:vAlign w:val="center"/>
          </w:tcPr>
          <w:p>
            <w:pPr>
              <w:pStyle w:val="28"/>
            </w:pPr>
            <w:r>
              <w:t>为进一步增强计生协能力建设，通过购买社会服务的形式，通过劳务公司招录相关人员</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劳务派遣人员的满意度</w:t>
            </w:r>
          </w:p>
        </w:tc>
        <w:tc>
          <w:tcPr>
            <w:tcW w:w="2466" w:type="dxa"/>
            <w:vAlign w:val="center"/>
          </w:tcPr>
          <w:p>
            <w:pPr>
              <w:pStyle w:val="28"/>
            </w:pPr>
            <w:r>
              <w:t>劳务派遣人员的满意度，工作积极性</w:t>
            </w:r>
          </w:p>
        </w:tc>
        <w:tc>
          <w:tcPr>
            <w:tcW w:w="2466" w:type="dxa"/>
            <w:vAlign w:val="center"/>
          </w:tcPr>
          <w:p>
            <w:pPr>
              <w:pStyle w:val="28"/>
            </w:pPr>
            <w:r>
              <w:t>≥95%</w:t>
            </w:r>
          </w:p>
        </w:tc>
        <w:tc>
          <w:tcPr>
            <w:tcW w:w="2466" w:type="dxa"/>
            <w:vAlign w:val="center"/>
          </w:tcPr>
          <w:p>
            <w:pPr>
              <w:pStyle w:val="28"/>
            </w:pPr>
            <w:r>
              <w:t>实际情况</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4、农村独生子女家庭意外伤害保险绩效目标表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1.农村18-19周以内的独生子女家庭意外伤害保险</w:t>
            </w:r>
          </w:p>
          <w:p>
            <w:pPr>
              <w:pStyle w:val="28"/>
            </w:pPr>
            <w:r>
              <w:t>2.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农村独生子女18-19周家庭，城镇低保户家庭，孤儿，失独家庭的数量</w:t>
            </w:r>
          </w:p>
        </w:tc>
        <w:tc>
          <w:tcPr>
            <w:tcW w:w="2466" w:type="dxa"/>
            <w:vAlign w:val="center"/>
          </w:tcPr>
          <w:p>
            <w:pPr>
              <w:pStyle w:val="28"/>
            </w:pPr>
            <w:r>
              <w:t>准确核实符合条件申报条件的家庭奖数量</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家庭意外伤害险的投保的及时率和赔付及时率</w:t>
            </w:r>
          </w:p>
        </w:tc>
        <w:tc>
          <w:tcPr>
            <w:tcW w:w="2466" w:type="dxa"/>
            <w:vAlign w:val="center"/>
          </w:tcPr>
          <w:p>
            <w:pPr>
              <w:pStyle w:val="28"/>
            </w:pPr>
            <w:r>
              <w:t>对计生家庭及时投保及时赔付</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保险期限为一年</w:t>
            </w:r>
          </w:p>
        </w:tc>
        <w:tc>
          <w:tcPr>
            <w:tcW w:w="2466" w:type="dxa"/>
            <w:vAlign w:val="center"/>
          </w:tcPr>
          <w:p>
            <w:pPr>
              <w:pStyle w:val="28"/>
            </w:pPr>
            <w:r>
              <w:t>家庭意外伤害险的有效期限为一年</w:t>
            </w:r>
          </w:p>
        </w:tc>
        <w:tc>
          <w:tcPr>
            <w:tcW w:w="2466" w:type="dxa"/>
            <w:vAlign w:val="center"/>
          </w:tcPr>
          <w:p>
            <w:pPr>
              <w:pStyle w:val="28"/>
            </w:pPr>
            <w:r>
              <w:t>1年</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保额为30元/户</w:t>
            </w:r>
          </w:p>
        </w:tc>
        <w:tc>
          <w:tcPr>
            <w:tcW w:w="2466" w:type="dxa"/>
            <w:vAlign w:val="center"/>
          </w:tcPr>
          <w:p>
            <w:pPr>
              <w:pStyle w:val="28"/>
            </w:pPr>
            <w:r>
              <w:t>家庭意外伤害险的保费为30元/户</w:t>
            </w:r>
          </w:p>
        </w:tc>
        <w:tc>
          <w:tcPr>
            <w:tcW w:w="2466" w:type="dxa"/>
            <w:vAlign w:val="center"/>
          </w:tcPr>
          <w:p>
            <w:pPr>
              <w:pStyle w:val="28"/>
            </w:pPr>
            <w:r>
              <w:t>30元/户</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为了增强计生家庭抵御意外伤害能力，最大限度地维护计划生育家庭的利益</w:t>
            </w:r>
          </w:p>
        </w:tc>
        <w:tc>
          <w:tcPr>
            <w:tcW w:w="2466" w:type="dxa"/>
            <w:vAlign w:val="center"/>
          </w:tcPr>
          <w:p>
            <w:pPr>
              <w:pStyle w:val="28"/>
            </w:pPr>
            <w:r>
              <w:t>以较低的保费，较全较高的保额，最大限度地维护计划生育家庭的利益</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计生农村独生子女家庭，城镇低保户家庭，孤儿，失独家庭</w:t>
            </w:r>
          </w:p>
        </w:tc>
        <w:tc>
          <w:tcPr>
            <w:tcW w:w="2466" w:type="dxa"/>
            <w:vAlign w:val="center"/>
          </w:tcPr>
          <w:p>
            <w:pPr>
              <w:pStyle w:val="28"/>
            </w:pPr>
            <w:r>
              <w:t>计生农村独生子女家庭，城镇低保户家庭，孤儿，失独家庭的满意度</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5、亲情关爱救助基金绩效目标表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1.实施计划生育特困家庭帮扶制度，对计划生育家庭进行节日活动慰问和亲情关爱，给予计生失独家庭护工保险补贴,保障和改善民生，促进社会和谐稳定。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计划生育特殊家庭户数及人数</w:t>
            </w:r>
          </w:p>
        </w:tc>
        <w:tc>
          <w:tcPr>
            <w:tcW w:w="2466" w:type="dxa"/>
            <w:vAlign w:val="center"/>
          </w:tcPr>
          <w:p>
            <w:pPr>
              <w:pStyle w:val="28"/>
            </w:pPr>
            <w:r>
              <w:t>符合申报条件的计划生育特殊家庭户数及人数</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符合条件申报对象的覆盖率</w:t>
            </w:r>
          </w:p>
        </w:tc>
        <w:tc>
          <w:tcPr>
            <w:tcW w:w="2466" w:type="dxa"/>
            <w:vAlign w:val="center"/>
          </w:tcPr>
          <w:p>
            <w:pPr>
              <w:pStyle w:val="28"/>
            </w:pPr>
            <w:r>
              <w:t>准确核实全区内符合申报条件的计划生育特殊家庭户数及人数</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帮扶兑现准确率和资金到位的及时率</w:t>
            </w:r>
          </w:p>
        </w:tc>
        <w:tc>
          <w:tcPr>
            <w:tcW w:w="2466" w:type="dxa"/>
            <w:vAlign w:val="center"/>
          </w:tcPr>
          <w:p>
            <w:pPr>
              <w:pStyle w:val="28"/>
            </w:pPr>
            <w:r>
              <w:t>实施计划生育特困家庭帮扶制度和亲情关爱，开展计生家庭保险工作，给予计生失独家庭护工保险补贴,</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农村计划生育特殊家庭护工保险的标准及亲情关爱</w:t>
            </w:r>
          </w:p>
        </w:tc>
        <w:tc>
          <w:tcPr>
            <w:tcW w:w="2466" w:type="dxa"/>
            <w:vAlign w:val="center"/>
          </w:tcPr>
          <w:p>
            <w:pPr>
              <w:pStyle w:val="28"/>
            </w:pPr>
            <w:r>
              <w:t>计生失独家庭护工保险补贴,保障特殊家庭成员在住院期间有人护理200元/户</w:t>
            </w:r>
          </w:p>
        </w:tc>
        <w:tc>
          <w:tcPr>
            <w:tcW w:w="2466" w:type="dxa"/>
            <w:vAlign w:val="center"/>
          </w:tcPr>
          <w:p>
            <w:pPr>
              <w:pStyle w:val="28"/>
            </w:pPr>
            <w:r>
              <w:t>200元/人</w:t>
            </w:r>
          </w:p>
        </w:tc>
        <w:tc>
          <w:tcPr>
            <w:tcW w:w="2466"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帮扶及关爱基金对帮扶对象生活困难，心情有所缓解</w:t>
            </w:r>
          </w:p>
        </w:tc>
        <w:tc>
          <w:tcPr>
            <w:tcW w:w="2466" w:type="dxa"/>
            <w:vAlign w:val="center"/>
          </w:tcPr>
          <w:p>
            <w:pPr>
              <w:pStyle w:val="28"/>
            </w:pPr>
            <w:r>
              <w:t>实施计划生育特困家庭帮扶制度和亲情关爱，开展计生家庭保险工作，给予计生失独家庭护工保险补贴,保障特殊家庭成员在住院期间有人护理，保障和改善民生，促进社会和谐稳定。</w:t>
            </w:r>
          </w:p>
        </w:tc>
        <w:tc>
          <w:tcPr>
            <w:tcW w:w="2466" w:type="dxa"/>
            <w:vAlign w:val="center"/>
          </w:tcPr>
          <w:p>
            <w:pPr>
              <w:pStyle w:val="28"/>
            </w:pPr>
            <w:r>
              <w:t>≥95%</w:t>
            </w:r>
          </w:p>
        </w:tc>
        <w:tc>
          <w:tcPr>
            <w:tcW w:w="2466"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奖励帮扶的计生特殊家庭的满意度</w:t>
            </w:r>
          </w:p>
        </w:tc>
        <w:tc>
          <w:tcPr>
            <w:tcW w:w="2466" w:type="dxa"/>
            <w:vAlign w:val="center"/>
          </w:tcPr>
          <w:p>
            <w:pPr>
              <w:pStyle w:val="28"/>
            </w:pPr>
            <w:r>
              <w:t>帮扶的计生特殊家庭对工作的认可</w:t>
            </w:r>
          </w:p>
        </w:tc>
        <w:tc>
          <w:tcPr>
            <w:tcW w:w="2466" w:type="dxa"/>
            <w:vAlign w:val="center"/>
          </w:tcPr>
          <w:p>
            <w:pPr>
              <w:pStyle w:val="28"/>
            </w:pPr>
            <w:r>
              <w:t>≥95%</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6、石财社[2021]118号关于提前下达2022年省级计划生育服务补助资金绩效目标表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1.优生优育指导中心服务情况，通过各项活动为目标人群服务。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孕前健康培训及指导、优生优育讲座、孕期实操训练、家长课堂举办</w:t>
            </w:r>
          </w:p>
        </w:tc>
        <w:tc>
          <w:tcPr>
            <w:tcW w:w="2466" w:type="dxa"/>
            <w:vAlign w:val="center"/>
          </w:tcPr>
          <w:p>
            <w:pPr>
              <w:pStyle w:val="28"/>
            </w:pPr>
            <w:r>
              <w:t>6次</w:t>
            </w:r>
          </w:p>
        </w:tc>
        <w:tc>
          <w:tcPr>
            <w:tcW w:w="2466" w:type="dxa"/>
            <w:vAlign w:val="center"/>
          </w:tcPr>
          <w:p>
            <w:pPr>
              <w:pStyle w:val="28"/>
            </w:pPr>
            <w:r>
              <w:t>6次/年</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家长课堂、亲子活动、家长经验交流会</w:t>
            </w:r>
          </w:p>
        </w:tc>
        <w:tc>
          <w:tcPr>
            <w:tcW w:w="2466" w:type="dxa"/>
            <w:vAlign w:val="center"/>
          </w:tcPr>
          <w:p>
            <w:pPr>
              <w:pStyle w:val="28"/>
            </w:pPr>
            <w:r>
              <w:t>提高广大家庭科学育儿的意识率</w:t>
            </w:r>
          </w:p>
        </w:tc>
        <w:tc>
          <w:tcPr>
            <w:tcW w:w="2466" w:type="dxa"/>
            <w:vAlign w:val="center"/>
          </w:tcPr>
          <w:p>
            <w:pPr>
              <w:pStyle w:val="28"/>
            </w:pPr>
            <w:r>
              <w:t>≥95%</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优生优育指导中心服务情况</w:t>
            </w:r>
          </w:p>
        </w:tc>
        <w:tc>
          <w:tcPr>
            <w:tcW w:w="2466" w:type="dxa"/>
            <w:vAlign w:val="center"/>
          </w:tcPr>
          <w:p>
            <w:pPr>
              <w:pStyle w:val="28"/>
            </w:pPr>
            <w:r>
              <w:t>优生优育指导中心服务率</w:t>
            </w:r>
          </w:p>
        </w:tc>
        <w:tc>
          <w:tcPr>
            <w:tcW w:w="2466" w:type="dxa"/>
            <w:vAlign w:val="center"/>
          </w:tcPr>
          <w:p>
            <w:pPr>
              <w:pStyle w:val="28"/>
            </w:pPr>
            <w:r>
              <w:t>≥95%</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优生优育指导中心项目款</w:t>
            </w:r>
          </w:p>
        </w:tc>
        <w:tc>
          <w:tcPr>
            <w:tcW w:w="2466" w:type="dxa"/>
            <w:vAlign w:val="center"/>
          </w:tcPr>
          <w:p>
            <w:pPr>
              <w:pStyle w:val="28"/>
            </w:pPr>
            <w:r>
              <w:t>优生优育指导中心项目款</w:t>
            </w:r>
          </w:p>
        </w:tc>
        <w:tc>
          <w:tcPr>
            <w:tcW w:w="2466" w:type="dxa"/>
            <w:vAlign w:val="center"/>
          </w:tcPr>
          <w:p>
            <w:pPr>
              <w:pStyle w:val="28"/>
            </w:pPr>
            <w:r>
              <w:t>10万</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优生优育指导中心微信公务平台</w:t>
            </w:r>
          </w:p>
        </w:tc>
        <w:tc>
          <w:tcPr>
            <w:tcW w:w="2466" w:type="dxa"/>
            <w:vAlign w:val="center"/>
          </w:tcPr>
          <w:p>
            <w:pPr>
              <w:pStyle w:val="28"/>
            </w:pPr>
            <w:r>
              <w:t>定期推送优生优育优教的知识学习率</w:t>
            </w:r>
          </w:p>
        </w:tc>
        <w:tc>
          <w:tcPr>
            <w:tcW w:w="2466" w:type="dxa"/>
            <w:vAlign w:val="center"/>
          </w:tcPr>
          <w:p>
            <w:pPr>
              <w:pStyle w:val="28"/>
            </w:pPr>
            <w:r>
              <w:t>≥95%</w:t>
            </w:r>
          </w:p>
        </w:tc>
        <w:tc>
          <w:tcPr>
            <w:tcW w:w="2466" w:type="dxa"/>
            <w:vAlign w:val="center"/>
          </w:tcPr>
          <w:p>
            <w:pPr>
              <w:pStyle w:val="28"/>
            </w:pPr>
            <w:r>
              <w:t>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加强免费婚前医学检查宣传</w:t>
            </w:r>
          </w:p>
        </w:tc>
        <w:tc>
          <w:tcPr>
            <w:tcW w:w="2466" w:type="dxa"/>
            <w:vAlign w:val="center"/>
          </w:tcPr>
          <w:p>
            <w:pPr>
              <w:pStyle w:val="28"/>
            </w:pPr>
            <w:r>
              <w:t>加强免费婚前医学检查宣传率</w:t>
            </w:r>
          </w:p>
        </w:tc>
        <w:tc>
          <w:tcPr>
            <w:tcW w:w="2466" w:type="dxa"/>
            <w:vAlign w:val="center"/>
          </w:tcPr>
          <w:p>
            <w:pPr>
              <w:pStyle w:val="28"/>
            </w:pPr>
            <w:r>
              <w:t>≥95%</w:t>
            </w:r>
          </w:p>
        </w:tc>
        <w:tc>
          <w:tcPr>
            <w:tcW w:w="2466" w:type="dxa"/>
            <w:vAlign w:val="center"/>
          </w:tcPr>
          <w:p>
            <w:pPr>
              <w:pStyle w:val="28"/>
            </w:pPr>
            <w:r>
              <w:t>评估报告</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2022年，石家庄市藁城区计划生育协会本级安排政府采购预算0.85万元。具体内容见下表。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c>
          <w:tcPr>
            <w:tcW w:w="924" w:type="dxa"/>
            <w:vAlign w:val="center"/>
          </w:tcPr>
          <w:p>
            <w:pPr>
              <w:pStyle w:val="17"/>
            </w:pPr>
            <w:r>
              <w:t>0.85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石家庄市藁城区计划生育协会本级小计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c>
          <w:tcPr>
            <w:tcW w:w="924" w:type="dxa"/>
            <w:vAlign w:val="center"/>
          </w:tcPr>
          <w:p>
            <w:pPr>
              <w:pStyle w:val="17"/>
            </w:pPr>
            <w:r>
              <w:t>0.85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2022年日常公用经费</w:t>
            </w:r>
          </w:p>
        </w:tc>
        <w:tc>
          <w:tcPr>
            <w:tcW w:w="924" w:type="dxa"/>
            <w:vAlign w:val="center"/>
          </w:tcPr>
          <w:p>
            <w:pPr>
              <w:pStyle w:val="13"/>
            </w:pPr>
            <w:r>
              <w:t>16.77</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2</w:t>
            </w:r>
          </w:p>
        </w:tc>
        <w:tc>
          <w:tcPr>
            <w:tcW w:w="924" w:type="dxa"/>
            <w:vAlign w:val="center"/>
          </w:tcPr>
          <w:p>
            <w:pPr>
              <w:pStyle w:val="13"/>
            </w:pPr>
            <w:r>
              <w:t>0.35</w:t>
            </w:r>
          </w:p>
        </w:tc>
        <w:tc>
          <w:tcPr>
            <w:tcW w:w="924" w:type="dxa"/>
            <w:vAlign w:val="center"/>
          </w:tcPr>
          <w:p>
            <w:pPr>
              <w:pStyle w:val="13"/>
            </w:pPr>
            <w:r>
              <w:t>0.70</w:t>
            </w:r>
          </w:p>
        </w:tc>
        <w:tc>
          <w:tcPr>
            <w:tcW w:w="924" w:type="dxa"/>
            <w:vAlign w:val="center"/>
          </w:tcPr>
          <w:p>
            <w:pPr>
              <w:pStyle w:val="13"/>
            </w:pPr>
            <w:r>
              <w:t>0.70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2022年日常公用经费</w:t>
            </w:r>
          </w:p>
        </w:tc>
        <w:tc>
          <w:tcPr>
            <w:tcW w:w="924" w:type="dxa"/>
            <w:vAlign w:val="center"/>
          </w:tcPr>
          <w:p>
            <w:pPr>
              <w:pStyle w:val="13"/>
            </w:pPr>
            <w:r>
              <w:t>16.77</w:t>
            </w:r>
          </w:p>
        </w:tc>
        <w:tc>
          <w:tcPr>
            <w:tcW w:w="924" w:type="dxa"/>
            <w:vAlign w:val="center"/>
          </w:tcPr>
          <w:p>
            <w:pPr>
              <w:pStyle w:val="14"/>
            </w:pPr>
            <w:r>
              <w:t>激光打印机</w:t>
            </w:r>
          </w:p>
        </w:tc>
        <w:tc>
          <w:tcPr>
            <w:tcW w:w="924" w:type="dxa"/>
            <w:vAlign w:val="center"/>
          </w:tcPr>
          <w:p>
            <w:pPr>
              <w:pStyle w:val="14"/>
            </w:pPr>
            <w:r>
              <w:t>A0201060102</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2"/>
        <w:rPr>
          <w:rFonts w:ascii="黑体" w:hAnsi="黑体" w:eastAsia="黑体" w:cs="黑体"/>
          <w:color w:val="000000"/>
          <w:sz w:val="32"/>
          <w:lang w:val="uk-UA"/>
        </w:rPr>
      </w:pPr>
      <w:r>
        <w:rPr>
          <w:rFonts w:ascii="Times New Roman" w:hAnsi="Times New Roman" w:eastAsia="方正仿宋_GBK" w:cs="Times New Roman"/>
          <w:color w:val="000000"/>
          <w:sz w:val="32"/>
        </w:rPr>
        <w:t xml:space="preserve"> </w:t>
      </w:r>
      <w:r>
        <w:rPr>
          <w:rFonts w:hint="eastAsia" w:ascii="黑体" w:hAnsi="黑体" w:eastAsia="黑体" w:cs="黑体"/>
          <w:color w:val="000000"/>
          <w:sz w:val="32"/>
          <w:lang w:val="uk-UA"/>
        </w:rPr>
        <w:t xml:space="preserve">七、国有资产信息 </w:t>
      </w:r>
    </w:p>
    <w:p>
      <w:pPr>
        <w:spacing w:before="10" w:after="10" w:line="240" w:lineRule="auto"/>
        <w:ind w:firstLine="640"/>
        <w:jc w:val="left"/>
        <w:outlineLvl w:val="5"/>
      </w:pP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石家庄市藁城区计划生育协会（含所属单位）上年末固定资产金额为1</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36万元（详见下表）。本年度拟购置固定资产总额为</w:t>
      </w:r>
      <w:r>
        <w:rPr>
          <w:rFonts w:hint="eastAsia" w:eastAsia="方正仿宋_GBK" w:cs="Times New Roman"/>
          <w:b w:val="0"/>
          <w:color w:val="000000"/>
          <w:sz w:val="28"/>
          <w:lang w:val="en-US" w:eastAsia="zh-CN"/>
        </w:rPr>
        <w:t>0.85</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主要为计算机。</w:t>
      </w:r>
    </w:p>
    <w:p>
      <w:pPr>
        <w:spacing w:before="0" w:after="0" w:line="500" w:lineRule="exact"/>
        <w:ind w:firstLine="560"/>
        <w:jc w:val="left"/>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725001石家庄市藁城区计划生育协会本级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w:t>
            </w:r>
            <w:r>
              <w:rPr>
                <w:rFonts w:hint="eastAsia"/>
                <w:lang w:val="en-US" w:eastAsia="zh-CN"/>
              </w:rPr>
              <w:t>.</w:t>
            </w:r>
            <w: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w:t>
            </w:r>
            <w:r>
              <w:rPr>
                <w:rFonts w:hint="eastAsia"/>
                <w:lang w:val="en-US" w:eastAsia="zh-CN"/>
              </w:rPr>
              <w:t>.</w:t>
            </w:r>
            <w:r>
              <w:t>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E29093"/>
    <w:multiLevelType w:val="singleLevel"/>
    <w:tmpl w:val="D3E29093"/>
    <w:lvl w:ilvl="0" w:tentative="0">
      <w:start w:val="1"/>
      <w:numFmt w:val="decimal"/>
      <w:suff w:val="nothing"/>
      <w:lvlText w:val="%1、"/>
      <w:lvlJc w:val="left"/>
    </w:lvl>
  </w:abstractNum>
  <w:abstractNum w:abstractNumId="1">
    <w:nsid w:val="31EB9E97"/>
    <w:multiLevelType w:val="singleLevel"/>
    <w:tmpl w:val="31EB9E97"/>
    <w:lvl w:ilvl="0" w:tentative="0">
      <w:start w:val="3"/>
      <w:numFmt w:val="chineseCounting"/>
      <w:suff w:val="nothing"/>
      <w:lvlText w:val="%1、"/>
      <w:lvlJc w:val="left"/>
      <w:rPr>
        <w:rFonts w:hint="eastAsia"/>
      </w:rPr>
    </w:lvl>
  </w:abstractNum>
  <w:abstractNum w:abstractNumId="2">
    <w:nsid w:val="3EABE0ED"/>
    <w:multiLevelType w:val="singleLevel"/>
    <w:tmpl w:val="3EABE0ED"/>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iNDcwZGI1NDk4YzQ5N2Q4MTkzMzZiMDRjYjlkOWQifQ=="/>
  </w:docVars>
  <w:rsids>
    <w:rsidRoot w:val="00000000"/>
    <w:rsid w:val="026B44D4"/>
    <w:rsid w:val="0E6F0323"/>
    <w:rsid w:val="150F3CC6"/>
    <w:rsid w:val="1A0F26D6"/>
    <w:rsid w:val="1D640B78"/>
    <w:rsid w:val="2BDB4DA6"/>
    <w:rsid w:val="2CD91AB0"/>
    <w:rsid w:val="31F938DC"/>
    <w:rsid w:val="37DE3CD8"/>
    <w:rsid w:val="385C7413"/>
    <w:rsid w:val="38E02C52"/>
    <w:rsid w:val="3A9A07FD"/>
    <w:rsid w:val="3B904642"/>
    <w:rsid w:val="411C56DF"/>
    <w:rsid w:val="4B453774"/>
    <w:rsid w:val="4DD0778F"/>
    <w:rsid w:val="53EF0D36"/>
    <w:rsid w:val="542B70CA"/>
    <w:rsid w:val="55C102C9"/>
    <w:rsid w:val="59D62BAF"/>
    <w:rsid w:val="5A121D24"/>
    <w:rsid w:val="5E916EDE"/>
    <w:rsid w:val="5FD95878"/>
    <w:rsid w:val="69D4126F"/>
    <w:rsid w:val="6B8A580E"/>
    <w:rsid w:val="6CEB222C"/>
    <w:rsid w:val="6F187EC8"/>
    <w:rsid w:val="730237E5"/>
    <w:rsid w:val="7894360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autoRedefine/>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1c2c5ea8-c065-4fd0-b616-04d8f72d7301"/>
    <w:qFormat/>
    <w:uiPriority w:val="0"/>
    <w:rPr>
      <w:rFonts w:ascii="Times New Roman" w:hAnsi="Times New Roman" w:eastAsia="Times New Roman" w:cstheme="minorBidi"/>
      <w:sz w:val="24"/>
      <w:szCs w:val="24"/>
      <w:lang w:val="en-US" w:eastAsia="uk-UA" w:bidi="ar-SA"/>
    </w:rPr>
  </w:style>
  <w:style w:type="paragraph" w:customStyle="1" w:styleId="27">
    <w:name w:val="单元格样式1_aa90e4dc-b090-4bc7-8726-1ac9dab72464"/>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8ef3571b-74b7-4889-8200-5b762ebee957"/>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36be73ca-f0ec-46b3-ab95-8190289c5d3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2022-02-14T17:48:29Z</dcterms:created>
  <dcterms:modified xsi:type="dcterms:W3CDTF">2022-02-14T09:48:29Z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2022-02-14T17:48:19Z</dcterms:created>
  <dcterms:modified xsi:type="dcterms:W3CDTF">2022-02-14T09:48:19Z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2022-02-14T17:48:22Z</dcterms:created>
  <dcterms:modified xsi:type="dcterms:W3CDTF">2022-02-14T09:48:22Z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2022-02-14T17:48:26Z</dcterms:created>
  <dcterms:modified xsi:type="dcterms:W3CDTF">2022-02-14T09:48:26Z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7e57d5c-c7f6-47c5-becd-ad6e59e4cd32}">
  <ds:schemaRefs/>
</ds:datastoreItem>
</file>

<file path=customXml/itemProps2.xml><?xml version="1.0" encoding="utf-8"?>
<ds:datastoreItem xmlns:ds="http://schemas.openxmlformats.org/officeDocument/2006/customXml" ds:itemID="{1d2714fd-8f4a-442b-8ee1-09dd6175ade8}">
  <ds:schemaRefs/>
</ds:datastoreItem>
</file>

<file path=customXml/itemProps3.xml><?xml version="1.0" encoding="utf-8"?>
<ds:datastoreItem xmlns:ds="http://schemas.openxmlformats.org/officeDocument/2006/customXml" ds:itemID="{1858afbf-63d6-4aae-befe-9144b34bfa92}">
  <ds:schemaRefs/>
</ds:datastoreItem>
</file>

<file path=customXml/itemProps4.xml><?xml version="1.0" encoding="utf-8"?>
<ds:datastoreItem xmlns:ds="http://schemas.openxmlformats.org/officeDocument/2006/customXml" ds:itemID="{09145f17-b6e2-4f54-9d78-b0b755f2c1ac}">
  <ds:schemaRefs/>
</ds:datastoreItem>
</file>

<file path=customXml/itemProps5.xml><?xml version="1.0" encoding="utf-8"?>
<ds:datastoreItem xmlns:ds="http://schemas.openxmlformats.org/officeDocument/2006/customXml" ds:itemID="{275ffc34-d361-45af-8c2f-390533897bee}">
  <ds:schemaRefs/>
</ds:datastoreItem>
</file>

<file path=customXml/itemProps6.xml><?xml version="1.0" encoding="utf-8"?>
<ds:datastoreItem xmlns:ds="http://schemas.openxmlformats.org/officeDocument/2006/customXml" ds:itemID="{997ac568-2ac6-46e4-8c61-16db22a32e56}">
  <ds:schemaRefs/>
</ds:datastoreItem>
</file>

<file path=customXml/itemProps7.xml><?xml version="1.0" encoding="utf-8"?>
<ds:datastoreItem xmlns:ds="http://schemas.openxmlformats.org/officeDocument/2006/customXml" ds:itemID="{73b0c6d6-7a7f-464f-b091-065c9053e81c}">
  <ds:schemaRefs/>
</ds:datastoreItem>
</file>

<file path=customXml/itemProps8.xml><?xml version="1.0" encoding="utf-8"?>
<ds:datastoreItem xmlns:ds="http://schemas.openxmlformats.org/officeDocument/2006/customXml" ds:itemID="{9662dce9-8174-4b83-ad25-c6e121f8bfb7}">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2022-02-14T17:48:00Z</dcterms:created>
  <dc:creator>Administrator</dc:creator>
  <cp:lastModifiedBy>高</cp:lastModifiedBy>
  <dcterms:modified xsi:type="dcterms:W3CDTF">2024-02-23T07:14:19Z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A93DC50CFB494308B854C931B11B4B41_13</vt:lpwstr>
  </property>
</Properties>
</file>