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34</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一、石家庄市藁城区市场监督管理局本级收支预算</w:t>
      </w:r>
      <w:r>
        <w:tab/>
      </w:r>
      <w:r>
        <w:fldChar w:fldCharType="begin"/>
      </w:r>
      <w:r>
        <w:instrText xml:space="preserve">PAGEREF _Toc_4_4_0000000019 \h</w:instrText>
      </w:r>
      <w:r>
        <w:fldChar w:fldCharType="separate"/>
      </w:r>
      <w:r>
        <w:t>36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414石家庄市藁城区市场监督管理局</w:t>
            </w:r>
          </w:p>
        </w:tc>
        <w:tc>
          <w:tcPr>
            <w:tcW w:w="2126" w:type="dxa"/>
            <w:tcBorders>
              <w:top w:val="single" w:color="FFFFFF" w:sz="6" w:space="0"/>
              <w:left w:val="single" w:color="FFFFFF" w:sz="6" w:space="0"/>
              <w:right w:val="single" w:color="FFFFFF" w:sz="6" w:space="0"/>
            </w:tcBorders>
            <w:vAlign w:val="center"/>
          </w:tcPr>
          <w:p>
            <w:pPr>
              <w:pStyle w:val="10"/>
            </w:pPr>
            <w:r>
              <w:rPr>
                <w:rFonts w:hint="eastAsia"/>
                <w:lang w:val="en-US" w:eastAsia="zh-CN"/>
              </w:rPr>
              <w:t xml:space="preserve"> </w:t>
            </w: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4904.78</w:t>
            </w:r>
          </w:p>
        </w:tc>
        <w:tc>
          <w:tcPr>
            <w:tcW w:w="4535" w:type="dxa"/>
            <w:vAlign w:val="center"/>
          </w:tcPr>
          <w:p>
            <w:pPr>
              <w:pStyle w:val="14"/>
            </w:pPr>
            <w:r>
              <w:t>一、一般公共服务支出</w:t>
            </w:r>
          </w:p>
        </w:tc>
        <w:tc>
          <w:tcPr>
            <w:tcW w:w="2126" w:type="dxa"/>
            <w:vAlign w:val="center"/>
          </w:tcPr>
          <w:p>
            <w:pPr>
              <w:pStyle w:val="13"/>
            </w:pPr>
            <w:r>
              <w:t>4904.78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4904.78</w:t>
            </w:r>
          </w:p>
        </w:tc>
        <w:tc>
          <w:tcPr>
            <w:tcW w:w="4535" w:type="dxa"/>
            <w:vAlign w:val="center"/>
          </w:tcPr>
          <w:p>
            <w:pPr>
              <w:pStyle w:val="16"/>
            </w:pPr>
            <w:r>
              <w:t>本年支出合计</w:t>
            </w:r>
          </w:p>
        </w:tc>
        <w:tc>
          <w:tcPr>
            <w:tcW w:w="2126" w:type="dxa"/>
            <w:vAlign w:val="center"/>
          </w:tcPr>
          <w:p>
            <w:pPr>
              <w:pStyle w:val="17"/>
            </w:pPr>
            <w:r>
              <w:t>4904.78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4904.78</w:t>
            </w:r>
          </w:p>
        </w:tc>
        <w:tc>
          <w:tcPr>
            <w:tcW w:w="4535" w:type="dxa"/>
            <w:vAlign w:val="center"/>
          </w:tcPr>
          <w:p>
            <w:pPr>
              <w:pStyle w:val="16"/>
            </w:pPr>
            <w:r>
              <w:t>支出总计</w:t>
            </w:r>
          </w:p>
        </w:tc>
        <w:tc>
          <w:tcPr>
            <w:tcW w:w="2126" w:type="dxa"/>
            <w:vAlign w:val="center"/>
          </w:tcPr>
          <w:p>
            <w:pPr>
              <w:pStyle w:val="17"/>
            </w:pPr>
            <w:r>
              <w:t>4904.78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414石家庄市藁城区市场监督管理局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4904.78</w:t>
            </w:r>
          </w:p>
        </w:tc>
        <w:tc>
          <w:tcPr>
            <w:tcW w:w="1134" w:type="dxa"/>
            <w:vAlign w:val="center"/>
          </w:tcPr>
          <w:p>
            <w:pPr>
              <w:pStyle w:val="17"/>
            </w:pPr>
            <w:r>
              <w:t>4904.78</w:t>
            </w:r>
          </w:p>
        </w:tc>
        <w:tc>
          <w:tcPr>
            <w:tcW w:w="1134" w:type="dxa"/>
            <w:vAlign w:val="center"/>
          </w:tcPr>
          <w:p>
            <w:pPr>
              <w:pStyle w:val="17"/>
            </w:pPr>
            <w:r>
              <w:t>4904.78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4904.78</w:t>
            </w:r>
          </w:p>
        </w:tc>
        <w:tc>
          <w:tcPr>
            <w:tcW w:w="1134" w:type="dxa"/>
            <w:vAlign w:val="center"/>
          </w:tcPr>
          <w:p>
            <w:pPr>
              <w:pStyle w:val="13"/>
            </w:pPr>
            <w:r>
              <w:t>4904.78</w:t>
            </w:r>
          </w:p>
        </w:tc>
        <w:tc>
          <w:tcPr>
            <w:tcW w:w="1134" w:type="dxa"/>
            <w:vAlign w:val="center"/>
          </w:tcPr>
          <w:p>
            <w:pPr>
              <w:pStyle w:val="13"/>
            </w:pPr>
            <w:r>
              <w:t>4904.78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20138</w:t>
            </w:r>
          </w:p>
        </w:tc>
        <w:tc>
          <w:tcPr>
            <w:tcW w:w="1559" w:type="dxa"/>
            <w:vAlign w:val="center"/>
          </w:tcPr>
          <w:p>
            <w:pPr>
              <w:pStyle w:val="14"/>
            </w:pPr>
            <w:r>
              <w:t>市场监督管理事务</w:t>
            </w:r>
          </w:p>
        </w:tc>
        <w:tc>
          <w:tcPr>
            <w:tcW w:w="1134" w:type="dxa"/>
            <w:vAlign w:val="center"/>
          </w:tcPr>
          <w:p>
            <w:pPr>
              <w:pStyle w:val="13"/>
            </w:pPr>
            <w:r>
              <w:t>4904.78</w:t>
            </w:r>
          </w:p>
        </w:tc>
        <w:tc>
          <w:tcPr>
            <w:tcW w:w="1134" w:type="dxa"/>
            <w:vAlign w:val="center"/>
          </w:tcPr>
          <w:p>
            <w:pPr>
              <w:pStyle w:val="13"/>
            </w:pPr>
            <w:r>
              <w:t>4904.78</w:t>
            </w:r>
          </w:p>
        </w:tc>
        <w:tc>
          <w:tcPr>
            <w:tcW w:w="1134" w:type="dxa"/>
            <w:vAlign w:val="center"/>
          </w:tcPr>
          <w:p>
            <w:pPr>
              <w:pStyle w:val="13"/>
            </w:pPr>
            <w:r>
              <w:t>4904.78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2013801</w:t>
            </w:r>
          </w:p>
        </w:tc>
        <w:tc>
          <w:tcPr>
            <w:tcW w:w="1559" w:type="dxa"/>
            <w:vAlign w:val="center"/>
          </w:tcPr>
          <w:p>
            <w:pPr>
              <w:pStyle w:val="14"/>
            </w:pPr>
            <w:r>
              <w:t>行政运行</w:t>
            </w:r>
          </w:p>
        </w:tc>
        <w:tc>
          <w:tcPr>
            <w:tcW w:w="1134" w:type="dxa"/>
            <w:vAlign w:val="center"/>
          </w:tcPr>
          <w:p>
            <w:pPr>
              <w:pStyle w:val="13"/>
            </w:pPr>
            <w:r>
              <w:t>3646.36</w:t>
            </w:r>
          </w:p>
        </w:tc>
        <w:tc>
          <w:tcPr>
            <w:tcW w:w="1134" w:type="dxa"/>
            <w:vAlign w:val="center"/>
          </w:tcPr>
          <w:p>
            <w:pPr>
              <w:pStyle w:val="13"/>
            </w:pPr>
            <w:r>
              <w:t>3646.36</w:t>
            </w:r>
          </w:p>
        </w:tc>
        <w:tc>
          <w:tcPr>
            <w:tcW w:w="1134" w:type="dxa"/>
            <w:vAlign w:val="center"/>
          </w:tcPr>
          <w:p>
            <w:pPr>
              <w:pStyle w:val="13"/>
            </w:pPr>
            <w:r>
              <w:t>3646.36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2013802</w:t>
            </w:r>
          </w:p>
        </w:tc>
        <w:tc>
          <w:tcPr>
            <w:tcW w:w="1559" w:type="dxa"/>
            <w:vAlign w:val="center"/>
          </w:tcPr>
          <w:p>
            <w:pPr>
              <w:pStyle w:val="14"/>
            </w:pPr>
            <w:r>
              <w:t>一般行政管理事务</w:t>
            </w:r>
          </w:p>
        </w:tc>
        <w:tc>
          <w:tcPr>
            <w:tcW w:w="1134" w:type="dxa"/>
            <w:vAlign w:val="center"/>
          </w:tcPr>
          <w:p>
            <w:pPr>
              <w:pStyle w:val="13"/>
            </w:pPr>
            <w:r>
              <w:t>209.00</w:t>
            </w:r>
          </w:p>
        </w:tc>
        <w:tc>
          <w:tcPr>
            <w:tcW w:w="1134" w:type="dxa"/>
            <w:vAlign w:val="center"/>
          </w:tcPr>
          <w:p>
            <w:pPr>
              <w:pStyle w:val="13"/>
            </w:pPr>
            <w:r>
              <w:t>209.00</w:t>
            </w:r>
          </w:p>
        </w:tc>
        <w:tc>
          <w:tcPr>
            <w:tcW w:w="1134" w:type="dxa"/>
            <w:vAlign w:val="center"/>
          </w:tcPr>
          <w:p>
            <w:pPr>
              <w:pStyle w:val="13"/>
            </w:pPr>
            <w:r>
              <w:t>209.00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2013803</w:t>
            </w:r>
          </w:p>
        </w:tc>
        <w:tc>
          <w:tcPr>
            <w:tcW w:w="1559" w:type="dxa"/>
            <w:vAlign w:val="center"/>
          </w:tcPr>
          <w:p>
            <w:pPr>
              <w:pStyle w:val="14"/>
            </w:pPr>
            <w:r>
              <w:t>机关服务</w:t>
            </w:r>
          </w:p>
        </w:tc>
        <w:tc>
          <w:tcPr>
            <w:tcW w:w="1134" w:type="dxa"/>
            <w:vAlign w:val="center"/>
          </w:tcPr>
          <w:p>
            <w:pPr>
              <w:pStyle w:val="13"/>
            </w:pPr>
            <w:r>
              <w:t>501.42</w:t>
            </w:r>
          </w:p>
        </w:tc>
        <w:tc>
          <w:tcPr>
            <w:tcW w:w="1134" w:type="dxa"/>
            <w:vAlign w:val="center"/>
          </w:tcPr>
          <w:p>
            <w:pPr>
              <w:pStyle w:val="13"/>
            </w:pPr>
            <w:r>
              <w:t>501.42</w:t>
            </w:r>
          </w:p>
        </w:tc>
        <w:tc>
          <w:tcPr>
            <w:tcW w:w="1134" w:type="dxa"/>
            <w:vAlign w:val="center"/>
          </w:tcPr>
          <w:p>
            <w:pPr>
              <w:pStyle w:val="13"/>
            </w:pPr>
            <w:r>
              <w:t>501.42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2013804</w:t>
            </w:r>
          </w:p>
        </w:tc>
        <w:tc>
          <w:tcPr>
            <w:tcW w:w="1559" w:type="dxa"/>
            <w:vAlign w:val="center"/>
          </w:tcPr>
          <w:p>
            <w:pPr>
              <w:pStyle w:val="14"/>
            </w:pPr>
            <w:r>
              <w:t>市场主体管理</w:t>
            </w:r>
          </w:p>
        </w:tc>
        <w:tc>
          <w:tcPr>
            <w:tcW w:w="1134" w:type="dxa"/>
            <w:vAlign w:val="center"/>
          </w:tcPr>
          <w:p>
            <w:pPr>
              <w:pStyle w:val="13"/>
            </w:pPr>
            <w:r>
              <w:t>43.00</w:t>
            </w:r>
          </w:p>
        </w:tc>
        <w:tc>
          <w:tcPr>
            <w:tcW w:w="1134" w:type="dxa"/>
            <w:vAlign w:val="center"/>
          </w:tcPr>
          <w:p>
            <w:pPr>
              <w:pStyle w:val="13"/>
            </w:pPr>
            <w:r>
              <w:t>43.00</w:t>
            </w:r>
          </w:p>
        </w:tc>
        <w:tc>
          <w:tcPr>
            <w:tcW w:w="1134" w:type="dxa"/>
            <w:vAlign w:val="center"/>
          </w:tcPr>
          <w:p>
            <w:pPr>
              <w:pStyle w:val="13"/>
            </w:pPr>
            <w:r>
              <w:t>43.00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2013815</w:t>
            </w:r>
          </w:p>
        </w:tc>
        <w:tc>
          <w:tcPr>
            <w:tcW w:w="1559" w:type="dxa"/>
            <w:vAlign w:val="center"/>
          </w:tcPr>
          <w:p>
            <w:pPr>
              <w:pStyle w:val="14"/>
            </w:pPr>
            <w:r>
              <w:t>质量安全监管</w:t>
            </w:r>
          </w:p>
        </w:tc>
        <w:tc>
          <w:tcPr>
            <w:tcW w:w="1134" w:type="dxa"/>
            <w:vAlign w:val="center"/>
          </w:tcPr>
          <w:p>
            <w:pPr>
              <w:pStyle w:val="13"/>
            </w:pPr>
            <w:r>
              <w:t>105.00</w:t>
            </w:r>
          </w:p>
        </w:tc>
        <w:tc>
          <w:tcPr>
            <w:tcW w:w="1134" w:type="dxa"/>
            <w:vAlign w:val="center"/>
          </w:tcPr>
          <w:p>
            <w:pPr>
              <w:pStyle w:val="13"/>
            </w:pPr>
            <w:r>
              <w:t>105.00</w:t>
            </w:r>
          </w:p>
        </w:tc>
        <w:tc>
          <w:tcPr>
            <w:tcW w:w="1134" w:type="dxa"/>
            <w:vAlign w:val="center"/>
          </w:tcPr>
          <w:p>
            <w:pPr>
              <w:pStyle w:val="13"/>
            </w:pPr>
            <w:r>
              <w:t>105.00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2013816</w:t>
            </w:r>
          </w:p>
        </w:tc>
        <w:tc>
          <w:tcPr>
            <w:tcW w:w="1559" w:type="dxa"/>
            <w:vAlign w:val="center"/>
          </w:tcPr>
          <w:p>
            <w:pPr>
              <w:pStyle w:val="14"/>
            </w:pPr>
            <w:r>
              <w:t>食品安全监管</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2013899</w:t>
            </w:r>
          </w:p>
        </w:tc>
        <w:tc>
          <w:tcPr>
            <w:tcW w:w="1559" w:type="dxa"/>
            <w:vAlign w:val="center"/>
          </w:tcPr>
          <w:p>
            <w:pPr>
              <w:pStyle w:val="14"/>
            </w:pPr>
            <w:r>
              <w:t>其他市场监督管理事务</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414石家庄市藁城区市场监督管理局</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4904.78</w:t>
            </w:r>
          </w:p>
        </w:tc>
        <w:tc>
          <w:tcPr>
            <w:tcW w:w="1361" w:type="dxa"/>
            <w:vAlign w:val="center"/>
          </w:tcPr>
          <w:p>
            <w:pPr>
              <w:pStyle w:val="17"/>
            </w:pPr>
            <w:r>
              <w:t>3646.36</w:t>
            </w:r>
          </w:p>
        </w:tc>
        <w:tc>
          <w:tcPr>
            <w:tcW w:w="1361" w:type="dxa"/>
            <w:vAlign w:val="center"/>
          </w:tcPr>
          <w:p>
            <w:pPr>
              <w:pStyle w:val="17"/>
            </w:pPr>
            <w:r>
              <w:t>1258.42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4904.78</w:t>
            </w:r>
          </w:p>
        </w:tc>
        <w:tc>
          <w:tcPr>
            <w:tcW w:w="1361" w:type="dxa"/>
            <w:vAlign w:val="center"/>
          </w:tcPr>
          <w:p>
            <w:pPr>
              <w:pStyle w:val="13"/>
            </w:pPr>
            <w:r>
              <w:t>3646.36</w:t>
            </w:r>
          </w:p>
        </w:tc>
        <w:tc>
          <w:tcPr>
            <w:tcW w:w="1361" w:type="dxa"/>
            <w:vAlign w:val="center"/>
          </w:tcPr>
          <w:p>
            <w:pPr>
              <w:pStyle w:val="13"/>
            </w:pPr>
            <w:r>
              <w:t>1258.42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20138</w:t>
            </w:r>
          </w:p>
        </w:tc>
        <w:tc>
          <w:tcPr>
            <w:tcW w:w="4535" w:type="dxa"/>
            <w:vAlign w:val="center"/>
          </w:tcPr>
          <w:p>
            <w:pPr>
              <w:pStyle w:val="14"/>
            </w:pPr>
            <w:r>
              <w:t>市场监督管理事务</w:t>
            </w:r>
          </w:p>
        </w:tc>
        <w:tc>
          <w:tcPr>
            <w:tcW w:w="1361" w:type="dxa"/>
            <w:vAlign w:val="center"/>
          </w:tcPr>
          <w:p>
            <w:pPr>
              <w:pStyle w:val="13"/>
            </w:pPr>
            <w:r>
              <w:t>4904.78</w:t>
            </w:r>
          </w:p>
        </w:tc>
        <w:tc>
          <w:tcPr>
            <w:tcW w:w="1361" w:type="dxa"/>
            <w:vAlign w:val="center"/>
          </w:tcPr>
          <w:p>
            <w:pPr>
              <w:pStyle w:val="13"/>
            </w:pPr>
            <w:r>
              <w:t>3646.36</w:t>
            </w:r>
          </w:p>
        </w:tc>
        <w:tc>
          <w:tcPr>
            <w:tcW w:w="1361" w:type="dxa"/>
            <w:vAlign w:val="center"/>
          </w:tcPr>
          <w:p>
            <w:pPr>
              <w:pStyle w:val="13"/>
            </w:pPr>
            <w:r>
              <w:t>1258.42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2013801</w:t>
            </w:r>
          </w:p>
        </w:tc>
        <w:tc>
          <w:tcPr>
            <w:tcW w:w="4535" w:type="dxa"/>
            <w:vAlign w:val="center"/>
          </w:tcPr>
          <w:p>
            <w:pPr>
              <w:pStyle w:val="14"/>
            </w:pPr>
            <w:r>
              <w:t>行政运行</w:t>
            </w:r>
          </w:p>
        </w:tc>
        <w:tc>
          <w:tcPr>
            <w:tcW w:w="1361" w:type="dxa"/>
            <w:vAlign w:val="center"/>
          </w:tcPr>
          <w:p>
            <w:pPr>
              <w:pStyle w:val="13"/>
            </w:pPr>
            <w:r>
              <w:t>3646.36</w:t>
            </w:r>
          </w:p>
        </w:tc>
        <w:tc>
          <w:tcPr>
            <w:tcW w:w="1361" w:type="dxa"/>
            <w:vAlign w:val="center"/>
          </w:tcPr>
          <w:p>
            <w:pPr>
              <w:pStyle w:val="13"/>
            </w:pPr>
            <w:r>
              <w:t>3646.36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2013802</w:t>
            </w:r>
          </w:p>
        </w:tc>
        <w:tc>
          <w:tcPr>
            <w:tcW w:w="4535" w:type="dxa"/>
            <w:vAlign w:val="center"/>
          </w:tcPr>
          <w:p>
            <w:pPr>
              <w:pStyle w:val="14"/>
            </w:pPr>
            <w:r>
              <w:t>一般行政管理事务</w:t>
            </w:r>
          </w:p>
        </w:tc>
        <w:tc>
          <w:tcPr>
            <w:tcW w:w="1361" w:type="dxa"/>
            <w:vAlign w:val="center"/>
          </w:tcPr>
          <w:p>
            <w:pPr>
              <w:pStyle w:val="13"/>
            </w:pPr>
            <w:r>
              <w:t>209.00</w:t>
            </w:r>
          </w:p>
        </w:tc>
        <w:tc>
          <w:tcPr>
            <w:tcW w:w="1361" w:type="dxa"/>
            <w:vAlign w:val="center"/>
          </w:tcPr>
          <w:p>
            <w:pPr>
              <w:pStyle w:val="13"/>
            </w:pPr>
          </w:p>
        </w:tc>
        <w:tc>
          <w:tcPr>
            <w:tcW w:w="1361" w:type="dxa"/>
            <w:vAlign w:val="center"/>
          </w:tcPr>
          <w:p>
            <w:pPr>
              <w:pStyle w:val="13"/>
            </w:pPr>
            <w:r>
              <w:t>209.00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2013803</w:t>
            </w:r>
          </w:p>
        </w:tc>
        <w:tc>
          <w:tcPr>
            <w:tcW w:w="4535" w:type="dxa"/>
            <w:vAlign w:val="center"/>
          </w:tcPr>
          <w:p>
            <w:pPr>
              <w:pStyle w:val="14"/>
            </w:pPr>
            <w:r>
              <w:t>机关服务</w:t>
            </w:r>
          </w:p>
        </w:tc>
        <w:tc>
          <w:tcPr>
            <w:tcW w:w="1361" w:type="dxa"/>
            <w:vAlign w:val="center"/>
          </w:tcPr>
          <w:p>
            <w:pPr>
              <w:pStyle w:val="13"/>
            </w:pPr>
            <w:r>
              <w:t>501.42</w:t>
            </w:r>
          </w:p>
        </w:tc>
        <w:tc>
          <w:tcPr>
            <w:tcW w:w="1361" w:type="dxa"/>
            <w:vAlign w:val="center"/>
          </w:tcPr>
          <w:p>
            <w:pPr>
              <w:pStyle w:val="13"/>
            </w:pPr>
          </w:p>
        </w:tc>
        <w:tc>
          <w:tcPr>
            <w:tcW w:w="1361" w:type="dxa"/>
            <w:vAlign w:val="center"/>
          </w:tcPr>
          <w:p>
            <w:pPr>
              <w:pStyle w:val="13"/>
            </w:pPr>
            <w:r>
              <w:t>501.42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2013804</w:t>
            </w:r>
          </w:p>
        </w:tc>
        <w:tc>
          <w:tcPr>
            <w:tcW w:w="4535" w:type="dxa"/>
            <w:vAlign w:val="center"/>
          </w:tcPr>
          <w:p>
            <w:pPr>
              <w:pStyle w:val="14"/>
            </w:pPr>
            <w:r>
              <w:t>市场主体管理</w:t>
            </w:r>
          </w:p>
        </w:tc>
        <w:tc>
          <w:tcPr>
            <w:tcW w:w="1361" w:type="dxa"/>
            <w:vAlign w:val="center"/>
          </w:tcPr>
          <w:p>
            <w:pPr>
              <w:pStyle w:val="13"/>
            </w:pPr>
            <w:r>
              <w:t>43.00</w:t>
            </w:r>
          </w:p>
        </w:tc>
        <w:tc>
          <w:tcPr>
            <w:tcW w:w="1361" w:type="dxa"/>
            <w:vAlign w:val="center"/>
          </w:tcPr>
          <w:p>
            <w:pPr>
              <w:pStyle w:val="13"/>
            </w:pPr>
          </w:p>
        </w:tc>
        <w:tc>
          <w:tcPr>
            <w:tcW w:w="1361" w:type="dxa"/>
            <w:vAlign w:val="center"/>
          </w:tcPr>
          <w:p>
            <w:pPr>
              <w:pStyle w:val="13"/>
            </w:pPr>
            <w:r>
              <w:t>43.00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2013815</w:t>
            </w:r>
          </w:p>
        </w:tc>
        <w:tc>
          <w:tcPr>
            <w:tcW w:w="4535" w:type="dxa"/>
            <w:vAlign w:val="center"/>
          </w:tcPr>
          <w:p>
            <w:pPr>
              <w:pStyle w:val="14"/>
            </w:pPr>
            <w:r>
              <w:t>质量安全监管</w:t>
            </w:r>
          </w:p>
        </w:tc>
        <w:tc>
          <w:tcPr>
            <w:tcW w:w="1361" w:type="dxa"/>
            <w:vAlign w:val="center"/>
          </w:tcPr>
          <w:p>
            <w:pPr>
              <w:pStyle w:val="13"/>
            </w:pPr>
            <w:r>
              <w:t>105.00</w:t>
            </w:r>
          </w:p>
        </w:tc>
        <w:tc>
          <w:tcPr>
            <w:tcW w:w="1361" w:type="dxa"/>
            <w:vAlign w:val="center"/>
          </w:tcPr>
          <w:p>
            <w:pPr>
              <w:pStyle w:val="13"/>
            </w:pPr>
          </w:p>
        </w:tc>
        <w:tc>
          <w:tcPr>
            <w:tcW w:w="1361" w:type="dxa"/>
            <w:vAlign w:val="center"/>
          </w:tcPr>
          <w:p>
            <w:pPr>
              <w:pStyle w:val="13"/>
            </w:pPr>
            <w:r>
              <w:t>105.00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2013816</w:t>
            </w:r>
          </w:p>
        </w:tc>
        <w:tc>
          <w:tcPr>
            <w:tcW w:w="4535" w:type="dxa"/>
            <w:vAlign w:val="center"/>
          </w:tcPr>
          <w:p>
            <w:pPr>
              <w:pStyle w:val="14"/>
            </w:pPr>
            <w:r>
              <w:t>食品安全监管</w:t>
            </w: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2013899</w:t>
            </w:r>
          </w:p>
        </w:tc>
        <w:tc>
          <w:tcPr>
            <w:tcW w:w="4535" w:type="dxa"/>
            <w:vAlign w:val="center"/>
          </w:tcPr>
          <w:p>
            <w:pPr>
              <w:pStyle w:val="14"/>
            </w:pPr>
            <w:r>
              <w:t>其他市场监督管理事务</w:t>
            </w: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414石家庄市藁城区市场监督管理局</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4904.78</w:t>
            </w:r>
          </w:p>
        </w:tc>
        <w:tc>
          <w:tcPr>
            <w:tcW w:w="1232" w:type="dxa"/>
            <w:vAlign w:val="center"/>
          </w:tcPr>
          <w:p>
            <w:pPr>
              <w:pStyle w:val="14"/>
            </w:pPr>
            <w:r>
              <w:t>一、一般公共服务支出</w:t>
            </w:r>
          </w:p>
        </w:tc>
        <w:tc>
          <w:tcPr>
            <w:tcW w:w="1232" w:type="dxa"/>
            <w:vAlign w:val="center"/>
          </w:tcPr>
          <w:p>
            <w:pPr>
              <w:pStyle w:val="13"/>
            </w:pPr>
            <w:r>
              <w:t>4904.78</w:t>
            </w:r>
          </w:p>
        </w:tc>
        <w:tc>
          <w:tcPr>
            <w:tcW w:w="1232" w:type="dxa"/>
            <w:vAlign w:val="center"/>
          </w:tcPr>
          <w:p>
            <w:pPr>
              <w:pStyle w:val="13"/>
            </w:pPr>
            <w:r>
              <w:t>4904.78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4904.78</w:t>
            </w:r>
          </w:p>
        </w:tc>
        <w:tc>
          <w:tcPr>
            <w:tcW w:w="1232" w:type="dxa"/>
            <w:vAlign w:val="center"/>
          </w:tcPr>
          <w:p>
            <w:pPr>
              <w:pStyle w:val="16"/>
            </w:pPr>
            <w:r>
              <w:t>本年支出合计</w:t>
            </w:r>
          </w:p>
        </w:tc>
        <w:tc>
          <w:tcPr>
            <w:tcW w:w="1232" w:type="dxa"/>
            <w:vAlign w:val="center"/>
          </w:tcPr>
          <w:p>
            <w:pPr>
              <w:pStyle w:val="17"/>
            </w:pPr>
            <w:r>
              <w:t>4904.78</w:t>
            </w:r>
          </w:p>
        </w:tc>
        <w:tc>
          <w:tcPr>
            <w:tcW w:w="1232" w:type="dxa"/>
            <w:vAlign w:val="center"/>
          </w:tcPr>
          <w:p>
            <w:pPr>
              <w:pStyle w:val="17"/>
            </w:pPr>
            <w:r>
              <w:t>4904.78</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4904.78</w:t>
            </w:r>
          </w:p>
        </w:tc>
        <w:tc>
          <w:tcPr>
            <w:tcW w:w="1232" w:type="dxa"/>
            <w:vAlign w:val="center"/>
          </w:tcPr>
          <w:p>
            <w:pPr>
              <w:pStyle w:val="16"/>
            </w:pPr>
            <w:r>
              <w:t>支出总计</w:t>
            </w:r>
          </w:p>
        </w:tc>
        <w:tc>
          <w:tcPr>
            <w:tcW w:w="1232" w:type="dxa"/>
            <w:vAlign w:val="center"/>
          </w:tcPr>
          <w:p>
            <w:pPr>
              <w:pStyle w:val="17"/>
            </w:pPr>
            <w:r>
              <w:t>4904.78</w:t>
            </w:r>
          </w:p>
        </w:tc>
        <w:tc>
          <w:tcPr>
            <w:tcW w:w="1232" w:type="dxa"/>
            <w:vAlign w:val="center"/>
          </w:tcPr>
          <w:p>
            <w:pPr>
              <w:pStyle w:val="17"/>
            </w:pPr>
            <w:r>
              <w:t>4904.78</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414石家庄市藁城区市场监督管理局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4904.78</w:t>
            </w:r>
          </w:p>
        </w:tc>
        <w:tc>
          <w:tcPr>
            <w:tcW w:w="2551" w:type="dxa"/>
            <w:vAlign w:val="center"/>
          </w:tcPr>
          <w:p>
            <w:pPr>
              <w:pStyle w:val="17"/>
            </w:pPr>
            <w:r>
              <w:t>3646.36</w:t>
            </w:r>
          </w:p>
        </w:tc>
        <w:tc>
          <w:tcPr>
            <w:tcW w:w="2551" w:type="dxa"/>
            <w:vAlign w:val="center"/>
          </w:tcPr>
          <w:p>
            <w:pPr>
              <w:pStyle w:val="17"/>
            </w:pPr>
            <w:r>
              <w:t>1258.42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4904.78</w:t>
            </w:r>
          </w:p>
        </w:tc>
        <w:tc>
          <w:tcPr>
            <w:tcW w:w="2551" w:type="dxa"/>
            <w:vAlign w:val="center"/>
          </w:tcPr>
          <w:p>
            <w:pPr>
              <w:pStyle w:val="13"/>
            </w:pPr>
            <w:r>
              <w:t>3646.36</w:t>
            </w:r>
          </w:p>
        </w:tc>
        <w:tc>
          <w:tcPr>
            <w:tcW w:w="2551" w:type="dxa"/>
            <w:vAlign w:val="center"/>
          </w:tcPr>
          <w:p>
            <w:pPr>
              <w:pStyle w:val="13"/>
            </w:pPr>
            <w:r>
              <w:t>1258.42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20138</w:t>
            </w:r>
          </w:p>
        </w:tc>
        <w:tc>
          <w:tcPr>
            <w:tcW w:w="4535" w:type="dxa"/>
            <w:vAlign w:val="center"/>
          </w:tcPr>
          <w:p>
            <w:pPr>
              <w:pStyle w:val="14"/>
            </w:pPr>
            <w:r>
              <w:t>市场监督管理事务</w:t>
            </w:r>
          </w:p>
        </w:tc>
        <w:tc>
          <w:tcPr>
            <w:tcW w:w="2551" w:type="dxa"/>
            <w:vAlign w:val="center"/>
          </w:tcPr>
          <w:p>
            <w:pPr>
              <w:pStyle w:val="13"/>
            </w:pPr>
            <w:r>
              <w:t>4904.78</w:t>
            </w:r>
          </w:p>
        </w:tc>
        <w:tc>
          <w:tcPr>
            <w:tcW w:w="2551" w:type="dxa"/>
            <w:vAlign w:val="center"/>
          </w:tcPr>
          <w:p>
            <w:pPr>
              <w:pStyle w:val="13"/>
            </w:pPr>
            <w:r>
              <w:t>3646.36</w:t>
            </w:r>
          </w:p>
        </w:tc>
        <w:tc>
          <w:tcPr>
            <w:tcW w:w="2551" w:type="dxa"/>
            <w:vAlign w:val="center"/>
          </w:tcPr>
          <w:p>
            <w:pPr>
              <w:pStyle w:val="13"/>
            </w:pPr>
            <w:r>
              <w:t>1258.42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2013801</w:t>
            </w:r>
          </w:p>
        </w:tc>
        <w:tc>
          <w:tcPr>
            <w:tcW w:w="4535" w:type="dxa"/>
            <w:vAlign w:val="center"/>
          </w:tcPr>
          <w:p>
            <w:pPr>
              <w:pStyle w:val="14"/>
            </w:pPr>
            <w:r>
              <w:t>行政运行</w:t>
            </w:r>
          </w:p>
        </w:tc>
        <w:tc>
          <w:tcPr>
            <w:tcW w:w="2551" w:type="dxa"/>
            <w:vAlign w:val="center"/>
          </w:tcPr>
          <w:p>
            <w:pPr>
              <w:pStyle w:val="13"/>
            </w:pPr>
            <w:r>
              <w:t>3646.36</w:t>
            </w:r>
          </w:p>
        </w:tc>
        <w:tc>
          <w:tcPr>
            <w:tcW w:w="2551" w:type="dxa"/>
            <w:vAlign w:val="center"/>
          </w:tcPr>
          <w:p>
            <w:pPr>
              <w:pStyle w:val="13"/>
            </w:pPr>
            <w:r>
              <w:t>3646.36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2013802</w:t>
            </w:r>
          </w:p>
        </w:tc>
        <w:tc>
          <w:tcPr>
            <w:tcW w:w="4535" w:type="dxa"/>
            <w:vAlign w:val="center"/>
          </w:tcPr>
          <w:p>
            <w:pPr>
              <w:pStyle w:val="14"/>
            </w:pPr>
            <w:r>
              <w:t>一般行政管理事务</w:t>
            </w:r>
          </w:p>
        </w:tc>
        <w:tc>
          <w:tcPr>
            <w:tcW w:w="2551" w:type="dxa"/>
            <w:vAlign w:val="center"/>
          </w:tcPr>
          <w:p>
            <w:pPr>
              <w:pStyle w:val="13"/>
            </w:pPr>
            <w:r>
              <w:t>209.00</w:t>
            </w:r>
          </w:p>
        </w:tc>
        <w:tc>
          <w:tcPr>
            <w:tcW w:w="2551" w:type="dxa"/>
            <w:vAlign w:val="center"/>
          </w:tcPr>
          <w:p>
            <w:pPr>
              <w:pStyle w:val="13"/>
            </w:pPr>
          </w:p>
        </w:tc>
        <w:tc>
          <w:tcPr>
            <w:tcW w:w="2551" w:type="dxa"/>
            <w:vAlign w:val="center"/>
          </w:tcPr>
          <w:p>
            <w:pPr>
              <w:pStyle w:val="13"/>
            </w:pPr>
            <w:r>
              <w:t>209.00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2013803</w:t>
            </w:r>
          </w:p>
        </w:tc>
        <w:tc>
          <w:tcPr>
            <w:tcW w:w="4535" w:type="dxa"/>
            <w:vAlign w:val="center"/>
          </w:tcPr>
          <w:p>
            <w:pPr>
              <w:pStyle w:val="14"/>
            </w:pPr>
            <w:r>
              <w:t>机关服务</w:t>
            </w:r>
          </w:p>
        </w:tc>
        <w:tc>
          <w:tcPr>
            <w:tcW w:w="2551" w:type="dxa"/>
            <w:vAlign w:val="center"/>
          </w:tcPr>
          <w:p>
            <w:pPr>
              <w:pStyle w:val="13"/>
            </w:pPr>
            <w:r>
              <w:t>501.42</w:t>
            </w:r>
          </w:p>
        </w:tc>
        <w:tc>
          <w:tcPr>
            <w:tcW w:w="2551" w:type="dxa"/>
            <w:vAlign w:val="center"/>
          </w:tcPr>
          <w:p>
            <w:pPr>
              <w:pStyle w:val="13"/>
            </w:pPr>
          </w:p>
        </w:tc>
        <w:tc>
          <w:tcPr>
            <w:tcW w:w="2551" w:type="dxa"/>
            <w:vAlign w:val="center"/>
          </w:tcPr>
          <w:p>
            <w:pPr>
              <w:pStyle w:val="13"/>
            </w:pPr>
            <w:r>
              <w:t>501.42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2013804</w:t>
            </w:r>
          </w:p>
        </w:tc>
        <w:tc>
          <w:tcPr>
            <w:tcW w:w="4535" w:type="dxa"/>
            <w:vAlign w:val="center"/>
          </w:tcPr>
          <w:p>
            <w:pPr>
              <w:pStyle w:val="14"/>
            </w:pPr>
            <w:r>
              <w:t>市场主体管理</w:t>
            </w:r>
          </w:p>
        </w:tc>
        <w:tc>
          <w:tcPr>
            <w:tcW w:w="2551" w:type="dxa"/>
            <w:vAlign w:val="center"/>
          </w:tcPr>
          <w:p>
            <w:pPr>
              <w:pStyle w:val="13"/>
            </w:pPr>
            <w:r>
              <w:t>43.00</w:t>
            </w:r>
          </w:p>
        </w:tc>
        <w:tc>
          <w:tcPr>
            <w:tcW w:w="2551" w:type="dxa"/>
            <w:vAlign w:val="center"/>
          </w:tcPr>
          <w:p>
            <w:pPr>
              <w:pStyle w:val="13"/>
            </w:pPr>
          </w:p>
        </w:tc>
        <w:tc>
          <w:tcPr>
            <w:tcW w:w="2551" w:type="dxa"/>
            <w:vAlign w:val="center"/>
          </w:tcPr>
          <w:p>
            <w:pPr>
              <w:pStyle w:val="13"/>
            </w:pPr>
            <w:r>
              <w:t>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2013815</w:t>
            </w:r>
          </w:p>
        </w:tc>
        <w:tc>
          <w:tcPr>
            <w:tcW w:w="4535" w:type="dxa"/>
            <w:vAlign w:val="center"/>
          </w:tcPr>
          <w:p>
            <w:pPr>
              <w:pStyle w:val="14"/>
            </w:pPr>
            <w:r>
              <w:t>质量安全监管</w:t>
            </w:r>
          </w:p>
        </w:tc>
        <w:tc>
          <w:tcPr>
            <w:tcW w:w="2551" w:type="dxa"/>
            <w:vAlign w:val="center"/>
          </w:tcPr>
          <w:p>
            <w:pPr>
              <w:pStyle w:val="13"/>
            </w:pPr>
            <w:r>
              <w:t>105.00</w:t>
            </w:r>
          </w:p>
        </w:tc>
        <w:tc>
          <w:tcPr>
            <w:tcW w:w="2551" w:type="dxa"/>
            <w:vAlign w:val="center"/>
          </w:tcPr>
          <w:p>
            <w:pPr>
              <w:pStyle w:val="13"/>
            </w:pPr>
          </w:p>
        </w:tc>
        <w:tc>
          <w:tcPr>
            <w:tcW w:w="2551" w:type="dxa"/>
            <w:vAlign w:val="center"/>
          </w:tcPr>
          <w:p>
            <w:pPr>
              <w:pStyle w:val="13"/>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2013816</w:t>
            </w:r>
          </w:p>
        </w:tc>
        <w:tc>
          <w:tcPr>
            <w:tcW w:w="4535" w:type="dxa"/>
            <w:vAlign w:val="center"/>
          </w:tcPr>
          <w:p>
            <w:pPr>
              <w:pStyle w:val="14"/>
            </w:pPr>
            <w:r>
              <w:t>食品安全监管</w:t>
            </w:r>
          </w:p>
        </w:tc>
        <w:tc>
          <w:tcPr>
            <w:tcW w:w="2551" w:type="dxa"/>
            <w:vAlign w:val="center"/>
          </w:tcPr>
          <w:p>
            <w:pPr>
              <w:pStyle w:val="13"/>
            </w:pPr>
            <w:r>
              <w:t>200.00</w:t>
            </w:r>
          </w:p>
        </w:tc>
        <w:tc>
          <w:tcPr>
            <w:tcW w:w="2551" w:type="dxa"/>
            <w:vAlign w:val="center"/>
          </w:tcPr>
          <w:p>
            <w:pPr>
              <w:pStyle w:val="13"/>
            </w:pPr>
          </w:p>
        </w:tc>
        <w:tc>
          <w:tcPr>
            <w:tcW w:w="2551"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2013899</w:t>
            </w:r>
          </w:p>
        </w:tc>
        <w:tc>
          <w:tcPr>
            <w:tcW w:w="4535" w:type="dxa"/>
            <w:vAlign w:val="center"/>
          </w:tcPr>
          <w:p>
            <w:pPr>
              <w:pStyle w:val="14"/>
            </w:pPr>
            <w:r>
              <w:t>其他市场监督管理事务</w:t>
            </w:r>
          </w:p>
        </w:tc>
        <w:tc>
          <w:tcPr>
            <w:tcW w:w="2551" w:type="dxa"/>
            <w:vAlign w:val="center"/>
          </w:tcPr>
          <w:p>
            <w:pPr>
              <w:pStyle w:val="13"/>
            </w:pPr>
            <w:r>
              <w:t>200.00</w:t>
            </w:r>
          </w:p>
        </w:tc>
        <w:tc>
          <w:tcPr>
            <w:tcW w:w="2551" w:type="dxa"/>
            <w:vAlign w:val="center"/>
          </w:tcPr>
          <w:p>
            <w:pPr>
              <w:pStyle w:val="13"/>
            </w:pPr>
          </w:p>
        </w:tc>
        <w:tc>
          <w:tcPr>
            <w:tcW w:w="2551" w:type="dxa"/>
            <w:vAlign w:val="center"/>
          </w:tcPr>
          <w:p>
            <w:pPr>
              <w:pStyle w:val="13"/>
            </w:pPr>
            <w:r>
              <w:t>200.00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414石家庄市藁城区市场监督管理局</w:t>
            </w:r>
            <w:r>
              <w:rPr>
                <w:rFonts w:hint="eastAsia"/>
                <w:lang w:val="en-US" w:eastAsia="zh-CN"/>
              </w:rPr>
              <w:t xml:space="preserve">  </w:t>
            </w:r>
          </w:p>
        </w:tc>
        <w:tc>
          <w:tcPr>
            <w:tcW w:w="2551" w:type="dxa"/>
            <w:tcBorders>
              <w:top w:val="single" w:color="FFFFFF" w:sz="6" w:space="0"/>
              <w:left w:val="single" w:color="FFFFFF" w:sz="6" w:space="0"/>
              <w:right w:val="single" w:color="FFFFFF" w:sz="6" w:space="0"/>
            </w:tcBorders>
            <w:vAlign w:val="center"/>
          </w:tcPr>
          <w:p>
            <w:pPr>
              <w:pStyle w:val="10"/>
              <w:jc w:val="both"/>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3646.36</w:t>
            </w:r>
          </w:p>
        </w:tc>
        <w:tc>
          <w:tcPr>
            <w:tcW w:w="2551" w:type="dxa"/>
            <w:vAlign w:val="center"/>
          </w:tcPr>
          <w:p>
            <w:pPr>
              <w:pStyle w:val="17"/>
            </w:pPr>
            <w:r>
              <w:t>3343.71</w:t>
            </w:r>
          </w:p>
        </w:tc>
        <w:tc>
          <w:tcPr>
            <w:tcW w:w="2551" w:type="dxa"/>
            <w:vAlign w:val="center"/>
          </w:tcPr>
          <w:p>
            <w:pPr>
              <w:pStyle w:val="17"/>
            </w:pPr>
            <w:r>
              <w:t>302.65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3324.96</w:t>
            </w:r>
          </w:p>
        </w:tc>
        <w:tc>
          <w:tcPr>
            <w:tcW w:w="2551" w:type="dxa"/>
            <w:vAlign w:val="center"/>
          </w:tcPr>
          <w:p>
            <w:pPr>
              <w:pStyle w:val="13"/>
            </w:pPr>
            <w:r>
              <w:t>3324.96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783.45</w:t>
            </w:r>
          </w:p>
        </w:tc>
        <w:tc>
          <w:tcPr>
            <w:tcW w:w="2551" w:type="dxa"/>
            <w:vAlign w:val="center"/>
          </w:tcPr>
          <w:p>
            <w:pPr>
              <w:pStyle w:val="13"/>
            </w:pPr>
            <w:r>
              <w:t>783.45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1135.79</w:t>
            </w:r>
          </w:p>
        </w:tc>
        <w:tc>
          <w:tcPr>
            <w:tcW w:w="2551" w:type="dxa"/>
            <w:vAlign w:val="center"/>
          </w:tcPr>
          <w:p>
            <w:pPr>
              <w:pStyle w:val="13"/>
            </w:pPr>
            <w:r>
              <w:t>1135.79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40.40</w:t>
            </w:r>
          </w:p>
        </w:tc>
        <w:tc>
          <w:tcPr>
            <w:tcW w:w="2551" w:type="dxa"/>
            <w:vAlign w:val="center"/>
          </w:tcPr>
          <w:p>
            <w:pPr>
              <w:pStyle w:val="13"/>
            </w:pPr>
            <w:r>
              <w:t>40.40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235.22</w:t>
            </w:r>
          </w:p>
        </w:tc>
        <w:tc>
          <w:tcPr>
            <w:tcW w:w="2551" w:type="dxa"/>
            <w:vAlign w:val="center"/>
          </w:tcPr>
          <w:p>
            <w:pPr>
              <w:pStyle w:val="13"/>
            </w:pPr>
            <w:r>
              <w:t>235.22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282.91</w:t>
            </w:r>
          </w:p>
        </w:tc>
        <w:tc>
          <w:tcPr>
            <w:tcW w:w="2551" w:type="dxa"/>
            <w:vAlign w:val="center"/>
          </w:tcPr>
          <w:p>
            <w:pPr>
              <w:pStyle w:val="13"/>
            </w:pPr>
            <w:r>
              <w:t>282.91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148.53</w:t>
            </w:r>
          </w:p>
        </w:tc>
        <w:tc>
          <w:tcPr>
            <w:tcW w:w="2551" w:type="dxa"/>
            <w:vAlign w:val="center"/>
          </w:tcPr>
          <w:p>
            <w:pPr>
              <w:pStyle w:val="13"/>
            </w:pPr>
            <w:r>
              <w:t>148.53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114.93</w:t>
            </w:r>
          </w:p>
        </w:tc>
        <w:tc>
          <w:tcPr>
            <w:tcW w:w="2551" w:type="dxa"/>
            <w:vAlign w:val="center"/>
          </w:tcPr>
          <w:p>
            <w:pPr>
              <w:pStyle w:val="13"/>
            </w:pPr>
            <w:r>
              <w:t>114.93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252.82</w:t>
            </w:r>
          </w:p>
        </w:tc>
        <w:tc>
          <w:tcPr>
            <w:tcW w:w="2551" w:type="dxa"/>
            <w:vAlign w:val="center"/>
          </w:tcPr>
          <w:p>
            <w:pPr>
              <w:pStyle w:val="13"/>
            </w:pPr>
            <w:r>
              <w:t>252.82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234.51</w:t>
            </w:r>
          </w:p>
        </w:tc>
        <w:tc>
          <w:tcPr>
            <w:tcW w:w="2551" w:type="dxa"/>
            <w:vAlign w:val="center"/>
          </w:tcPr>
          <w:p>
            <w:pPr>
              <w:pStyle w:val="13"/>
            </w:pPr>
            <w:r>
              <w:t>234.51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96.42</w:t>
            </w:r>
          </w:p>
        </w:tc>
        <w:tc>
          <w:tcPr>
            <w:tcW w:w="2551" w:type="dxa"/>
            <w:vAlign w:val="center"/>
          </w:tcPr>
          <w:p>
            <w:pPr>
              <w:pStyle w:val="13"/>
            </w:pPr>
            <w:r>
              <w:t>96.42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302.65</w:t>
            </w:r>
          </w:p>
        </w:tc>
        <w:tc>
          <w:tcPr>
            <w:tcW w:w="2551" w:type="dxa"/>
            <w:vAlign w:val="center"/>
          </w:tcPr>
          <w:p>
            <w:pPr>
              <w:pStyle w:val="13"/>
            </w:pPr>
          </w:p>
        </w:tc>
        <w:tc>
          <w:tcPr>
            <w:tcW w:w="2551" w:type="dxa"/>
            <w:vAlign w:val="center"/>
          </w:tcPr>
          <w:p>
            <w:pPr>
              <w:pStyle w:val="13"/>
            </w:pPr>
            <w:r>
              <w:t>302.65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53.18</w:t>
            </w:r>
          </w:p>
        </w:tc>
        <w:tc>
          <w:tcPr>
            <w:tcW w:w="2551" w:type="dxa"/>
            <w:vAlign w:val="center"/>
          </w:tcPr>
          <w:p>
            <w:pPr>
              <w:pStyle w:val="13"/>
            </w:pPr>
          </w:p>
        </w:tc>
        <w:tc>
          <w:tcPr>
            <w:tcW w:w="2551" w:type="dxa"/>
            <w:vAlign w:val="center"/>
          </w:tcPr>
          <w:p>
            <w:pPr>
              <w:pStyle w:val="13"/>
            </w:pPr>
            <w:r>
              <w:t>53.18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56.70</w:t>
            </w:r>
          </w:p>
        </w:tc>
        <w:tc>
          <w:tcPr>
            <w:tcW w:w="2551" w:type="dxa"/>
            <w:vAlign w:val="center"/>
          </w:tcPr>
          <w:p>
            <w:pPr>
              <w:pStyle w:val="13"/>
            </w:pPr>
          </w:p>
        </w:tc>
        <w:tc>
          <w:tcPr>
            <w:tcW w:w="2551" w:type="dxa"/>
            <w:vAlign w:val="center"/>
          </w:tcPr>
          <w:p>
            <w:pPr>
              <w:pStyle w:val="13"/>
            </w:pPr>
            <w:r>
              <w:t>56.70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17.00</w:t>
            </w:r>
          </w:p>
        </w:tc>
        <w:tc>
          <w:tcPr>
            <w:tcW w:w="2551" w:type="dxa"/>
            <w:vAlign w:val="center"/>
          </w:tcPr>
          <w:p>
            <w:pPr>
              <w:pStyle w:val="13"/>
            </w:pPr>
          </w:p>
        </w:tc>
        <w:tc>
          <w:tcPr>
            <w:tcW w:w="2551"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16.51</w:t>
            </w:r>
          </w:p>
        </w:tc>
        <w:tc>
          <w:tcPr>
            <w:tcW w:w="2551" w:type="dxa"/>
            <w:vAlign w:val="center"/>
          </w:tcPr>
          <w:p>
            <w:pPr>
              <w:pStyle w:val="13"/>
            </w:pPr>
          </w:p>
        </w:tc>
        <w:tc>
          <w:tcPr>
            <w:tcW w:w="2551" w:type="dxa"/>
            <w:vAlign w:val="center"/>
          </w:tcPr>
          <w:p>
            <w:pPr>
              <w:pStyle w:val="13"/>
            </w:pPr>
            <w:r>
              <w:t>16.51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19.59</w:t>
            </w:r>
          </w:p>
        </w:tc>
        <w:tc>
          <w:tcPr>
            <w:tcW w:w="2551" w:type="dxa"/>
            <w:vAlign w:val="center"/>
          </w:tcPr>
          <w:p>
            <w:pPr>
              <w:pStyle w:val="13"/>
            </w:pPr>
          </w:p>
        </w:tc>
        <w:tc>
          <w:tcPr>
            <w:tcW w:w="2551" w:type="dxa"/>
            <w:vAlign w:val="center"/>
          </w:tcPr>
          <w:p>
            <w:pPr>
              <w:pStyle w:val="13"/>
            </w:pPr>
            <w:r>
              <w:t>19.59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44.00</w:t>
            </w:r>
          </w:p>
        </w:tc>
        <w:tc>
          <w:tcPr>
            <w:tcW w:w="2551" w:type="dxa"/>
            <w:vAlign w:val="center"/>
          </w:tcPr>
          <w:p>
            <w:pPr>
              <w:pStyle w:val="13"/>
            </w:pPr>
          </w:p>
        </w:tc>
        <w:tc>
          <w:tcPr>
            <w:tcW w:w="2551" w:type="dxa"/>
            <w:vAlign w:val="center"/>
          </w:tcPr>
          <w:p>
            <w:pPr>
              <w:pStyle w:val="13"/>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70.26</w:t>
            </w:r>
          </w:p>
        </w:tc>
        <w:tc>
          <w:tcPr>
            <w:tcW w:w="2551" w:type="dxa"/>
            <w:vAlign w:val="center"/>
          </w:tcPr>
          <w:p>
            <w:pPr>
              <w:pStyle w:val="13"/>
            </w:pPr>
          </w:p>
        </w:tc>
        <w:tc>
          <w:tcPr>
            <w:tcW w:w="2551" w:type="dxa"/>
            <w:vAlign w:val="center"/>
          </w:tcPr>
          <w:p>
            <w:pPr>
              <w:pStyle w:val="13"/>
            </w:pPr>
            <w:r>
              <w:t>70.26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23.41</w:t>
            </w:r>
          </w:p>
        </w:tc>
        <w:tc>
          <w:tcPr>
            <w:tcW w:w="2551" w:type="dxa"/>
            <w:vAlign w:val="center"/>
          </w:tcPr>
          <w:p>
            <w:pPr>
              <w:pStyle w:val="13"/>
            </w:pPr>
          </w:p>
        </w:tc>
        <w:tc>
          <w:tcPr>
            <w:tcW w:w="2551" w:type="dxa"/>
            <w:vAlign w:val="center"/>
          </w:tcPr>
          <w:p>
            <w:pPr>
              <w:pStyle w:val="13"/>
            </w:pPr>
            <w:r>
              <w:t>23.41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18.75</w:t>
            </w:r>
          </w:p>
        </w:tc>
        <w:tc>
          <w:tcPr>
            <w:tcW w:w="2551" w:type="dxa"/>
            <w:vAlign w:val="center"/>
          </w:tcPr>
          <w:p>
            <w:pPr>
              <w:pStyle w:val="13"/>
            </w:pPr>
            <w:r>
              <w:t>18.75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18.48</w:t>
            </w:r>
          </w:p>
        </w:tc>
        <w:tc>
          <w:tcPr>
            <w:tcW w:w="2551" w:type="dxa"/>
            <w:vAlign w:val="center"/>
          </w:tcPr>
          <w:p>
            <w:pPr>
              <w:pStyle w:val="13"/>
            </w:pPr>
            <w:r>
              <w:t>18.48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0.28</w:t>
            </w:r>
          </w:p>
        </w:tc>
        <w:tc>
          <w:tcPr>
            <w:tcW w:w="2551" w:type="dxa"/>
            <w:vAlign w:val="center"/>
          </w:tcPr>
          <w:p>
            <w:pPr>
              <w:pStyle w:val="13"/>
            </w:pPr>
            <w:r>
              <w:t>0.28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414石家庄市藁城区市场监督管理局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414石家庄市藁城区市场监督管理局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414石家庄市藁城区市场监督管理局</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rPr>
                <w:rFonts w:hint="default" w:eastAsia="方正书宋_GBK"/>
                <w:lang w:val="en-US" w:eastAsia="zh-CN"/>
              </w:rPr>
            </w:pPr>
            <w:r>
              <w:rPr>
                <w:rFonts w:hint="eastAsia"/>
                <w:lang w:val="en-US" w:eastAsia="zh-CN"/>
              </w:rPr>
              <w:t>57</w:t>
            </w:r>
          </w:p>
        </w:tc>
        <w:tc>
          <w:tcPr>
            <w:tcW w:w="2381" w:type="dxa"/>
            <w:vAlign w:val="center"/>
          </w:tcPr>
          <w:p>
            <w:pPr>
              <w:pStyle w:val="17"/>
              <w:rPr>
                <w:rFonts w:hint="default" w:eastAsia="方正书宋_GBK"/>
                <w:lang w:val="en-US" w:eastAsia="zh-CN"/>
              </w:rPr>
            </w:pPr>
            <w:r>
              <w:rPr>
                <w:rFonts w:hint="eastAsia"/>
                <w:lang w:val="en-US" w:eastAsia="zh-CN"/>
              </w:rPr>
              <w:t>57</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rPr>
                <w:rFonts w:hint="default" w:eastAsia="方正书宋_GBK"/>
                <w:lang w:val="en-US" w:eastAsia="zh-CN"/>
              </w:rPr>
            </w:pPr>
            <w:r>
              <w:rPr>
                <w:rFonts w:hint="eastAsia"/>
                <w:lang w:val="en-US" w:eastAsia="zh-CN"/>
              </w:rPr>
              <w:t>54</w:t>
            </w:r>
          </w:p>
        </w:tc>
        <w:tc>
          <w:tcPr>
            <w:tcW w:w="2381" w:type="dxa"/>
            <w:vAlign w:val="center"/>
          </w:tcPr>
          <w:p>
            <w:pPr>
              <w:pStyle w:val="13"/>
              <w:rPr>
                <w:rFonts w:hint="default" w:eastAsia="方正书宋_GBK"/>
                <w:lang w:val="en-US" w:eastAsia="zh-CN"/>
              </w:rPr>
            </w:pPr>
            <w:r>
              <w:rPr>
                <w:rFonts w:hint="eastAsia"/>
                <w:lang w:val="en-US" w:eastAsia="zh-CN"/>
              </w:rPr>
              <w:t>54</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rPr>
                <w:rFonts w:hint="default" w:eastAsia="方正书宋_GBK"/>
                <w:lang w:val="en-US" w:eastAsia="zh-CN"/>
              </w:rPr>
            </w:pPr>
            <w:r>
              <w:rPr>
                <w:rFonts w:hint="eastAsia"/>
                <w:lang w:val="en-US" w:eastAsia="zh-CN"/>
              </w:rPr>
              <w:t>54.00</w:t>
            </w:r>
          </w:p>
        </w:tc>
        <w:tc>
          <w:tcPr>
            <w:tcW w:w="2381" w:type="dxa"/>
            <w:vAlign w:val="center"/>
          </w:tcPr>
          <w:p>
            <w:pPr>
              <w:pStyle w:val="13"/>
              <w:rPr>
                <w:rFonts w:hint="default" w:eastAsia="方正书宋_GBK"/>
                <w:lang w:val="en-US" w:eastAsia="zh-CN"/>
              </w:rPr>
            </w:pPr>
            <w:r>
              <w:rPr>
                <w:rFonts w:hint="eastAsia"/>
                <w:lang w:val="en-US" w:eastAsia="zh-CN"/>
              </w:rPr>
              <w:t>54.00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r>
              <w:t>10.00</w:t>
            </w:r>
          </w:p>
        </w:tc>
        <w:tc>
          <w:tcPr>
            <w:tcW w:w="2381" w:type="dxa"/>
            <w:vAlign w:val="center"/>
          </w:tcPr>
          <w:p>
            <w:pPr>
              <w:pStyle w:val="13"/>
            </w:pPr>
            <w:r>
              <w:t>10.00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44.00</w:t>
            </w:r>
          </w:p>
        </w:tc>
        <w:tc>
          <w:tcPr>
            <w:tcW w:w="2381" w:type="dxa"/>
            <w:vAlign w:val="center"/>
          </w:tcPr>
          <w:p>
            <w:pPr>
              <w:pStyle w:val="13"/>
            </w:pPr>
            <w:r>
              <w:t>44.00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r>
              <w:t>1.00</w:t>
            </w:r>
          </w:p>
        </w:tc>
        <w:tc>
          <w:tcPr>
            <w:tcW w:w="2381" w:type="dxa"/>
            <w:vAlign w:val="center"/>
          </w:tcPr>
          <w:p>
            <w:pPr>
              <w:pStyle w:val="13"/>
            </w:pPr>
            <w:r>
              <w:t>1.00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r>
              <w:t>2.00</w:t>
            </w:r>
          </w:p>
        </w:tc>
        <w:tc>
          <w:tcPr>
            <w:tcW w:w="2381" w:type="dxa"/>
            <w:vAlign w:val="center"/>
          </w:tcPr>
          <w:p>
            <w:pPr>
              <w:pStyle w:val="13"/>
            </w:pPr>
            <w:r>
              <w:t>2.00</w:t>
            </w: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石家庄市藁城区市场监督管理局2022年部门预算信息公开情况说明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石家庄市藁城区市场监督管理局2022年部门预算信息公开情况说明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、《地方预决算公开操作规程》和《关于进一步推进预算公开工作的实施意见》规定，现将石家庄市藁城区市场监督管理局2022年部门预算公开如下：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部 门 职 责</w:t>
      </w:r>
    </w:p>
    <w:p>
      <w:pPr>
        <w:pStyle w:val="19"/>
      </w:pPr>
      <w:r>
        <w:t>（一）贯彻落实市场监督管理有关地方性法规、政府规章，组织实施质量强区战略、食品安全战略、标准化战略、知识产权战略，拟订市场监督管理规划并组织实施，规范和维护市场秩序，营造诚实守信、公平竞争的市场环境。</w:t>
      </w:r>
    </w:p>
    <w:p>
      <w:pPr>
        <w:pStyle w:val="19"/>
      </w:pPr>
      <w:r>
        <w:t>（二）负责市场主体信用建设，建立市场主体信息公示和共享机制，依法公示和共享有关信息，加强信用监管，推动市场主体信用体系建设。</w:t>
      </w:r>
    </w:p>
    <w:p>
      <w:pPr>
        <w:pStyle w:val="19"/>
      </w:pPr>
      <w:r>
        <w:t>（三）负责市场监管综合执法工作，负责市场监管综合执法队伍建设工作，推动实行统一的市场监管；组织查处重大违法案件；规范市场监管行政执法行为。</w:t>
      </w:r>
    </w:p>
    <w:p>
      <w:pPr>
        <w:pStyle w:val="19"/>
      </w:pPr>
      <w:r>
        <w:t>（四）负责监督管理市场秩序，依法监督管理市场交易、网络商品交易及有关服务的行为；依法查处价格收费违法违规、不正当竞争、违法直销、传销、侵犯商标专利知识产权和制售假冒伪劣行为；负责全区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w:t>
      </w:r>
    </w:p>
    <w:p>
      <w:pPr>
        <w:pStyle w:val="19"/>
      </w:pPr>
      <w:r>
        <w:t>（五）负责全区宏观质量管理工作，贯彻落实质量发展制度和措施。统筹全区质量基础设施建设与应用，会同有关部门组织实施重大工程设备质量监理制度，组织重大质量事故调查，组织实施缺陷产品召回制度，监督管理产品防伪工作。</w:t>
      </w:r>
    </w:p>
    <w:p>
      <w:pPr>
        <w:pStyle w:val="19"/>
      </w:pPr>
      <w:r>
        <w:t>（六）负责全区产品质量安全监督管理工作，承担区级产品质量安全风险监控、监督抽查工作；组织实施质量分级制度、质量安全追溯制度；负责纤维质量监督工作。</w:t>
      </w:r>
    </w:p>
    <w:p>
      <w:pPr>
        <w:pStyle w:val="19"/>
      </w:pPr>
      <w:r>
        <w:t>（七）负责全区特种设备安全监督管理工作，负责特种设备安全监察、监督管理工作，监督检查高耗能特种设备节能标准和锅炉环境保护标准的执行情况。</w:t>
      </w:r>
    </w:p>
    <w:p>
      <w:pPr>
        <w:pStyle w:val="19"/>
      </w:pPr>
      <w:r>
        <w:t>（八）负责综合协调食品安全监督管理工作，贯彻落实食品安全政策，推动健全食品安全党政同责和跨部门协调联动机制，负责食品安全应急体系建设，负责食品安全事件应急处置和调查处理工作， 建立健全食品安全信息统一公布和重要信息直报制度；承担藁城区食品安全委员会日常工作。</w:t>
      </w:r>
    </w:p>
    <w:p>
      <w:pPr>
        <w:pStyle w:val="19"/>
      </w:pPr>
      <w:r>
        <w:t>（九）负责食品安全监督管理工作，建立覆盖食品生产、流通、 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pPr>
        <w:pStyle w:val="19"/>
      </w:pPr>
      <w:r>
        <w:t>（十）负责统一管理全区计量工作。推行法定计量单位和国家计量制度，管理计量器具及量值传递和比对工作。规范、监督商品量和市场计量行为。</w:t>
      </w:r>
    </w:p>
    <w:p>
      <w:pPr>
        <w:pStyle w:val="19"/>
      </w:pPr>
      <w:r>
        <w:t>（十一）负责统一管理全区标准化工作，宣传贯彻强制性、推荐性国家标准和行业标准、地方标准；依法协调指导和监督团体标准、企业标准制定工作。</w:t>
      </w:r>
    </w:p>
    <w:p>
      <w:pPr>
        <w:pStyle w:val="19"/>
      </w:pPr>
      <w:r>
        <w:t>（十二）负责统一管理全区检验检测工作，推进检验检测机构改革，规范检验检测市场，完善检验检测体系，指导协调检验检测行业发展。</w:t>
      </w:r>
    </w:p>
    <w:p>
      <w:pPr>
        <w:pStyle w:val="19"/>
      </w:pPr>
      <w:r>
        <w:t>（十三）负责统一管理、监督和协调全区认证认可工作，组织实施国家统一的认证认可和合格评定监督管理制度。</w:t>
      </w:r>
    </w:p>
    <w:p>
      <w:pPr>
        <w:pStyle w:val="19"/>
      </w:pPr>
      <w:r>
        <w:t>（十四）负责推进全区知识产权管理工作，拟订加强知识产权强区建设发展规划并组织实施，拟订强化知识产权创造、保护和运用的政策和制度并组织实施。</w:t>
      </w:r>
    </w:p>
    <w:p>
      <w:pPr>
        <w:pStyle w:val="19"/>
      </w:pPr>
      <w:r>
        <w:t>（十五）负责保护知识产权工作，贯彻落实严格保护商标、专利、原产地地理标志、集成电路布图设计等知识产权地方性法规、政府规章。按照国家知识产权保护体系建设方案，推动建设知识产权保护体系；负责商标、专利执法工作，负责知识产权争议处理、维权援助和纠纷调处，承担京津冀知识产权执法协作工作。</w:t>
      </w:r>
    </w:p>
    <w:p>
      <w:pPr>
        <w:pStyle w:val="19"/>
      </w:pPr>
      <w:r>
        <w:t>（十六）负责促进知识产权运用工作，贯彻落实知识产权运用和规范交易管理办法，促进知识产权转移转化；规范知识产权无形资产评估工作； 负责知识产权中介服务发展的监督管理工作。</w:t>
      </w:r>
    </w:p>
    <w:p>
      <w:pPr>
        <w:pStyle w:val="19"/>
      </w:pPr>
      <w:r>
        <w:t>（十七）负责建立知识产权公共服务体系，建设便企利民、互联互通的全区知识产权信息公共服务平台，推动商标、专利等知识产权信息的传播利用。</w:t>
      </w:r>
    </w:p>
    <w:p>
      <w:pPr>
        <w:pStyle w:val="19"/>
      </w:pPr>
      <w:r>
        <w:t>（十八）承担上级授权的知识产权代办工作任务，组织实施原产地地理标志统一认定制度。</w:t>
      </w:r>
    </w:p>
    <w:p>
      <w:pPr>
        <w:pStyle w:val="19"/>
      </w:pPr>
      <w:r>
        <w:t>（十九）负责市场监督管理科技和信息化建设、新闻宣传、对外交流与合作；负责协调本区涉外知识产权事宜。</w:t>
      </w:r>
    </w:p>
    <w:p>
      <w:pPr>
        <w:pStyle w:val="19"/>
      </w:pPr>
      <w:r>
        <w:t>（二十）负责药品（含中药、民族药，下同）、 医疗器械和化妆品安全监督管理。贯彻执行国家、省药品、医疗器械和化妆品法律法规，以及鼓励药品、医疗器械和化妆品新技术新产品的管理与服务政策，拟订监督管理措施并组织实施，贯彻落实相关地方性法规、政府规章。</w:t>
      </w:r>
    </w:p>
    <w:p>
      <w:pPr>
        <w:pStyle w:val="19"/>
      </w:pPr>
      <w:r>
        <w:t>（二十一）负责药品、医疗器械和化妆品质量管理工作，依职责监督实施药品、医疗器械经营质量管理规范。</w:t>
      </w:r>
    </w:p>
    <w:p>
      <w:pPr>
        <w:pStyle w:val="19"/>
      </w:pPr>
      <w:r>
        <w:t>（二十二）组织开展药品、化妆品不良反应监测、医疗器械不良事件监测工作，依法承担药品、医疗器械和化妆品安全应急管理工作。</w:t>
      </w:r>
    </w:p>
    <w:p>
      <w:pPr>
        <w:pStyle w:val="19"/>
      </w:pPr>
      <w:r>
        <w:t>（二十三）负责药品、医疗器械和化妆品监督检查工作，贯彻落实国家、省、市检查制度，依法查处药品、医疗器械和化妆品经营、使用环节的违法行为。</w:t>
      </w:r>
    </w:p>
    <w:p>
      <w:pPr>
        <w:pStyle w:val="19"/>
      </w:pPr>
      <w:r>
        <w:t>（二十四）组织开展药品、医疗器械和化妆品安全宣传、教育培训，推进诚信体系建设。</w:t>
      </w:r>
    </w:p>
    <w:p>
      <w:pPr>
        <w:pStyle w:val="19"/>
      </w:pPr>
      <w:r>
        <w:t>（二十五）负责全区药品监督管理工作。推动落实药品、医疗器械和化妆品安全企业主体责任，组织实施药品、医疗器械和化妆品安全考核。</w:t>
      </w:r>
    </w:p>
    <w:p>
      <w:pPr>
        <w:pStyle w:val="19"/>
      </w:pPr>
      <w:r>
        <w:t>（二十六）推进全区药品、医疗器械和化妆品安全监管信息化建设，负责制定药品、医疗器械和化妆品的安全科技发展规划，推动检验检测体系、电子监管追溯体系和信息化建设；完善药品、医疗器械和化妆品安全信息统一公布制度和重大信息直报制度，公布重大安全信息。</w:t>
      </w:r>
    </w:p>
    <w:p>
      <w:pPr>
        <w:pStyle w:val="19"/>
      </w:pPr>
      <w:r>
        <w:t>（二十七）承接省、市市场监督管理局和省药品监督管理局委托区级实施的管理事项。</w:t>
      </w:r>
    </w:p>
    <w:p>
      <w:pPr>
        <w:pStyle w:val="19"/>
      </w:pPr>
      <w:r>
        <w:t>（二十八）完成区委、区政府交办的其他任务。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石家庄市藁城区市场监督管理局本级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按照预算管理有关规定，目前我省部门预算的编制实行综合预算管理，即全部收入和支出都反映在预算中。石家庄市藁城区市场监督管理局机关及所属事业单位的收支包含在部门预算中。</w:t>
      </w:r>
    </w:p>
    <w:p>
      <w:pPr>
        <w:numPr>
          <w:ilvl w:val="0"/>
          <w:numId w:val="1"/>
        </w:num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收入说明</w:t>
      </w:r>
    </w:p>
    <w:p>
      <w:pPr>
        <w:numPr>
          <w:ilvl w:val="0"/>
          <w:numId w:val="0"/>
        </w:numPr>
        <w:spacing w:before="0" w:after="0" w:line="500" w:lineRule="exact"/>
        <w:ind w:firstLine="560" w:firstLineChars="20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反映本部门当年全部收入。2022年预算收入</w:t>
      </w:r>
      <w:r>
        <w:rPr>
          <w:rFonts w:hint="eastAsia" w:eastAsia="方正仿宋_GBK" w:cs="Times New Roman"/>
          <w:color w:val="000000"/>
          <w:sz w:val="28"/>
          <w:lang w:val="en-US" w:eastAsia="zh-CN"/>
        </w:rPr>
        <w:t>4904.78</w:t>
      </w:r>
      <w:r>
        <w:rPr>
          <w:rFonts w:hint="eastAsia" w:ascii="Times New Roman" w:hAnsi="Times New Roman" w:eastAsia="方正仿宋_GBK" w:cs="Times New Roman"/>
          <w:color w:val="000000"/>
          <w:sz w:val="28"/>
        </w:rPr>
        <w:t>万元，其中：一般公共预算收入</w:t>
      </w:r>
      <w:r>
        <w:rPr>
          <w:rFonts w:hint="eastAsia" w:eastAsia="方正仿宋_GBK" w:cs="Times New Roman"/>
          <w:color w:val="000000"/>
          <w:sz w:val="28"/>
          <w:lang w:val="en-US" w:eastAsia="zh-CN"/>
        </w:rPr>
        <w:t>4904.78</w:t>
      </w:r>
      <w:r>
        <w:rPr>
          <w:rFonts w:hint="eastAsia" w:ascii="Times New Roman" w:hAnsi="Times New Roman" w:eastAsia="方正仿宋_GBK" w:cs="Times New Roman"/>
          <w:color w:val="000000"/>
          <w:sz w:val="28"/>
        </w:rPr>
        <w:t>万元，基金预算收入0万元，财政专户核拨收入0万元，其他来源收入0万元。</w:t>
      </w:r>
    </w:p>
    <w:p>
      <w:pPr>
        <w:numPr>
          <w:ilvl w:val="0"/>
          <w:numId w:val="1"/>
        </w:numPr>
        <w:spacing w:before="0" w:after="0" w:line="500" w:lineRule="exact"/>
        <w:ind w:left="0" w:leftChars="0" w:firstLine="560" w:firstLineChars="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支出说明</w:t>
      </w:r>
    </w:p>
    <w:p>
      <w:pPr>
        <w:numPr>
          <w:ilvl w:val="0"/>
          <w:numId w:val="0"/>
        </w:numPr>
        <w:spacing w:before="0" w:after="0" w:line="500" w:lineRule="exact"/>
        <w:ind w:firstLine="560" w:firstLineChars="20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收支预算总表支出栏、基本支出表、项目支出表按经济分类和支出功能分类科目编制，反映本部门预算中支出预算的总体情况。2022年部门支出预算为</w:t>
      </w:r>
      <w:r>
        <w:rPr>
          <w:rFonts w:hint="eastAsia" w:eastAsia="方正仿宋_GBK" w:cs="Times New Roman"/>
          <w:color w:val="000000"/>
          <w:sz w:val="28"/>
          <w:lang w:val="en-US" w:eastAsia="zh-CN"/>
        </w:rPr>
        <w:t>4904.78</w:t>
      </w:r>
      <w:r>
        <w:rPr>
          <w:rFonts w:hint="eastAsia" w:ascii="Times New Roman" w:hAnsi="Times New Roman" w:eastAsia="方正仿宋_GBK" w:cs="Times New Roman"/>
          <w:color w:val="000000"/>
          <w:sz w:val="28"/>
        </w:rPr>
        <w:t>万元，其中基本支出</w:t>
      </w:r>
      <w:r>
        <w:rPr>
          <w:rFonts w:hint="eastAsia" w:eastAsia="方正仿宋_GBK" w:cs="Times New Roman"/>
          <w:color w:val="000000"/>
          <w:sz w:val="28"/>
          <w:lang w:val="en-US" w:eastAsia="zh-CN"/>
        </w:rPr>
        <w:t>3646.36</w:t>
      </w:r>
      <w:r>
        <w:rPr>
          <w:rFonts w:hint="eastAsia" w:ascii="Times New Roman" w:hAnsi="Times New Roman" w:eastAsia="方正仿宋_GBK" w:cs="Times New Roman"/>
          <w:color w:val="000000"/>
          <w:sz w:val="28"/>
        </w:rPr>
        <w:t>万元，包括人员经费</w:t>
      </w:r>
      <w:r>
        <w:rPr>
          <w:rFonts w:hint="eastAsia" w:eastAsia="方正仿宋_GBK" w:cs="Times New Roman"/>
          <w:color w:val="000000"/>
          <w:sz w:val="28"/>
          <w:lang w:val="en-US" w:eastAsia="zh-CN"/>
        </w:rPr>
        <w:t>3343.71</w:t>
      </w:r>
      <w:r>
        <w:rPr>
          <w:rFonts w:hint="eastAsia" w:ascii="Times New Roman" w:hAnsi="Times New Roman" w:eastAsia="方正仿宋_GBK" w:cs="Times New Roman"/>
          <w:color w:val="000000"/>
          <w:sz w:val="28"/>
        </w:rPr>
        <w:t>万元和日常公用经费</w:t>
      </w:r>
      <w:r>
        <w:rPr>
          <w:rFonts w:hint="eastAsia" w:eastAsia="方正仿宋_GBK" w:cs="Times New Roman"/>
          <w:color w:val="000000"/>
          <w:sz w:val="28"/>
          <w:lang w:val="en-US" w:eastAsia="zh-CN"/>
        </w:rPr>
        <w:t>302.65</w:t>
      </w:r>
      <w:r>
        <w:rPr>
          <w:rFonts w:hint="eastAsia" w:ascii="Times New Roman" w:hAnsi="Times New Roman" w:eastAsia="方正仿宋_GBK" w:cs="Times New Roman"/>
          <w:color w:val="000000"/>
          <w:sz w:val="28"/>
        </w:rPr>
        <w:t>万元；项目支出</w:t>
      </w:r>
      <w:r>
        <w:rPr>
          <w:rFonts w:hint="eastAsia" w:eastAsia="方正仿宋_GBK" w:cs="Times New Roman"/>
          <w:color w:val="000000"/>
          <w:sz w:val="28"/>
          <w:lang w:val="en-US" w:eastAsia="zh-CN"/>
        </w:rPr>
        <w:t>1258.42</w:t>
      </w:r>
      <w:r>
        <w:rPr>
          <w:rFonts w:hint="eastAsia" w:ascii="Times New Roman" w:hAnsi="Times New Roman" w:eastAsia="方正仿宋_GBK" w:cs="Times New Roman"/>
          <w:color w:val="000000"/>
          <w:sz w:val="28"/>
        </w:rPr>
        <w:t>万元，主要为</w:t>
      </w:r>
      <w:r>
        <w:rPr>
          <w:rFonts w:hint="eastAsia" w:eastAsia="方正仿宋_GBK" w:cs="Times New Roman"/>
          <w:color w:val="000000"/>
          <w:sz w:val="28"/>
          <w:lang w:eastAsia="zh-CN"/>
        </w:rPr>
        <w:t>一般行政管理事务支出</w:t>
      </w:r>
      <w:r>
        <w:rPr>
          <w:rFonts w:hint="eastAsia" w:eastAsia="方正仿宋_GBK" w:cs="Times New Roman"/>
          <w:color w:val="000000"/>
          <w:sz w:val="28"/>
          <w:lang w:val="en-US" w:eastAsia="zh-CN"/>
        </w:rPr>
        <w:t>209</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机关服务</w:t>
      </w:r>
      <w:r>
        <w:rPr>
          <w:rFonts w:hint="eastAsia" w:ascii="Times New Roman" w:hAnsi="Times New Roman" w:eastAsia="方正仿宋_GBK" w:cs="Times New Roman"/>
          <w:color w:val="000000"/>
          <w:sz w:val="28"/>
        </w:rPr>
        <w:t>支出</w:t>
      </w:r>
      <w:r>
        <w:rPr>
          <w:rFonts w:hint="eastAsia" w:eastAsia="方正仿宋_GBK" w:cs="Times New Roman"/>
          <w:color w:val="000000"/>
          <w:sz w:val="28"/>
          <w:lang w:val="en-US" w:eastAsia="zh-CN"/>
        </w:rPr>
        <w:t>501.42</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市场主体管理</w:t>
      </w:r>
      <w:r>
        <w:rPr>
          <w:rFonts w:hint="eastAsia" w:ascii="Times New Roman" w:hAnsi="Times New Roman" w:eastAsia="方正仿宋_GBK" w:cs="Times New Roman"/>
          <w:color w:val="000000"/>
          <w:sz w:val="28"/>
        </w:rPr>
        <w:t>支出</w:t>
      </w:r>
      <w:r>
        <w:rPr>
          <w:rFonts w:hint="eastAsia" w:eastAsia="方正仿宋_GBK" w:cs="Times New Roman"/>
          <w:color w:val="000000"/>
          <w:sz w:val="28"/>
          <w:lang w:val="en-US" w:eastAsia="zh-CN"/>
        </w:rPr>
        <w:t>43</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质量安全监管</w:t>
      </w:r>
      <w:r>
        <w:rPr>
          <w:rFonts w:hint="eastAsia" w:ascii="Times New Roman" w:hAnsi="Times New Roman" w:eastAsia="方正仿宋_GBK" w:cs="Times New Roman"/>
          <w:color w:val="000000"/>
          <w:sz w:val="28"/>
        </w:rPr>
        <w:t>支出</w:t>
      </w:r>
      <w:r>
        <w:rPr>
          <w:rFonts w:hint="eastAsia" w:eastAsia="方正仿宋_GBK" w:cs="Times New Roman"/>
          <w:color w:val="000000"/>
          <w:sz w:val="28"/>
          <w:lang w:val="en-US" w:eastAsia="zh-CN"/>
        </w:rPr>
        <w:t>105</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食品安全监管支出</w:t>
      </w:r>
      <w:r>
        <w:rPr>
          <w:rFonts w:hint="eastAsia" w:eastAsia="方正仿宋_GBK" w:cs="Times New Roman"/>
          <w:color w:val="000000"/>
          <w:sz w:val="28"/>
          <w:lang w:val="en-US" w:eastAsia="zh-CN"/>
        </w:rPr>
        <w:t>200</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，其他市场监督管理事务支出</w:t>
      </w:r>
      <w:r>
        <w:rPr>
          <w:rFonts w:hint="eastAsia" w:eastAsia="方正仿宋_GBK" w:cs="Times New Roman"/>
          <w:color w:val="000000"/>
          <w:sz w:val="28"/>
          <w:lang w:val="en-US" w:eastAsia="zh-CN"/>
        </w:rPr>
        <w:t>200</w:t>
      </w:r>
      <w:r>
        <w:rPr>
          <w:rFonts w:hint="eastAsia" w:ascii="Times New Roman" w:hAnsi="Times New Roman" w:eastAsia="方正仿宋_GBK" w:cs="Times New Roman"/>
          <w:color w:val="000000"/>
          <w:sz w:val="28"/>
        </w:rPr>
        <w:t>万元。</w:t>
      </w:r>
    </w:p>
    <w:p>
      <w:pPr>
        <w:numPr>
          <w:ilvl w:val="0"/>
          <w:numId w:val="1"/>
        </w:numPr>
        <w:spacing w:before="0" w:after="0" w:line="500" w:lineRule="exact"/>
        <w:ind w:left="0" w:leftChars="0" w:firstLine="560" w:firstLineChars="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比上年增减情况</w:t>
      </w:r>
    </w:p>
    <w:p>
      <w:pPr>
        <w:numPr>
          <w:ilvl w:val="0"/>
          <w:numId w:val="0"/>
        </w:numPr>
        <w:spacing w:before="0" w:after="0" w:line="500" w:lineRule="exact"/>
        <w:ind w:firstLine="560" w:firstLineChars="20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2022年部门预算收支安排</w:t>
      </w:r>
      <w:r>
        <w:rPr>
          <w:rFonts w:hint="eastAsia" w:eastAsia="方正仿宋_GBK" w:cs="Times New Roman"/>
          <w:color w:val="000000"/>
          <w:sz w:val="28"/>
          <w:lang w:val="en-US" w:eastAsia="zh-CN"/>
        </w:rPr>
        <w:t>4904.78</w:t>
      </w:r>
      <w:r>
        <w:rPr>
          <w:rFonts w:hint="eastAsia" w:ascii="Times New Roman" w:hAnsi="Times New Roman" w:eastAsia="方正仿宋_GBK" w:cs="Times New Roman"/>
          <w:color w:val="000000"/>
          <w:sz w:val="28"/>
        </w:rPr>
        <w:t>万元，较2021年增加</w:t>
      </w:r>
      <w:r>
        <w:rPr>
          <w:rFonts w:hint="eastAsia" w:eastAsia="方正仿宋_GBK" w:cs="Times New Roman"/>
          <w:color w:val="000000"/>
          <w:sz w:val="28"/>
          <w:lang w:val="en-US" w:eastAsia="zh-CN"/>
        </w:rPr>
        <w:t>279.74</w:t>
      </w:r>
      <w:r>
        <w:rPr>
          <w:rFonts w:hint="eastAsia" w:ascii="Times New Roman" w:hAnsi="Times New Roman" w:eastAsia="方正仿宋_GBK" w:cs="Times New Roman"/>
          <w:color w:val="000000"/>
          <w:sz w:val="28"/>
        </w:rPr>
        <w:t>万元，其中：基本支出</w:t>
      </w:r>
      <w:r>
        <w:rPr>
          <w:rFonts w:hint="eastAsia" w:eastAsia="方正仿宋_GBK" w:cs="Times New Roman"/>
          <w:color w:val="000000"/>
          <w:sz w:val="28"/>
          <w:lang w:eastAsia="zh-CN"/>
        </w:rPr>
        <w:t>增加</w:t>
      </w:r>
      <w:r>
        <w:rPr>
          <w:rFonts w:hint="eastAsia" w:eastAsia="方正仿宋_GBK" w:cs="Times New Roman"/>
          <w:color w:val="000000"/>
          <w:sz w:val="28"/>
          <w:lang w:val="en-US" w:eastAsia="zh-CN"/>
        </w:rPr>
        <w:t>32.74</w:t>
      </w:r>
      <w:r>
        <w:rPr>
          <w:rFonts w:hint="eastAsia" w:ascii="Times New Roman" w:hAnsi="Times New Roman" w:eastAsia="方正仿宋_GBK" w:cs="Times New Roman"/>
          <w:color w:val="000000"/>
          <w:sz w:val="28"/>
        </w:rPr>
        <w:t>万元，主要是</w:t>
      </w:r>
      <w:r>
        <w:rPr>
          <w:rFonts w:hint="eastAsia" w:eastAsia="方正仿宋_GBK" w:cs="Times New Roman"/>
          <w:color w:val="000000"/>
          <w:sz w:val="28"/>
          <w:lang w:eastAsia="zh-CN"/>
        </w:rPr>
        <w:t>提高了工资福利支出</w:t>
      </w:r>
      <w:r>
        <w:rPr>
          <w:rFonts w:hint="eastAsia" w:ascii="Times New Roman" w:hAnsi="Times New Roman" w:eastAsia="方正仿宋_GBK" w:cs="Times New Roman"/>
          <w:color w:val="000000"/>
          <w:sz w:val="28"/>
        </w:rPr>
        <w:t>；项目支出增加</w:t>
      </w:r>
      <w:r>
        <w:rPr>
          <w:rFonts w:hint="eastAsia" w:eastAsia="方正仿宋_GBK" w:cs="Times New Roman"/>
          <w:color w:val="000000"/>
          <w:sz w:val="28"/>
          <w:lang w:val="en-US" w:eastAsia="zh-CN"/>
        </w:rPr>
        <w:t>247</w:t>
      </w:r>
      <w:r>
        <w:rPr>
          <w:rFonts w:hint="eastAsia" w:ascii="Times New Roman" w:hAnsi="Times New Roman" w:eastAsia="方正仿宋_GBK" w:cs="Times New Roman"/>
          <w:color w:val="000000"/>
          <w:sz w:val="28"/>
        </w:rPr>
        <w:t>万元，主要是增加</w:t>
      </w:r>
      <w:r>
        <w:rPr>
          <w:rFonts w:hint="eastAsia" w:eastAsia="方正仿宋_GBK" w:cs="Times New Roman"/>
          <w:color w:val="000000"/>
          <w:sz w:val="28"/>
          <w:lang w:eastAsia="zh-CN"/>
        </w:rPr>
        <w:t>了食品安全协管员工资、省级下达商标奖励资金、中央下达工商行政管理专项补助经费、省级下达市场监管专项补助资金</w:t>
      </w:r>
      <w:r>
        <w:rPr>
          <w:rFonts w:hint="eastAsia" w:ascii="Times New Roman" w:hAnsi="Times New Roman" w:eastAsia="方正仿宋_GBK" w:cs="Times New Roman"/>
          <w:color w:val="000000"/>
          <w:sz w:val="28"/>
        </w:rPr>
        <w:t>；其他支出无增减变化。</w:t>
      </w:r>
    </w:p>
    <w:p>
      <w:pPr>
        <w:numPr>
          <w:ilvl w:val="0"/>
          <w:numId w:val="2"/>
        </w:numPr>
        <w:spacing w:before="10" w:after="10" w:line="360" w:lineRule="auto"/>
        <w:ind w:firstLine="640" w:firstLineChars="20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numPr>
          <w:ilvl w:val="0"/>
          <w:numId w:val="0"/>
        </w:numPr>
        <w:spacing w:before="10" w:after="10" w:line="360" w:lineRule="auto"/>
        <w:jc w:val="left"/>
        <w:outlineLvl w:val="2"/>
        <w:rPr>
          <w:rFonts w:hint="eastAsia" w:ascii="Times New Roman" w:hAnsi="Times New Roman" w:eastAsia="方正仿宋_GBK" w:cs="Times New Roman"/>
          <w:color w:val="000000"/>
          <w:sz w:val="28"/>
          <w:lang w:val="en-US" w:eastAsia="zh-CN"/>
        </w:r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color w:val="000000"/>
          <w:sz w:val="28"/>
          <w:lang w:val="en-US" w:eastAsia="zh-CN"/>
        </w:rPr>
        <w:t xml:space="preserve">  </w:t>
      </w:r>
      <w:r>
        <w:rPr>
          <w:rFonts w:hint="eastAsia" w:ascii="Times New Roman" w:hAnsi="Times New Roman" w:eastAsia="方正仿宋_GBK" w:cs="Times New Roman"/>
          <w:color w:val="000000"/>
          <w:sz w:val="28"/>
        </w:rPr>
        <w:t>2022年，我部门机关运行经费共计安排</w:t>
      </w:r>
      <w:r>
        <w:rPr>
          <w:rFonts w:hint="eastAsia" w:ascii="Times New Roman" w:hAnsi="Times New Roman" w:eastAsia="方正仿宋_GBK" w:cs="Times New Roman"/>
          <w:color w:val="000000"/>
          <w:sz w:val="28"/>
          <w:lang w:val="en-US" w:eastAsia="zh-CN"/>
        </w:rPr>
        <w:t>302.65</w:t>
      </w:r>
      <w:r>
        <w:rPr>
          <w:rFonts w:hint="eastAsia" w:ascii="Times New Roman" w:hAnsi="Times New Roman" w:eastAsia="方正仿宋_GBK" w:cs="Times New Roman"/>
          <w:color w:val="000000"/>
          <w:sz w:val="28"/>
        </w:rPr>
        <w:t>万元，主要用于保证机关正常运转的办公</w:t>
      </w:r>
      <w:r>
        <w:rPr>
          <w:rFonts w:hint="eastAsia" w:ascii="Times New Roman" w:hAnsi="Times New Roman" w:eastAsia="方正仿宋_GBK" w:cs="Times New Roman"/>
          <w:color w:val="000000"/>
          <w:sz w:val="28"/>
          <w:lang w:eastAsia="zh-CN"/>
        </w:rPr>
        <w:t>费</w:t>
      </w:r>
      <w:r>
        <w:rPr>
          <w:rFonts w:hint="eastAsia" w:ascii="Times New Roman" w:hAnsi="Times New Roman" w:eastAsia="方正仿宋_GBK" w:cs="Times New Roman"/>
          <w:color w:val="000000"/>
          <w:sz w:val="28"/>
        </w:rPr>
        <w:t>、邮电费、福利费、办公用房水电费、办公用房取暖费、公务车运行维护费等支出</w:t>
      </w:r>
      <w:r>
        <w:rPr>
          <w:rFonts w:hint="eastAsia" w:ascii="Times New Roman" w:hAnsi="Times New Roman" w:eastAsia="方正仿宋_GBK" w:cs="Times New Roman"/>
          <w:color w:val="000000"/>
          <w:sz w:val="28"/>
          <w:lang w:eastAsia="zh-CN"/>
        </w:rPr>
        <w:t>。</w:t>
      </w:r>
    </w:p>
    <w:p>
      <w:pPr>
        <w:spacing w:before="10" w:after="10" w:line="360" w:lineRule="auto"/>
        <w:ind w:firstLine="640" w:firstLineChars="20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rPr>
          <w:rFonts w:hint="default"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uk-UA" w:bidi="ar-SA"/>
        </w:rPr>
        <w:t>2022年，我部门财政拨款“三公”经费预算安排</w:t>
      </w:r>
      <w:r>
        <w:rPr>
          <w:rFonts w:hint="eastAsia" w:cs="Times New Roman"/>
          <w:color w:val="000000"/>
          <w:sz w:val="28"/>
          <w:szCs w:val="24"/>
          <w:lang w:val="en-US" w:eastAsia="zh-CN" w:bidi="ar-SA"/>
        </w:rPr>
        <w:t>54</w:t>
      </w:r>
      <w:r>
        <w:rPr>
          <w:rFonts w:hint="eastAsia" w:ascii="Times New Roman" w:hAnsi="Times New Roman" w:eastAsia="方正仿宋_GBK" w:cs="Times New Roman"/>
          <w:color w:val="000000"/>
          <w:sz w:val="28"/>
          <w:szCs w:val="24"/>
          <w:lang w:val="en-US" w:eastAsia="uk-UA" w:bidi="ar-SA"/>
        </w:rPr>
        <w:t>万元，其中：</w:t>
      </w:r>
      <w:r>
        <w:rPr>
          <w:rFonts w:hint="eastAsia" w:cs="Times New Roman"/>
          <w:color w:val="000000"/>
          <w:sz w:val="28"/>
          <w:szCs w:val="24"/>
          <w:lang w:val="en-US" w:eastAsia="zh-CN" w:bidi="ar-SA"/>
        </w:rPr>
        <w:t>因公出国（境）费0万元，与上年持平；</w:t>
      </w:r>
      <w:r>
        <w:rPr>
          <w:rFonts w:hint="eastAsia" w:ascii="Times New Roman" w:hAnsi="Times New Roman" w:eastAsia="方正仿宋_GBK" w:cs="Times New Roman"/>
          <w:color w:val="000000"/>
          <w:sz w:val="28"/>
          <w:szCs w:val="24"/>
          <w:lang w:val="en-US" w:eastAsia="uk-UA" w:bidi="ar-SA"/>
        </w:rPr>
        <w:t>公务用车购置及运维费</w:t>
      </w:r>
      <w:r>
        <w:rPr>
          <w:rFonts w:hint="eastAsia" w:ascii="Times New Roman" w:hAnsi="Times New Roman" w:eastAsia="方正仿宋_GBK" w:cs="Times New Roman"/>
          <w:color w:val="000000"/>
          <w:sz w:val="28"/>
          <w:szCs w:val="24"/>
          <w:lang w:val="en-US" w:eastAsia="zh-CN" w:bidi="ar-SA"/>
        </w:rPr>
        <w:t>54</w:t>
      </w:r>
      <w:r>
        <w:rPr>
          <w:rFonts w:hint="eastAsia" w:ascii="Times New Roman" w:hAnsi="Times New Roman" w:eastAsia="方正仿宋_GBK" w:cs="Times New Roman"/>
          <w:color w:val="000000"/>
          <w:sz w:val="28"/>
          <w:szCs w:val="24"/>
          <w:lang w:val="en-US" w:eastAsia="uk-UA" w:bidi="ar-SA"/>
        </w:rPr>
        <w:t>万元（其中：公务用车购置费</w:t>
      </w:r>
      <w:r>
        <w:rPr>
          <w:rFonts w:hint="eastAsia" w:ascii="Times New Roman" w:hAnsi="Times New Roman" w:eastAsia="方正仿宋_GBK" w:cs="Times New Roman"/>
          <w:color w:val="000000"/>
          <w:sz w:val="28"/>
          <w:szCs w:val="24"/>
          <w:lang w:val="en-US" w:eastAsia="zh-CN" w:bidi="ar-SA"/>
        </w:rPr>
        <w:t>10</w:t>
      </w:r>
      <w:r>
        <w:rPr>
          <w:rFonts w:hint="eastAsia" w:ascii="Times New Roman" w:hAnsi="Times New Roman" w:eastAsia="方正仿宋_GBK" w:cs="Times New Roman"/>
          <w:color w:val="000000"/>
          <w:sz w:val="28"/>
          <w:szCs w:val="24"/>
          <w:lang w:val="en-US" w:eastAsia="uk-UA" w:bidi="ar-SA"/>
        </w:rPr>
        <w:t>万元，</w:t>
      </w:r>
      <w:r>
        <w:rPr>
          <w:rFonts w:hint="eastAsia" w:cs="Times New Roman"/>
          <w:color w:val="000000"/>
          <w:sz w:val="28"/>
          <w:szCs w:val="24"/>
          <w:lang w:val="en-US" w:eastAsia="zh-CN" w:bidi="ar-SA"/>
        </w:rPr>
        <w:t>与上年相比增加10万元，增加的主要原因是：2021年报废2辆公车，2022年新购置1辆；</w:t>
      </w:r>
      <w:r>
        <w:rPr>
          <w:rFonts w:hint="eastAsia" w:ascii="Times New Roman" w:hAnsi="Times New Roman" w:eastAsia="方正仿宋_GBK" w:cs="Times New Roman"/>
          <w:color w:val="000000"/>
          <w:sz w:val="28"/>
          <w:szCs w:val="24"/>
          <w:lang w:val="en-US" w:eastAsia="uk-UA" w:bidi="ar-SA"/>
        </w:rPr>
        <w:t>公务用车运行维护费</w:t>
      </w:r>
      <w:r>
        <w:rPr>
          <w:rFonts w:hint="eastAsia" w:ascii="Times New Roman" w:hAnsi="Times New Roman" w:eastAsia="方正仿宋_GBK" w:cs="Times New Roman"/>
          <w:color w:val="000000"/>
          <w:sz w:val="28"/>
          <w:szCs w:val="24"/>
          <w:lang w:val="en-US" w:eastAsia="zh-CN" w:bidi="ar-SA"/>
        </w:rPr>
        <w:t>44</w:t>
      </w:r>
      <w:r>
        <w:rPr>
          <w:rFonts w:hint="eastAsia" w:ascii="Times New Roman" w:hAnsi="Times New Roman" w:eastAsia="方正仿宋_GBK" w:cs="Times New Roman"/>
          <w:color w:val="000000"/>
          <w:sz w:val="28"/>
          <w:szCs w:val="24"/>
          <w:lang w:val="en-US" w:eastAsia="uk-UA" w:bidi="ar-SA"/>
        </w:rPr>
        <w:t>万元</w:t>
      </w:r>
      <w:r>
        <w:rPr>
          <w:rFonts w:hint="eastAsia" w:cs="Times New Roman"/>
          <w:color w:val="000000"/>
          <w:sz w:val="28"/>
          <w:szCs w:val="24"/>
          <w:lang w:val="en-US" w:eastAsia="zh-CN" w:bidi="ar-SA"/>
        </w:rPr>
        <w:t>，</w:t>
      </w:r>
      <w:r>
        <w:rPr>
          <w:rFonts w:hint="eastAsia" w:ascii="Times New Roman" w:hAnsi="Times New Roman" w:eastAsia="方正仿宋_GBK" w:cs="Times New Roman"/>
          <w:color w:val="000000"/>
          <w:sz w:val="28"/>
          <w:szCs w:val="24"/>
          <w:lang w:val="en-US" w:eastAsia="uk-UA" w:bidi="ar-SA"/>
        </w:rPr>
        <w:t>与上年相比减少</w:t>
      </w:r>
      <w:r>
        <w:rPr>
          <w:rFonts w:hint="eastAsia" w:cs="Times New Roman"/>
          <w:color w:val="000000"/>
          <w:sz w:val="28"/>
          <w:szCs w:val="24"/>
          <w:lang w:val="en-US" w:eastAsia="zh-CN" w:bidi="ar-SA"/>
        </w:rPr>
        <w:t>10</w:t>
      </w:r>
      <w:r>
        <w:rPr>
          <w:rFonts w:hint="eastAsia" w:ascii="Times New Roman" w:hAnsi="Times New Roman" w:eastAsia="方正仿宋_GBK" w:cs="Times New Roman"/>
          <w:color w:val="000000"/>
          <w:sz w:val="28"/>
          <w:szCs w:val="24"/>
          <w:lang w:val="en-US" w:eastAsia="uk-UA" w:bidi="ar-SA"/>
        </w:rPr>
        <w:t>万元，减少的主要原因：</w:t>
      </w:r>
      <w:r>
        <w:rPr>
          <w:rFonts w:hint="eastAsia" w:cs="Times New Roman"/>
          <w:color w:val="000000"/>
          <w:sz w:val="28"/>
          <w:szCs w:val="24"/>
          <w:lang w:val="en-US" w:eastAsia="zh-CN" w:bidi="ar-SA"/>
        </w:rPr>
        <w:t>厉行节约</w:t>
      </w:r>
      <w:r>
        <w:rPr>
          <w:rFonts w:hint="eastAsia" w:ascii="Times New Roman" w:hAnsi="Times New Roman" w:eastAsia="方正仿宋_GBK" w:cs="Times New Roman"/>
          <w:color w:val="000000"/>
          <w:sz w:val="28"/>
          <w:szCs w:val="24"/>
          <w:lang w:val="en-US" w:eastAsia="uk-UA" w:bidi="ar-SA"/>
        </w:rPr>
        <w:t>压缩</w:t>
      </w:r>
      <w:r>
        <w:rPr>
          <w:rFonts w:hint="eastAsia" w:cs="Times New Roman"/>
          <w:color w:val="000000"/>
          <w:sz w:val="28"/>
          <w:szCs w:val="24"/>
          <w:lang w:val="en-US" w:eastAsia="zh-CN" w:bidi="ar-SA"/>
        </w:rPr>
        <w:t>经费</w:t>
      </w:r>
      <w:r>
        <w:rPr>
          <w:rFonts w:hint="eastAsia" w:ascii="Times New Roman" w:hAnsi="Times New Roman" w:eastAsia="方正仿宋_GBK" w:cs="Times New Roman"/>
          <w:color w:val="000000"/>
          <w:sz w:val="28"/>
          <w:szCs w:val="24"/>
          <w:lang w:val="en-US" w:eastAsia="uk-UA" w:bidi="ar-SA"/>
        </w:rPr>
        <w:t>)；公务接待费</w:t>
      </w:r>
      <w:r>
        <w:rPr>
          <w:rFonts w:hint="eastAsia" w:cs="Times New Roman"/>
          <w:color w:val="000000"/>
          <w:sz w:val="28"/>
          <w:szCs w:val="24"/>
          <w:lang w:val="en-US" w:eastAsia="zh-CN" w:bidi="ar-SA"/>
        </w:rPr>
        <w:t>0</w:t>
      </w:r>
      <w:r>
        <w:rPr>
          <w:rFonts w:hint="eastAsia" w:ascii="Times New Roman" w:hAnsi="Times New Roman" w:eastAsia="方正仿宋_GBK" w:cs="Times New Roman"/>
          <w:color w:val="000000"/>
          <w:sz w:val="28"/>
          <w:szCs w:val="24"/>
          <w:lang w:val="en-US" w:eastAsia="uk-UA" w:bidi="ar-SA"/>
        </w:rPr>
        <w:t>万元</w:t>
      </w:r>
      <w:r>
        <w:rPr>
          <w:rFonts w:hint="eastAsia" w:cs="Times New Roman"/>
          <w:color w:val="000000"/>
          <w:sz w:val="28"/>
          <w:szCs w:val="24"/>
          <w:lang w:val="en-US" w:eastAsia="zh-CN" w:bidi="ar-SA"/>
        </w:rPr>
        <w:t>，与上年持平。与2021年相比，三公经费与上年持平，无增减变化。</w:t>
      </w:r>
    </w:p>
    <w:p>
      <w:pPr>
        <w:numPr>
          <w:ilvl w:val="0"/>
          <w:numId w:val="0"/>
        </w:numPr>
        <w:spacing w:before="10" w:after="10" w:line="360" w:lineRule="auto"/>
        <w:ind w:leftChars="200" w:firstLine="320" w:firstLineChars="100"/>
        <w:jc w:val="left"/>
        <w:outlineLvl w:val="2"/>
        <w:rPr>
          <w:rFonts w:ascii="黑体" w:hAnsi="黑体" w:eastAsia="黑体" w:cs="黑体"/>
          <w:color w:val="000000"/>
          <w:sz w:val="32"/>
        </w:rPr>
      </w:pPr>
      <w:bookmarkStart w:id="13" w:name="_Toc_3_3_0000000014"/>
      <w:r>
        <w:rPr>
          <w:rFonts w:hint="eastAsia" w:ascii="黑体" w:hAnsi="黑体" w:eastAsia="黑体" w:cs="黑体"/>
          <w:color w:val="000000"/>
          <w:sz w:val="32"/>
          <w:lang w:eastAsia="zh-CN"/>
        </w:rPr>
        <w:t>五、</w:t>
      </w:r>
      <w:r>
        <w:rPr>
          <w:rFonts w:ascii="黑体" w:hAnsi="黑体" w:eastAsia="黑体" w:cs="黑体"/>
          <w:color w:val="000000"/>
          <w:sz w:val="32"/>
        </w:rPr>
        <w:t>预算绩效信息</w:t>
      </w:r>
      <w:bookmarkEnd w:id="13"/>
    </w:p>
    <w:p>
      <w:pPr>
        <w:spacing w:before="0" w:after="0" w:line="240" w:lineRule="auto"/>
        <w:ind w:firstLine="964" w:firstLineChars="30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932" w:firstLineChars="333"/>
        <w:jc w:val="left"/>
        <w:outlineLvl w:val="9"/>
      </w:pPr>
      <w:r>
        <w:rPr>
          <w:rFonts w:ascii="Times New Roman" w:hAnsi="Times New Roman" w:eastAsia="方正仿宋_GBK" w:cs="Times New Roman"/>
          <w:color w:val="000000"/>
          <w:sz w:val="28"/>
        </w:rPr>
        <w:t>（一）总体绩效目标</w:t>
      </w:r>
    </w:p>
    <w:p>
      <w:pPr>
        <w:pStyle w:val="23"/>
        <w:ind w:left="0" w:leftChars="0" w:firstLine="840" w:firstLineChars="300"/>
      </w:pPr>
      <w:r>
        <w:t>总  体 绩 效 目 标</w:t>
      </w:r>
    </w:p>
    <w:p>
      <w:pPr>
        <w:pStyle w:val="23"/>
      </w:pPr>
      <w:r>
        <w:t>2022年，石家庄市藁城区市场监督管理局将继续围绕区委、区政府重点决策部署，坚持改革创新，深化商事制度改革，创新监管方式，切实加强事中事后监管，推进监管执法现代化；创新制度机制，提升消费维权效能；充分发挥职能作用，切实加强队伍建设，主动作为，依法行政，促进经济健康平稳发展和社会和谐稳定，为决胜全面建成小康社会，加快建设新时代现代省会、经济强市做出新的更大的贡献。继续做强地理标志商标，做好地理标志商标申报工作，抓好马德里商标国际注册培育工作，切实增强品牌国际化意识，提升品牌竞争实力。积极搭建融资合作服务平台，持续推进融资助企服务活动深入开展。加强对药品和化妆品从研究、生产、流通、销售各个环节的监管力度，及时发现处置制假售假药问题，做好基本药物招标工作和不良反应事件的处置工作，国家基本药物目录品种的全覆盖抽验完成率不低于95%，化妆品不合格产品查处率达到100%。强化标准化综合管理水平，促进民营经济健康快速发展；开展计量监督活动提升计量监管水平，处理计量举报案件办结率不低于90%。提高全区整体商品质量水平，建立质量诚信制度，促进企业诚信经营，激励企业提升质量管理和产品质量，增加省服务名牌、省名牌产品等申报数量。加大特种设备监管力度，提高特种设备安全运行水平，特种设备举报处理率达到100%。做好全区价格（收费）监督检查及价格（收费）违法行为查处工作。推进全区知识产权保护、管理工作。全面推行“双随机、一公开”联合抽查，在2022年底前实现全覆盖的基础上，做好“双随机”抽查工作，实现“双随机”抽查比例不低于5%、抽查结果公示率达100%的年度工作目标。全面加强对食品生产、流通、餐饮消费的各个环节抽验和强力监管，及时发现和排除食品安全隐患，食品抽检计划完成率不低于95%。加大重点领域执法力度，结合工作实际开展专项整治，维护公平竞争秩序。强化消费维权，加强流通领域商品抽检力度，加大消费维权力度，进一步释放消费潜力。</w:t>
      </w:r>
    </w:p>
    <w:p>
      <w:pPr>
        <w:spacing w:before="0" w:after="0" w:line="500" w:lineRule="exact"/>
        <w:ind w:firstLine="560" w:firstLineChars="200"/>
        <w:jc w:val="left"/>
        <w:outlineLvl w:val="9"/>
      </w:pPr>
      <w:r>
        <w:rPr>
          <w:rFonts w:ascii="Times New Roman" w:hAnsi="Times New Roman" w:eastAsia="方正仿宋_GBK" w:cs="Times New Roman"/>
          <w:color w:val="000000"/>
          <w:sz w:val="28"/>
        </w:rPr>
        <w:t>（二）分项绩效目标</w:t>
      </w:r>
    </w:p>
    <w:p>
      <w:pPr>
        <w:pStyle w:val="24"/>
        <w:ind w:firstLine="932" w:firstLineChars="333"/>
      </w:pPr>
      <w:r>
        <w:t>分 项 绩 效 目 标</w:t>
      </w:r>
    </w:p>
    <w:p>
      <w:pPr>
        <w:pStyle w:val="24"/>
        <w:ind w:left="0" w:leftChars="0" w:firstLine="560" w:firstLineChars="200"/>
      </w:pPr>
      <w:r>
        <w:rPr>
          <w:rFonts w:hint="eastAsia"/>
          <w:lang w:val="en-US" w:eastAsia="zh-CN"/>
        </w:rPr>
        <w:t>1、</w:t>
      </w:r>
      <w:r>
        <w:t>建立市场主体信息公示和共享机制，依法公示和共享有关信息，服务地方经济发展。</w:t>
      </w:r>
    </w:p>
    <w:p>
      <w:pPr>
        <w:pStyle w:val="24"/>
      </w:pPr>
      <w:r>
        <w:t>绩效目标：强化信用体系建设，构建“一处违法、处处受限”监管局面，为政府决策和社会公众提供信息服务。</w:t>
      </w:r>
    </w:p>
    <w:p>
      <w:pPr>
        <w:pStyle w:val="24"/>
      </w:pPr>
      <w:r>
        <w:t>绩效指标：负责全区各类企业、农民专业合作社和从事经营活动的单位、个人等市场主体的监督管理，市场主体抽查率不低于90%,开展市场主体登记等工作的宣传活动次数不少于5次，市场主体违法案件受理办结率不低于90%。</w:t>
      </w:r>
    </w:p>
    <w:p>
      <w:pPr>
        <w:pStyle w:val="24"/>
      </w:pPr>
      <w:r>
        <w:rPr>
          <w:rFonts w:hint="eastAsia"/>
          <w:lang w:val="en-US" w:eastAsia="zh-CN"/>
        </w:rPr>
        <w:t>2、</w:t>
      </w:r>
      <w:r>
        <w:t>严厉打击各类违法行为，维护市场经济和社会秩序。</w:t>
      </w:r>
    </w:p>
    <w:p>
      <w:pPr>
        <w:pStyle w:val="24"/>
      </w:pPr>
      <w:r>
        <w:t>绩效目标：增强各类市场诚信经营意识和规范网络交易管理，维护市场秩序。强化全区商标管理工作，增强品牌意识，提升品牌竞争力。加强广告活动的监督管理工，及时查处广告违法事件。构建打击传销体系，促进社会和谐稳定，确保制假售假案件呈下降态势，维护公平竞争的市场秩序。建立、健全消费者权益保护机制，增强群众自我保护的消费维权意识，构建“和谐社会”。</w:t>
      </w:r>
    </w:p>
    <w:p>
      <w:pPr>
        <w:pStyle w:val="24"/>
      </w:pPr>
      <w:r>
        <w:t>绩效指标：监督管理市场交易行为和网络商品交易及有关服务的行为，网络市场交易监管开展率不低于90%；实施全区商标管理工作，依法保护商标专用权和查处商标侵权行为，驰名商标工作推荐获得率不低于90%，广告案件查处率不低于90%，广告监测覆盖率不低于，商标案件查处率不低于90%；依法查处各类违法行为，组织开展专项执法行动，对企业行政指导工作次数（次)不少于4次，执法案件查处率不低于90%，上级授权反垄断案件查处率不低于90%；开展全区消费者权益保护工作，查处经营假冒伪劣商品等违法行为，处理消费者和经营者投诉举报，消费者权益宣传活动次数不少于7次，消费者满意度不低于90%，消费投诉办结率不低于90%。</w:t>
      </w:r>
    </w:p>
    <w:p>
      <w:pPr>
        <w:pStyle w:val="24"/>
      </w:pPr>
      <w:r>
        <w:rPr>
          <w:rFonts w:hint="eastAsia"/>
          <w:lang w:val="en-US" w:eastAsia="zh-CN"/>
        </w:rPr>
        <w:t>3、</w:t>
      </w:r>
      <w:r>
        <w:t>强化食品安全管理</w:t>
      </w:r>
    </w:p>
    <w:p>
      <w:pPr>
        <w:pStyle w:val="24"/>
      </w:pPr>
      <w:r>
        <w:t>绩效目标：通过对食品各个环节的强力监管，及时处置食品监管发现的问题，确保不出现重大食品安全事故。保障重大活动和暑期食品安全。</w:t>
      </w:r>
    </w:p>
    <w:p>
      <w:pPr>
        <w:pStyle w:val="24"/>
      </w:pPr>
      <w:r>
        <w:t>绩效指标：加强对食品生产、流通、餐饮消费环节和保健食品的监管，不合格样品生产企业处理率达到100%，不发生重大食品安全事故，食品生产企业检查覆盖率不低于95%，食品抽检计划完成率不低于95%；规范重大活动餐饮服务单位食品安全监管，重大活动餐饮服务接待单位食品抽检合格率不低于95%，餐饮服务接待单位达标率达到100%，暑供食品监督抽检覆盖率达到100%。</w:t>
      </w:r>
    </w:p>
    <w:p>
      <w:pPr>
        <w:pStyle w:val="24"/>
      </w:pPr>
      <w:r>
        <w:rPr>
          <w:rFonts w:hint="eastAsia"/>
          <w:lang w:val="en-US" w:eastAsia="zh-CN"/>
        </w:rPr>
        <w:t>4、</w:t>
      </w:r>
      <w:r>
        <w:t>加强药品、医疗器械、化妆品事务监管</w:t>
      </w:r>
    </w:p>
    <w:p>
      <w:pPr>
        <w:pStyle w:val="24"/>
      </w:pPr>
      <w:r>
        <w:t>绩效目标：实现基本药物品种全覆盖抽验；规范药品采购、储存、销售、运输等环节，提高药品质量控制水平、从源头上保证药品质量；掌握化妆品安全状况、打击违法产品、保障化妆品质量安全。</w:t>
      </w:r>
    </w:p>
    <w:p>
      <w:pPr>
        <w:pStyle w:val="24"/>
      </w:pPr>
      <w:r>
        <w:t>绩效指标：药物中标单位资质准确率达到100%，对检出问题的产品依法核查处置率不低于95%，医疗器械及药品包装材料抽检计划完成率不低于95%，药品经营企业日常跟踪检查率不低于70%，对药品生产企业监督检查率不低于90%，化妆品不合格产品查处率达到100%。</w:t>
      </w:r>
    </w:p>
    <w:p>
      <w:pPr>
        <w:pStyle w:val="24"/>
      </w:pPr>
      <w:r>
        <w:rPr>
          <w:rFonts w:hint="eastAsia"/>
          <w:lang w:val="en-US" w:eastAsia="zh-CN"/>
        </w:rPr>
        <w:t>5、</w:t>
      </w:r>
      <w:r>
        <w:t>强化标准化、计量监督管理</w:t>
      </w:r>
    </w:p>
    <w:p>
      <w:pPr>
        <w:pStyle w:val="24"/>
      </w:pPr>
      <w:r>
        <w:t>绩效目标：强化标准化综合管理水平，推进农业、服务业标准化建设，促进民营经济健康快速发展，提升计量监管水平。</w:t>
      </w:r>
    </w:p>
    <w:p>
      <w:pPr>
        <w:pStyle w:val="24"/>
      </w:pPr>
      <w:r>
        <w:t>绩效指标：按计划完成标准化示范项目申报，数据库信息录入率不低于95%，处理计量举报案件办结率不低于95%。</w:t>
      </w:r>
    </w:p>
    <w:p>
      <w:pPr>
        <w:pStyle w:val="24"/>
      </w:pPr>
      <w:r>
        <w:rPr>
          <w:rFonts w:hint="eastAsia"/>
          <w:lang w:val="en-US" w:eastAsia="zh-CN"/>
        </w:rPr>
        <w:t>6、</w:t>
      </w:r>
      <w:r>
        <w:t>提高全区整体质量水平，建立质量诚信制度；提高特种设备监管水平</w:t>
      </w:r>
    </w:p>
    <w:p>
      <w:pPr>
        <w:pStyle w:val="24"/>
      </w:pPr>
      <w:r>
        <w:t>绩效目标：提高全区整体质量水平，建立质量诚信制度，促进企业诚信经营，激励企业提升质量管理和产品质量，督促企业落实产品质量责任，切实保护消费者合法权益。加大特种设备监管力度，提高特种设备安全运行水平，不发生重大安全事故</w:t>
      </w:r>
    </w:p>
    <w:p>
      <w:pPr>
        <w:pStyle w:val="24"/>
      </w:pPr>
      <w:r>
        <w:t>绩效指标：产品监督抽查批次不低于10次，特种设备使用单位现场检查率不低于95%，商品质量的抽检率不低于90%。</w:t>
      </w:r>
    </w:p>
    <w:p>
      <w:pPr>
        <w:pStyle w:val="24"/>
      </w:pPr>
      <w:r>
        <w:rPr>
          <w:rFonts w:hint="eastAsia"/>
          <w:lang w:val="en-US" w:eastAsia="zh-CN"/>
        </w:rPr>
        <w:t>7、</w:t>
      </w:r>
      <w:r>
        <w:t>提高机关事务管理水平</w:t>
      </w:r>
    </w:p>
    <w:p>
      <w:pPr>
        <w:pStyle w:val="24"/>
      </w:pPr>
      <w:r>
        <w:t>绩效目标：提高部门人员的业务能力、工作效率，提升保障能力及管理水平，完成各项工作任务。</w:t>
      </w:r>
    </w:p>
    <w:p>
      <w:pPr>
        <w:pStyle w:val="24"/>
      </w:pPr>
      <w:r>
        <w:t>绩效指标：信息平台建设达标率不低于95%，培训人员人次不少于50人次，办公场所、设备检修维护次数不少于6次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ind w:left="0" w:leftChars="0" w:firstLine="560" w:firstLineChars="200"/>
      </w:pPr>
      <w:r>
        <w:t>1、强化事中事后监管。完善以“双随机、一公开”监管为基本手段、重点监管为补充、信用监管为基础的新型监管机制。加大重点领域监管力度，集中开展反垄断、反不正当竞争、打击侵权假冒、整治虚假违法广告、打击传销等专项行动，加大劣质散煤管控和成品油市场整治力度，深入开展扫黑除恶专项斗争，切实维护社会稳定和良好市场秩序。</w:t>
      </w:r>
    </w:p>
    <w:p>
      <w:pPr>
        <w:pStyle w:val="25"/>
      </w:pPr>
      <w:r>
        <w:t>2、深入实施质量强市战略。认真落实区委区政府《关于开展质量提升行动加快质量强市建设的实施方案》，强化工作考核，完善质量奖惩制度，压实工作责任。深化质量提升专项行动，大力推广先进质量管理方法，培育质量标杆、典型。加强先进制造业、战略性新兴产业、现代农业、现代服务业、社会管理和公共服务业等标准，以及生态环保、安全生产类标准的制修订工作，建立和完善各领域标准体系。积极推动国家“百城千业万企”对标达标提升行动，抓好技术标准创新工作。做好标准化资助有关工作。加强标准的实施与推广，充分发挥标准化示范试点典型示范作用。加快完善适合我区经济和产业发展需要的计量科技服务体系，提升计量治理能力。深化质量管理体系认证，加强认证认可监管。</w:t>
      </w:r>
    </w:p>
    <w:p>
      <w:pPr>
        <w:pStyle w:val="25"/>
      </w:pPr>
      <w:r>
        <w:t>3、严格食品药品、特种设备和产品质量安全监管。深入开展食品、药品、特种设备、工业产品等十个方面风险隐患大排查大整治行动。持续推动“食药安全诚信河北”三年行动计划和食品药品安全工程，加强“四品一械”监管。加大特种设备安全监管力度。加强食品、药品、工业产品等质量抽检，有针对性地开展专项整治，严防市场监管领域重大安全事故发生。</w:t>
      </w:r>
    </w:p>
    <w:p>
      <w:pPr>
        <w:pStyle w:val="25"/>
      </w:pPr>
      <w:r>
        <w:t>4、创新消费维权机制。整合12315、12365、12331、12330、12358等投诉平台，畅通拓宽维权渠道，创新快速维权机制。加强消费者权益保护法律法规和3.15根据消费者日宣传，持续开展“放心消费”创建活动，推进消费环境社会共治。</w:t>
      </w:r>
    </w:p>
    <w:p>
      <w:pPr>
        <w:pStyle w:val="25"/>
      </w:pPr>
      <w:r>
        <w:t>5、提升科技支撑能力。加强信息化建设，整合网络、数据和应用系统，构建市场监管“一体化信息平台”，提升“智慧监管”能力。加强技术能力建设，完善与我区产业发展和区域定位相适应的标准、计量、认可、检验检测保障体系，提升基层业务素质水平。</w:t>
      </w:r>
    </w:p>
    <w:p>
      <w:pPr>
        <w:pStyle w:val="26"/>
        <w:spacing w:before="0" w:after="0" w:line="240" w:lineRule="auto"/>
        <w:ind w:firstLine="643" w:firstLineChars="20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pStyle w:val="26"/>
        <w:spacing w:before="0" w:after="0"/>
        <w:ind w:firstLine="560"/>
        <w:jc w:val="left"/>
        <w:outlineLvl w:val="9"/>
      </w:pPr>
      <w:r>
        <w:rPr>
          <w:rFonts w:ascii="方正仿宋_GBK" w:hAnsi="方正仿宋_GBK" w:eastAsia="方正仿宋_GBK" w:cs="方正仿宋_GBK"/>
          <w:b/>
          <w:color w:val="000000"/>
          <w:sz w:val="28"/>
        </w:rPr>
        <w:t>1、办公场所维修（护）及租赁经费绩效目标表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1.目标内容1对局机关和市场所的办公场所和设备进行维修（护）及公务舱租赁费共计24.11万元。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需要维修（护）的数量</w:t>
            </w:r>
          </w:p>
        </w:tc>
        <w:tc>
          <w:tcPr>
            <w:tcW w:w="2835" w:type="dxa"/>
            <w:vAlign w:val="center"/>
          </w:tcPr>
          <w:p>
            <w:pPr>
              <w:pStyle w:val="28"/>
            </w:pPr>
            <w:r>
              <w:t>需要维修（护）的数量</w:t>
            </w:r>
          </w:p>
        </w:tc>
        <w:tc>
          <w:tcPr>
            <w:tcW w:w="2551" w:type="dxa"/>
            <w:vAlign w:val="center"/>
          </w:tcPr>
          <w:p>
            <w:pPr>
              <w:pStyle w:val="28"/>
            </w:pPr>
            <w:r>
              <w:t>按需维修（护）</w:t>
            </w:r>
          </w:p>
        </w:tc>
        <w:tc>
          <w:tcPr>
            <w:tcW w:w="2268" w:type="dxa"/>
            <w:vAlign w:val="center"/>
          </w:tcPr>
          <w:p>
            <w:pPr>
              <w:pStyle w:val="28"/>
            </w:pPr>
            <w:r>
              <w:t>维修清单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完成率</w:t>
            </w:r>
          </w:p>
        </w:tc>
        <w:tc>
          <w:tcPr>
            <w:tcW w:w="2835" w:type="dxa"/>
            <w:vAlign w:val="center"/>
          </w:tcPr>
          <w:p>
            <w:pPr>
              <w:pStyle w:val="28"/>
            </w:pPr>
            <w:r>
              <w:t>维修（护）完成率</w:t>
            </w:r>
          </w:p>
        </w:tc>
        <w:tc>
          <w:tcPr>
            <w:tcW w:w="2551" w:type="dxa"/>
            <w:vAlign w:val="center"/>
          </w:tcPr>
          <w:p>
            <w:pPr>
              <w:pStyle w:val="28"/>
            </w:pPr>
            <w:r>
              <w:t>≥95%</w:t>
            </w:r>
          </w:p>
        </w:tc>
        <w:tc>
          <w:tcPr>
            <w:tcW w:w="2268" w:type="dxa"/>
            <w:vAlign w:val="center"/>
          </w:tcPr>
          <w:p>
            <w:pPr>
              <w:pStyle w:val="28"/>
            </w:pPr>
            <w:r>
              <w:t>维修清单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维修的及时性</w:t>
            </w:r>
          </w:p>
        </w:tc>
        <w:tc>
          <w:tcPr>
            <w:tcW w:w="2835" w:type="dxa"/>
            <w:vAlign w:val="center"/>
          </w:tcPr>
          <w:p>
            <w:pPr>
              <w:pStyle w:val="28"/>
            </w:pPr>
            <w:r>
              <w:t>及时、快速完成维修（护）</w:t>
            </w:r>
          </w:p>
        </w:tc>
        <w:tc>
          <w:tcPr>
            <w:tcW w:w="2551" w:type="dxa"/>
            <w:vAlign w:val="center"/>
          </w:tcPr>
          <w:p>
            <w:pPr>
              <w:pStyle w:val="28"/>
            </w:pPr>
            <w:r>
              <w:t>快速、及时</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维修（护）成本</w:t>
            </w:r>
          </w:p>
        </w:tc>
        <w:tc>
          <w:tcPr>
            <w:tcW w:w="2835" w:type="dxa"/>
            <w:vAlign w:val="center"/>
          </w:tcPr>
          <w:p>
            <w:pPr>
              <w:pStyle w:val="28"/>
            </w:pPr>
            <w:r>
              <w:t>维修（护）成本</w:t>
            </w:r>
          </w:p>
        </w:tc>
        <w:tc>
          <w:tcPr>
            <w:tcW w:w="2551" w:type="dxa"/>
            <w:vAlign w:val="center"/>
          </w:tcPr>
          <w:p>
            <w:pPr>
              <w:pStyle w:val="28"/>
            </w:pPr>
            <w:r>
              <w:t>报账票据</w:t>
            </w:r>
          </w:p>
        </w:tc>
        <w:tc>
          <w:tcPr>
            <w:tcW w:w="2268" w:type="dxa"/>
            <w:vAlign w:val="center"/>
          </w:tcPr>
          <w:p>
            <w:pPr>
              <w:pStyle w:val="28"/>
            </w:pPr>
            <w:r>
              <w:t>报账票据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按时完成率</w:t>
            </w:r>
          </w:p>
        </w:tc>
        <w:tc>
          <w:tcPr>
            <w:tcW w:w="2835" w:type="dxa"/>
            <w:vAlign w:val="center"/>
          </w:tcPr>
          <w:p>
            <w:pPr>
              <w:pStyle w:val="28"/>
            </w:pPr>
            <w:r>
              <w:t>按时完成率</w:t>
            </w:r>
          </w:p>
        </w:tc>
        <w:tc>
          <w:tcPr>
            <w:tcW w:w="2551" w:type="dxa"/>
            <w:vAlign w:val="center"/>
          </w:tcPr>
          <w:p>
            <w:pPr>
              <w:pStyle w:val="28"/>
            </w:pPr>
            <w:r>
              <w:t>≥97%</w:t>
            </w:r>
          </w:p>
        </w:tc>
        <w:tc>
          <w:tcPr>
            <w:tcW w:w="2268" w:type="dxa"/>
            <w:vAlign w:val="center"/>
          </w:tcPr>
          <w:p>
            <w:pPr>
              <w:pStyle w:val="28"/>
            </w:pPr>
            <w:r>
              <w:t>报销票据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机关工作正常运转</w:t>
            </w:r>
          </w:p>
        </w:tc>
        <w:tc>
          <w:tcPr>
            <w:tcW w:w="2835" w:type="dxa"/>
            <w:vAlign w:val="center"/>
          </w:tcPr>
          <w:p>
            <w:pPr>
              <w:pStyle w:val="28"/>
            </w:pPr>
            <w:r>
              <w:t>保障机关工作正常运转</w:t>
            </w:r>
          </w:p>
        </w:tc>
        <w:tc>
          <w:tcPr>
            <w:tcW w:w="2551" w:type="dxa"/>
            <w:vAlign w:val="center"/>
          </w:tcPr>
          <w:p>
            <w:pPr>
              <w:pStyle w:val="28"/>
            </w:pPr>
            <w:r>
              <w:t>100%</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生态效益指标</w:t>
            </w:r>
          </w:p>
        </w:tc>
        <w:tc>
          <w:tcPr>
            <w:tcW w:w="2835" w:type="dxa"/>
            <w:vAlign w:val="center"/>
          </w:tcPr>
          <w:p>
            <w:pPr>
              <w:pStyle w:val="28"/>
            </w:pPr>
            <w:r>
              <w:t>维修（护）质保期</w:t>
            </w:r>
          </w:p>
        </w:tc>
        <w:tc>
          <w:tcPr>
            <w:tcW w:w="2835" w:type="dxa"/>
            <w:vAlign w:val="center"/>
          </w:tcPr>
          <w:p>
            <w:pPr>
              <w:pStyle w:val="28"/>
            </w:pPr>
            <w:r>
              <w:t>维修（护）质保期</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持续发挥作用</w:t>
            </w:r>
          </w:p>
        </w:tc>
        <w:tc>
          <w:tcPr>
            <w:tcW w:w="2835" w:type="dxa"/>
            <w:vAlign w:val="center"/>
          </w:tcPr>
          <w:p>
            <w:pPr>
              <w:pStyle w:val="28"/>
            </w:pPr>
            <w:r>
              <w:t>持续发挥作用</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机关人员的满意度</w:t>
            </w:r>
          </w:p>
        </w:tc>
        <w:tc>
          <w:tcPr>
            <w:tcW w:w="2835" w:type="dxa"/>
            <w:vAlign w:val="center"/>
          </w:tcPr>
          <w:p>
            <w:pPr>
              <w:pStyle w:val="28"/>
            </w:pPr>
            <w:r>
              <w:t>机关人员的满意度</w:t>
            </w:r>
          </w:p>
        </w:tc>
        <w:tc>
          <w:tcPr>
            <w:tcW w:w="2551" w:type="dxa"/>
            <w:vAlign w:val="center"/>
          </w:tcPr>
          <w:p>
            <w:pPr>
              <w:pStyle w:val="28"/>
            </w:pPr>
            <w:r>
              <w:t>≥90%</w:t>
            </w:r>
          </w:p>
        </w:tc>
        <w:tc>
          <w:tcPr>
            <w:tcW w:w="2268" w:type="dxa"/>
            <w:vAlign w:val="center"/>
          </w:tcPr>
          <w:p>
            <w:pPr>
              <w:pStyle w:val="28"/>
            </w:pPr>
            <w:r>
              <w:t>问卷调查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2、办公设备购置及信息化建设运行维护费绩效目标表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1.目标内容1购置公务用车、检测设备、办公设备及缴纳网络运行费用共计45万元。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购置各种设备数量</w:t>
            </w:r>
          </w:p>
        </w:tc>
        <w:tc>
          <w:tcPr>
            <w:tcW w:w="2835" w:type="dxa"/>
            <w:vAlign w:val="center"/>
          </w:tcPr>
          <w:p>
            <w:pPr>
              <w:pStyle w:val="28"/>
            </w:pPr>
            <w:r>
              <w:t>购置各种设备数量占计划购置总数的比率</w:t>
            </w:r>
          </w:p>
        </w:tc>
        <w:tc>
          <w:tcPr>
            <w:tcW w:w="2551" w:type="dxa"/>
            <w:vAlign w:val="center"/>
          </w:tcPr>
          <w:p>
            <w:pPr>
              <w:pStyle w:val="28"/>
            </w:pPr>
            <w:r>
              <w:t>≥90%</w:t>
            </w:r>
          </w:p>
        </w:tc>
        <w:tc>
          <w:tcPr>
            <w:tcW w:w="2268" w:type="dxa"/>
            <w:vAlign w:val="center"/>
          </w:tcPr>
          <w:p>
            <w:pPr>
              <w:pStyle w:val="28"/>
            </w:pPr>
            <w:r>
              <w:t>购置票据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设备质量的合格率</w:t>
            </w:r>
          </w:p>
        </w:tc>
        <w:tc>
          <w:tcPr>
            <w:tcW w:w="2835" w:type="dxa"/>
            <w:vAlign w:val="center"/>
          </w:tcPr>
          <w:p>
            <w:pPr>
              <w:pStyle w:val="28"/>
            </w:pPr>
            <w:r>
              <w:t>设备质量的合格数量占购置总数的比率</w:t>
            </w:r>
          </w:p>
        </w:tc>
        <w:tc>
          <w:tcPr>
            <w:tcW w:w="2551" w:type="dxa"/>
            <w:vAlign w:val="center"/>
          </w:tcPr>
          <w:p>
            <w:pPr>
              <w:pStyle w:val="28"/>
            </w:pPr>
            <w:r>
              <w:t>≥100%</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购置的及时性</w:t>
            </w:r>
          </w:p>
        </w:tc>
        <w:tc>
          <w:tcPr>
            <w:tcW w:w="2835" w:type="dxa"/>
            <w:vAlign w:val="center"/>
          </w:tcPr>
          <w:p>
            <w:pPr>
              <w:pStyle w:val="28"/>
            </w:pPr>
            <w:r>
              <w:t>及时购置各项设备</w:t>
            </w:r>
          </w:p>
        </w:tc>
        <w:tc>
          <w:tcPr>
            <w:tcW w:w="2551" w:type="dxa"/>
            <w:vAlign w:val="center"/>
          </w:tcPr>
          <w:p>
            <w:pPr>
              <w:pStyle w:val="28"/>
            </w:pPr>
            <w:r>
              <w:t>及时、快速</w:t>
            </w:r>
          </w:p>
        </w:tc>
        <w:tc>
          <w:tcPr>
            <w:tcW w:w="2268" w:type="dxa"/>
            <w:vAlign w:val="center"/>
          </w:tcPr>
          <w:p>
            <w:pPr>
              <w:pStyle w:val="28"/>
            </w:pPr>
            <w:r>
              <w:t>购置票据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购置设备的标准</w:t>
            </w:r>
          </w:p>
        </w:tc>
        <w:tc>
          <w:tcPr>
            <w:tcW w:w="2835" w:type="dxa"/>
            <w:vAlign w:val="center"/>
          </w:tcPr>
          <w:p>
            <w:pPr>
              <w:pStyle w:val="28"/>
            </w:pPr>
            <w:r>
              <w:t>购置设备的标准</w:t>
            </w:r>
          </w:p>
        </w:tc>
        <w:tc>
          <w:tcPr>
            <w:tcW w:w="2551" w:type="dxa"/>
            <w:vAlign w:val="center"/>
          </w:tcPr>
          <w:p>
            <w:pPr>
              <w:pStyle w:val="28"/>
            </w:pPr>
            <w:r>
              <w:t>文件规定</w:t>
            </w:r>
          </w:p>
        </w:tc>
        <w:tc>
          <w:tcPr>
            <w:tcW w:w="2268" w:type="dxa"/>
            <w:vAlign w:val="center"/>
          </w:tcPr>
          <w:p>
            <w:pPr>
              <w:pStyle w:val="28"/>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工作正常运转完成率</w:t>
            </w:r>
          </w:p>
        </w:tc>
        <w:tc>
          <w:tcPr>
            <w:tcW w:w="2835" w:type="dxa"/>
            <w:vAlign w:val="center"/>
          </w:tcPr>
          <w:p>
            <w:pPr>
              <w:pStyle w:val="28"/>
            </w:pPr>
            <w:r>
              <w:t>确保工作正常运转</w:t>
            </w:r>
          </w:p>
        </w:tc>
        <w:tc>
          <w:tcPr>
            <w:tcW w:w="2551" w:type="dxa"/>
            <w:vAlign w:val="center"/>
          </w:tcPr>
          <w:p>
            <w:pPr>
              <w:pStyle w:val="28"/>
            </w:pPr>
            <w:r>
              <w:t>100%</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工作质量保障</w:t>
            </w:r>
          </w:p>
        </w:tc>
        <w:tc>
          <w:tcPr>
            <w:tcW w:w="2835" w:type="dxa"/>
            <w:vAlign w:val="center"/>
          </w:tcPr>
          <w:p>
            <w:pPr>
              <w:pStyle w:val="28"/>
            </w:pPr>
            <w:r>
              <w:t>各项工作有序开展保障率</w:t>
            </w:r>
          </w:p>
        </w:tc>
        <w:tc>
          <w:tcPr>
            <w:tcW w:w="2551" w:type="dxa"/>
            <w:vAlign w:val="center"/>
          </w:tcPr>
          <w:p>
            <w:pPr>
              <w:pStyle w:val="28"/>
            </w:pPr>
            <w:r>
              <w:t>100%</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生态效益指标</w:t>
            </w:r>
          </w:p>
        </w:tc>
        <w:tc>
          <w:tcPr>
            <w:tcW w:w="2835" w:type="dxa"/>
            <w:vAlign w:val="center"/>
          </w:tcPr>
          <w:p>
            <w:pPr>
              <w:pStyle w:val="28"/>
            </w:pPr>
            <w:r>
              <w:t>使用年限</w:t>
            </w:r>
          </w:p>
        </w:tc>
        <w:tc>
          <w:tcPr>
            <w:tcW w:w="2835" w:type="dxa"/>
            <w:vAlign w:val="center"/>
          </w:tcPr>
          <w:p>
            <w:pPr>
              <w:pStyle w:val="28"/>
            </w:pPr>
            <w:r>
              <w:t>设备使用年限</w:t>
            </w:r>
          </w:p>
        </w:tc>
        <w:tc>
          <w:tcPr>
            <w:tcW w:w="2551" w:type="dxa"/>
            <w:vAlign w:val="center"/>
          </w:tcPr>
          <w:p>
            <w:pPr>
              <w:pStyle w:val="28"/>
            </w:pPr>
            <w:r>
              <w:t>文件规定</w:t>
            </w:r>
          </w:p>
        </w:tc>
        <w:tc>
          <w:tcPr>
            <w:tcW w:w="2268" w:type="dxa"/>
            <w:vAlign w:val="center"/>
          </w:tcPr>
          <w:p>
            <w:pPr>
              <w:pStyle w:val="28"/>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长期使用性</w:t>
            </w:r>
          </w:p>
        </w:tc>
        <w:tc>
          <w:tcPr>
            <w:tcW w:w="2835" w:type="dxa"/>
            <w:vAlign w:val="center"/>
          </w:tcPr>
          <w:p>
            <w:pPr>
              <w:pStyle w:val="28"/>
            </w:pPr>
            <w:r>
              <w:t>设备的长期使用</w:t>
            </w:r>
          </w:p>
        </w:tc>
        <w:tc>
          <w:tcPr>
            <w:tcW w:w="2551" w:type="dxa"/>
            <w:vAlign w:val="center"/>
          </w:tcPr>
          <w:p>
            <w:pPr>
              <w:pStyle w:val="28"/>
            </w:pPr>
            <w:r>
              <w:t>文件规定</w:t>
            </w:r>
          </w:p>
        </w:tc>
        <w:tc>
          <w:tcPr>
            <w:tcW w:w="2268" w:type="dxa"/>
            <w:vAlign w:val="center"/>
          </w:tcPr>
          <w:p>
            <w:pPr>
              <w:pStyle w:val="28"/>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使用人员的满意度</w:t>
            </w:r>
          </w:p>
        </w:tc>
        <w:tc>
          <w:tcPr>
            <w:tcW w:w="2835" w:type="dxa"/>
            <w:vAlign w:val="center"/>
          </w:tcPr>
          <w:p>
            <w:pPr>
              <w:pStyle w:val="28"/>
            </w:pPr>
            <w:r>
              <w:t>使用设备人员的满意度</w:t>
            </w:r>
          </w:p>
        </w:tc>
        <w:tc>
          <w:tcPr>
            <w:tcW w:w="2551" w:type="dxa"/>
            <w:vAlign w:val="center"/>
          </w:tcPr>
          <w:p>
            <w:pPr>
              <w:pStyle w:val="28"/>
            </w:pPr>
            <w:r>
              <w:t>≥90%</w:t>
            </w:r>
          </w:p>
        </w:tc>
        <w:tc>
          <w:tcPr>
            <w:tcW w:w="2268" w:type="dxa"/>
            <w:vAlign w:val="center"/>
          </w:tcPr>
          <w:p>
            <w:pPr>
              <w:pStyle w:val="28"/>
            </w:pPr>
            <w:r>
              <w:t>问卷调查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3、商品质量检测、标准计量及监管经费绩效目标表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1.培育品牌，提升产品质量，提高全区标准管理水平，规范市场秩序，营造良好营商环境。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质量、标准、计量宣传次数</w:t>
            </w:r>
          </w:p>
        </w:tc>
        <w:tc>
          <w:tcPr>
            <w:tcW w:w="2835" w:type="dxa"/>
            <w:vAlign w:val="center"/>
          </w:tcPr>
          <w:p>
            <w:pPr>
              <w:pStyle w:val="28"/>
            </w:pPr>
            <w:r>
              <w:t>反映质量、标准、计量宣传力度</w:t>
            </w:r>
          </w:p>
        </w:tc>
        <w:tc>
          <w:tcPr>
            <w:tcW w:w="2551" w:type="dxa"/>
            <w:vAlign w:val="center"/>
          </w:tcPr>
          <w:p>
            <w:pPr>
              <w:pStyle w:val="28"/>
            </w:pPr>
            <w:r>
              <w:t>≥4次</w:t>
            </w:r>
          </w:p>
        </w:tc>
        <w:tc>
          <w:tcPr>
            <w:tcW w:w="2268" w:type="dxa"/>
            <w:vAlign w:val="center"/>
          </w:tcPr>
          <w:p>
            <w:pPr>
              <w:pStyle w:val="28"/>
            </w:pPr>
            <w:r>
              <w:t>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处理违法企业数量占查办违法企业数量的比率</w:t>
            </w:r>
          </w:p>
        </w:tc>
        <w:tc>
          <w:tcPr>
            <w:tcW w:w="2835" w:type="dxa"/>
            <w:vAlign w:val="center"/>
          </w:tcPr>
          <w:p>
            <w:pPr>
              <w:pStyle w:val="28"/>
            </w:pPr>
            <w:r>
              <w:t>处理违法企业数量占查办违法企业数量的比率</w:t>
            </w:r>
          </w:p>
        </w:tc>
        <w:tc>
          <w:tcPr>
            <w:tcW w:w="2551" w:type="dxa"/>
            <w:vAlign w:val="center"/>
          </w:tcPr>
          <w:p>
            <w:pPr>
              <w:pStyle w:val="28"/>
            </w:pPr>
            <w:r>
              <w:t>100%</w:t>
            </w:r>
          </w:p>
        </w:tc>
        <w:tc>
          <w:tcPr>
            <w:tcW w:w="2268" w:type="dxa"/>
            <w:vAlign w:val="center"/>
          </w:tcPr>
          <w:p>
            <w:pPr>
              <w:pStyle w:val="28"/>
            </w:pPr>
            <w:r>
              <w:t>实际案卷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群众投诉举报处理及时率（100%）</w:t>
            </w:r>
          </w:p>
        </w:tc>
        <w:tc>
          <w:tcPr>
            <w:tcW w:w="2835" w:type="dxa"/>
            <w:vAlign w:val="center"/>
          </w:tcPr>
          <w:p>
            <w:pPr>
              <w:pStyle w:val="28"/>
            </w:pPr>
            <w:r>
              <w:t>投诉举报案件处理完成数量占总投诉举报数量的比例</w:t>
            </w:r>
          </w:p>
        </w:tc>
        <w:tc>
          <w:tcPr>
            <w:tcW w:w="2551" w:type="dxa"/>
            <w:vAlign w:val="center"/>
          </w:tcPr>
          <w:p>
            <w:pPr>
              <w:pStyle w:val="28"/>
            </w:pPr>
            <w:r>
              <w:t>100%</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执法规范率</w:t>
            </w:r>
          </w:p>
        </w:tc>
        <w:tc>
          <w:tcPr>
            <w:tcW w:w="2835" w:type="dxa"/>
            <w:vAlign w:val="center"/>
          </w:tcPr>
          <w:p>
            <w:pPr>
              <w:pStyle w:val="28"/>
            </w:pPr>
            <w:r>
              <w:t>执法符合法定程序</w:t>
            </w:r>
          </w:p>
        </w:tc>
        <w:tc>
          <w:tcPr>
            <w:tcW w:w="2551" w:type="dxa"/>
            <w:vAlign w:val="center"/>
          </w:tcPr>
          <w:p>
            <w:pPr>
              <w:pStyle w:val="28"/>
            </w:pPr>
            <w:r>
              <w:t>≥95%</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商品质量提升水平</w:t>
            </w:r>
          </w:p>
        </w:tc>
        <w:tc>
          <w:tcPr>
            <w:tcW w:w="2835" w:type="dxa"/>
            <w:vAlign w:val="center"/>
          </w:tcPr>
          <w:p>
            <w:pPr>
              <w:pStyle w:val="28"/>
            </w:pPr>
            <w:r>
              <w:t>商品质量提升水平</w:t>
            </w:r>
          </w:p>
        </w:tc>
        <w:tc>
          <w:tcPr>
            <w:tcW w:w="2551" w:type="dxa"/>
            <w:vAlign w:val="center"/>
          </w:tcPr>
          <w:p>
            <w:pPr>
              <w:pStyle w:val="28"/>
            </w:pPr>
            <w:r>
              <w:t>逐步提升</w:t>
            </w:r>
          </w:p>
        </w:tc>
        <w:tc>
          <w:tcPr>
            <w:tcW w:w="2268" w:type="dxa"/>
            <w:vAlign w:val="center"/>
          </w:tcPr>
          <w:p>
            <w:pPr>
              <w:pStyle w:val="28"/>
            </w:pPr>
            <w:r>
              <w:t>实际调研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企业满意度</w:t>
            </w:r>
          </w:p>
        </w:tc>
        <w:tc>
          <w:tcPr>
            <w:tcW w:w="2835" w:type="dxa"/>
            <w:vAlign w:val="center"/>
          </w:tcPr>
          <w:p>
            <w:pPr>
              <w:pStyle w:val="28"/>
            </w:pPr>
            <w:r>
              <w:t>企业满意度</w:t>
            </w:r>
          </w:p>
        </w:tc>
        <w:tc>
          <w:tcPr>
            <w:tcW w:w="2551" w:type="dxa"/>
            <w:vAlign w:val="center"/>
          </w:tcPr>
          <w:p>
            <w:pPr>
              <w:pStyle w:val="28"/>
            </w:pPr>
            <w:r>
              <w:t>≥95%</w:t>
            </w:r>
          </w:p>
        </w:tc>
        <w:tc>
          <w:tcPr>
            <w:tcW w:w="2268" w:type="dxa"/>
            <w:vAlign w:val="center"/>
          </w:tcPr>
          <w:p>
            <w:pPr>
              <w:pStyle w:val="28"/>
            </w:pPr>
            <w:r>
              <w:t>问卷调查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4、石财行[2021]53号关于提前下达2022年商标奖励资金的通知绩效目标表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1.目标内容1在马德里国际注册国际商标注册运用上，围绕“一带一路”建设，着力提升全区自主品牌的核心竞争力和社会影响力，助推藁城制造走出国门，服务全区经济社会高质量发展大局。</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新增马德里国际注册商标</w:t>
            </w:r>
          </w:p>
        </w:tc>
        <w:tc>
          <w:tcPr>
            <w:tcW w:w="2835" w:type="dxa"/>
            <w:vAlign w:val="center"/>
          </w:tcPr>
          <w:p>
            <w:pPr>
              <w:pStyle w:val="28"/>
            </w:pPr>
            <w:r>
              <w:t>新取得马德里国际商标注册成功数量</w:t>
            </w:r>
          </w:p>
        </w:tc>
        <w:tc>
          <w:tcPr>
            <w:tcW w:w="2551" w:type="dxa"/>
            <w:vAlign w:val="center"/>
          </w:tcPr>
          <w:p>
            <w:pPr>
              <w:pStyle w:val="28"/>
            </w:pPr>
            <w:r>
              <w:t>≥20件</w:t>
            </w:r>
          </w:p>
        </w:tc>
        <w:tc>
          <w:tcPr>
            <w:tcW w:w="2268" w:type="dxa"/>
            <w:vAlign w:val="center"/>
          </w:tcPr>
          <w:p>
            <w:pPr>
              <w:pStyle w:val="28"/>
            </w:pPr>
            <w:r>
              <w:t>市委、市政府《关于大力发展民营经济的实施意见》（石发【2018】19号）、《关于支持民营经济高质量发展的政策措施》（石发【2018】29号）文件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知识产权海外风险预警</w:t>
            </w:r>
          </w:p>
        </w:tc>
        <w:tc>
          <w:tcPr>
            <w:tcW w:w="2835" w:type="dxa"/>
            <w:vAlign w:val="center"/>
          </w:tcPr>
          <w:p>
            <w:pPr>
              <w:pStyle w:val="28"/>
            </w:pPr>
            <w:r>
              <w:t>反映我区建立知识产权海外预警机制</w:t>
            </w:r>
          </w:p>
        </w:tc>
        <w:tc>
          <w:tcPr>
            <w:tcW w:w="2551" w:type="dxa"/>
            <w:vAlign w:val="center"/>
          </w:tcPr>
          <w:p>
            <w:pPr>
              <w:pStyle w:val="28"/>
            </w:pPr>
            <w:r>
              <w:t>家</w:t>
            </w:r>
          </w:p>
        </w:tc>
        <w:tc>
          <w:tcPr>
            <w:tcW w:w="2268" w:type="dxa"/>
            <w:vAlign w:val="center"/>
          </w:tcPr>
          <w:p>
            <w:pPr>
              <w:pStyle w:val="28"/>
            </w:pPr>
            <w:r>
              <w:t>市委、市政府《关于大力发展民营经济的实施意见》（石发【2018】19号）、《关于支持民营经济高质量发展的政策措施》（石发【2018】29号）文件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及时性</w:t>
            </w:r>
          </w:p>
        </w:tc>
        <w:tc>
          <w:tcPr>
            <w:tcW w:w="2835" w:type="dxa"/>
            <w:vAlign w:val="center"/>
          </w:tcPr>
          <w:p>
            <w:pPr>
              <w:pStyle w:val="28"/>
            </w:pPr>
            <w:r>
              <w:t>及时补贴到企业</w:t>
            </w:r>
          </w:p>
        </w:tc>
        <w:tc>
          <w:tcPr>
            <w:tcW w:w="2551" w:type="dxa"/>
            <w:vAlign w:val="center"/>
          </w:tcPr>
          <w:p>
            <w:pPr>
              <w:pStyle w:val="28"/>
            </w:pPr>
            <w:r>
              <w:t>资金及时发放到企业</w:t>
            </w:r>
          </w:p>
        </w:tc>
        <w:tc>
          <w:tcPr>
            <w:tcW w:w="2268" w:type="dxa"/>
            <w:vAlign w:val="center"/>
          </w:tcPr>
          <w:p>
            <w:pPr>
              <w:pStyle w:val="28"/>
            </w:pPr>
            <w:r>
              <w:t>市委、市政府《关于大力发展民营经济的实施意见》（石发【2018】19号）、《关于支持民营经济高质量发展的政策措施》（石发【2018】29号）文件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补贴金额</w:t>
            </w:r>
          </w:p>
        </w:tc>
        <w:tc>
          <w:tcPr>
            <w:tcW w:w="2835" w:type="dxa"/>
            <w:vAlign w:val="center"/>
          </w:tcPr>
          <w:p>
            <w:pPr>
              <w:pStyle w:val="28"/>
            </w:pPr>
            <w:r>
              <w:t>补贴金额</w:t>
            </w:r>
          </w:p>
        </w:tc>
        <w:tc>
          <w:tcPr>
            <w:tcW w:w="2551" w:type="dxa"/>
            <w:vAlign w:val="center"/>
          </w:tcPr>
          <w:p>
            <w:pPr>
              <w:pStyle w:val="28"/>
            </w:pPr>
            <w:r>
              <w:t>200万元</w:t>
            </w:r>
          </w:p>
        </w:tc>
        <w:tc>
          <w:tcPr>
            <w:tcW w:w="2268" w:type="dxa"/>
            <w:vAlign w:val="center"/>
          </w:tcPr>
          <w:p>
            <w:pPr>
              <w:pStyle w:val="28"/>
            </w:pPr>
            <w:r>
              <w:t>市委、市政府《关于大力发展民营经济的实施意见》（石发【2018】19号）、《关于支持民营经济高质量发展的政策措施》（石发【2018】29号）文件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提高知识产权意识，保护企业海外权益</w:t>
            </w:r>
          </w:p>
        </w:tc>
        <w:tc>
          <w:tcPr>
            <w:tcW w:w="2835" w:type="dxa"/>
            <w:vAlign w:val="center"/>
          </w:tcPr>
          <w:p>
            <w:pPr>
              <w:pStyle w:val="28"/>
            </w:pPr>
            <w:r>
              <w:t>鼓励企业进行海外布局</w:t>
            </w:r>
          </w:p>
        </w:tc>
        <w:tc>
          <w:tcPr>
            <w:tcW w:w="2551" w:type="dxa"/>
            <w:vAlign w:val="center"/>
          </w:tcPr>
          <w:p>
            <w:pPr>
              <w:pStyle w:val="28"/>
            </w:pPr>
            <w:r>
              <w:t>提高</w:t>
            </w:r>
          </w:p>
        </w:tc>
        <w:tc>
          <w:tcPr>
            <w:tcW w:w="2268" w:type="dxa"/>
            <w:vAlign w:val="center"/>
          </w:tcPr>
          <w:p>
            <w:pPr>
              <w:pStyle w:val="28"/>
            </w:pPr>
            <w:r>
              <w:t>石家庄市人民政府办公室关于印发《关于加快推进全市知名品牌培育工程的实施意见》的通知（石政办函【2018】7号）文件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培育对象满意度</w:t>
            </w:r>
          </w:p>
        </w:tc>
        <w:tc>
          <w:tcPr>
            <w:tcW w:w="2835" w:type="dxa"/>
            <w:vAlign w:val="center"/>
          </w:tcPr>
          <w:p>
            <w:pPr>
              <w:pStyle w:val="28"/>
            </w:pPr>
            <w:r>
              <w:t>通过问卷，满意的培育对象占所有调查对象的比例</w:t>
            </w:r>
          </w:p>
        </w:tc>
        <w:tc>
          <w:tcPr>
            <w:tcW w:w="2551" w:type="dxa"/>
            <w:vAlign w:val="center"/>
          </w:tcPr>
          <w:p>
            <w:pPr>
              <w:pStyle w:val="28"/>
            </w:pPr>
            <w:r>
              <w:t>≥90%</w:t>
            </w:r>
          </w:p>
        </w:tc>
        <w:tc>
          <w:tcPr>
            <w:tcW w:w="2268" w:type="dxa"/>
            <w:vAlign w:val="center"/>
          </w:tcPr>
          <w:p>
            <w:pPr>
              <w:pStyle w:val="28"/>
            </w:pPr>
            <w:r>
              <w:t>社会反映信息</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5、石财行[2021]58号关于提前下达2022年度中央工商行政管理专项补助经费的通知绩效目标表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1.目标内容1保障市场监管工作发展，进一步提高工作效率，提升服务质量。</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工作按时完成率</w:t>
            </w:r>
          </w:p>
        </w:tc>
        <w:tc>
          <w:tcPr>
            <w:tcW w:w="2835" w:type="dxa"/>
            <w:vAlign w:val="center"/>
          </w:tcPr>
          <w:p>
            <w:pPr>
              <w:pStyle w:val="28"/>
            </w:pPr>
            <w:r>
              <w:t>按时完成工作数量</w:t>
            </w:r>
          </w:p>
        </w:tc>
        <w:tc>
          <w:tcPr>
            <w:tcW w:w="2551" w:type="dxa"/>
            <w:vAlign w:val="center"/>
          </w:tcPr>
          <w:p>
            <w:pPr>
              <w:pStyle w:val="28"/>
            </w:pPr>
            <w:r>
              <w:t>≥95%</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工作质量</w:t>
            </w:r>
          </w:p>
        </w:tc>
        <w:tc>
          <w:tcPr>
            <w:tcW w:w="2835" w:type="dxa"/>
            <w:vAlign w:val="center"/>
          </w:tcPr>
          <w:p>
            <w:pPr>
              <w:pStyle w:val="28"/>
            </w:pPr>
            <w:r>
              <w:t>工作合格完成情况</w:t>
            </w:r>
          </w:p>
        </w:tc>
        <w:tc>
          <w:tcPr>
            <w:tcW w:w="2551" w:type="dxa"/>
            <w:vAlign w:val="center"/>
          </w:tcPr>
          <w:p>
            <w:pPr>
              <w:pStyle w:val="28"/>
            </w:pPr>
            <w:r>
              <w:t>≥98%</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完成率</w:t>
            </w:r>
          </w:p>
        </w:tc>
        <w:tc>
          <w:tcPr>
            <w:tcW w:w="2835" w:type="dxa"/>
            <w:vAlign w:val="center"/>
          </w:tcPr>
          <w:p>
            <w:pPr>
              <w:pStyle w:val="28"/>
            </w:pPr>
            <w:r>
              <w:t>按照要求和计划完成任务的项目在所有立项中的比例（百分比）</w:t>
            </w:r>
          </w:p>
        </w:tc>
        <w:tc>
          <w:tcPr>
            <w:tcW w:w="2551" w:type="dxa"/>
            <w:vAlign w:val="center"/>
          </w:tcPr>
          <w:p>
            <w:pPr>
              <w:pStyle w:val="28"/>
            </w:pPr>
            <w:r>
              <w:t>≥98%</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年初预算</w:t>
            </w:r>
          </w:p>
        </w:tc>
        <w:tc>
          <w:tcPr>
            <w:tcW w:w="2835" w:type="dxa"/>
            <w:vAlign w:val="center"/>
          </w:tcPr>
          <w:p>
            <w:pPr>
              <w:pStyle w:val="28"/>
            </w:pPr>
            <w:r>
              <w:t>年初预算</w:t>
            </w:r>
          </w:p>
        </w:tc>
        <w:tc>
          <w:tcPr>
            <w:tcW w:w="2551" w:type="dxa"/>
            <w:vAlign w:val="center"/>
          </w:tcPr>
          <w:p>
            <w:pPr>
              <w:pStyle w:val="28"/>
            </w:pPr>
            <w:r>
              <w:t>年初预算</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长期使用性</w:t>
            </w:r>
          </w:p>
        </w:tc>
        <w:tc>
          <w:tcPr>
            <w:tcW w:w="2835" w:type="dxa"/>
            <w:vAlign w:val="center"/>
          </w:tcPr>
          <w:p>
            <w:pPr>
              <w:pStyle w:val="28"/>
            </w:pPr>
            <w:r>
              <w:t>能够长期较好地发展，长期满足使用单位职工及人民群众的需求</w:t>
            </w:r>
          </w:p>
        </w:tc>
        <w:tc>
          <w:tcPr>
            <w:tcW w:w="2551" w:type="dxa"/>
            <w:vAlign w:val="center"/>
          </w:tcPr>
          <w:p>
            <w:pPr>
              <w:pStyle w:val="28"/>
            </w:pPr>
            <w:r>
              <w:t>≥95%</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≥95%</w:t>
            </w:r>
          </w:p>
        </w:tc>
        <w:tc>
          <w:tcPr>
            <w:tcW w:w="2268" w:type="dxa"/>
            <w:vAlign w:val="center"/>
          </w:tcPr>
          <w:p>
            <w:pPr>
              <w:pStyle w:val="28"/>
            </w:pPr>
            <w:r>
              <w:t>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6、石财行[2021]64号关于提前下达2022年市场监管专项补助资金的通知绩效目标表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1.目标内容1持续推进商事制度改革力度，优化营商环境，促进市场主体健康发展。开展专项整治行动，净化市场环境。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市场专项整治行动次数</w:t>
            </w:r>
          </w:p>
        </w:tc>
        <w:tc>
          <w:tcPr>
            <w:tcW w:w="2835" w:type="dxa"/>
            <w:vAlign w:val="center"/>
          </w:tcPr>
          <w:p>
            <w:pPr>
              <w:pStyle w:val="28"/>
            </w:pPr>
            <w:r>
              <w:t>市场专项整治行动次数</w:t>
            </w:r>
          </w:p>
        </w:tc>
        <w:tc>
          <w:tcPr>
            <w:tcW w:w="2551" w:type="dxa"/>
            <w:vAlign w:val="center"/>
          </w:tcPr>
          <w:p>
            <w:pPr>
              <w:pStyle w:val="28"/>
            </w:pPr>
            <w:r>
              <w:t>≥1次</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监管执法计划完成率</w:t>
            </w:r>
          </w:p>
        </w:tc>
        <w:tc>
          <w:tcPr>
            <w:tcW w:w="2835" w:type="dxa"/>
            <w:vAlign w:val="center"/>
          </w:tcPr>
          <w:p>
            <w:pPr>
              <w:pStyle w:val="28"/>
            </w:pPr>
            <w:r>
              <w:t>监管执法计划完成率</w:t>
            </w:r>
          </w:p>
        </w:tc>
        <w:tc>
          <w:tcPr>
            <w:tcW w:w="2551" w:type="dxa"/>
            <w:vAlign w:val="center"/>
          </w:tcPr>
          <w:p>
            <w:pPr>
              <w:pStyle w:val="28"/>
            </w:pPr>
            <w:r>
              <w:t>≥90%</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特种设备定检完成率</w:t>
            </w:r>
          </w:p>
        </w:tc>
        <w:tc>
          <w:tcPr>
            <w:tcW w:w="2835" w:type="dxa"/>
            <w:vAlign w:val="center"/>
          </w:tcPr>
          <w:p>
            <w:pPr>
              <w:pStyle w:val="28"/>
            </w:pPr>
            <w:r>
              <w:t>特种设备定检完成率</w:t>
            </w:r>
          </w:p>
        </w:tc>
        <w:tc>
          <w:tcPr>
            <w:tcW w:w="2551" w:type="dxa"/>
            <w:vAlign w:val="center"/>
          </w:tcPr>
          <w:p>
            <w:pPr>
              <w:pStyle w:val="28"/>
            </w:pPr>
            <w:r>
              <w:t>≥95%</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完成时限</w:t>
            </w:r>
          </w:p>
        </w:tc>
        <w:tc>
          <w:tcPr>
            <w:tcW w:w="2835" w:type="dxa"/>
            <w:vAlign w:val="center"/>
          </w:tcPr>
          <w:p>
            <w:pPr>
              <w:pStyle w:val="28"/>
            </w:pPr>
            <w:r>
              <w:t>2022年底</w:t>
            </w:r>
          </w:p>
        </w:tc>
        <w:tc>
          <w:tcPr>
            <w:tcW w:w="2551" w:type="dxa"/>
            <w:vAlign w:val="center"/>
          </w:tcPr>
          <w:p>
            <w:pPr>
              <w:pStyle w:val="28"/>
            </w:pPr>
            <w:r>
              <w:t>2022年底完成</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w:t>
            </w:r>
          </w:p>
        </w:tc>
        <w:tc>
          <w:tcPr>
            <w:tcW w:w="2835" w:type="dxa"/>
            <w:vAlign w:val="center"/>
          </w:tcPr>
          <w:p>
            <w:pPr>
              <w:pStyle w:val="28"/>
            </w:pPr>
            <w:r>
              <w:t>年初预算</w:t>
            </w:r>
          </w:p>
        </w:tc>
        <w:tc>
          <w:tcPr>
            <w:tcW w:w="2551" w:type="dxa"/>
            <w:vAlign w:val="center"/>
          </w:tcPr>
          <w:p>
            <w:pPr>
              <w:pStyle w:val="28"/>
            </w:pPr>
            <w:r>
              <w:t>年初预算</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万台特种设备死亡率</w:t>
            </w:r>
          </w:p>
        </w:tc>
        <w:tc>
          <w:tcPr>
            <w:tcW w:w="2835" w:type="dxa"/>
            <w:vAlign w:val="center"/>
          </w:tcPr>
          <w:p>
            <w:pPr>
              <w:pStyle w:val="28"/>
            </w:pPr>
            <w:r>
              <w:t>万台特种设备死亡率</w:t>
            </w:r>
          </w:p>
        </w:tc>
        <w:tc>
          <w:tcPr>
            <w:tcW w:w="2551" w:type="dxa"/>
            <w:vAlign w:val="center"/>
          </w:tcPr>
          <w:p>
            <w:pPr>
              <w:pStyle w:val="28"/>
            </w:pPr>
            <w:r>
              <w:t>≤0.36%</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重大案件发生次数</w:t>
            </w:r>
          </w:p>
        </w:tc>
        <w:tc>
          <w:tcPr>
            <w:tcW w:w="2835" w:type="dxa"/>
            <w:vAlign w:val="center"/>
          </w:tcPr>
          <w:p>
            <w:pPr>
              <w:pStyle w:val="28"/>
            </w:pPr>
            <w:r>
              <w:t>重大案件发生次数</w:t>
            </w:r>
          </w:p>
        </w:tc>
        <w:tc>
          <w:tcPr>
            <w:tcW w:w="2551" w:type="dxa"/>
            <w:vAlign w:val="center"/>
          </w:tcPr>
          <w:p>
            <w:pPr>
              <w:pStyle w:val="28"/>
            </w:pPr>
            <w:r>
              <w:t>≤1次</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社会反馈意见对市场监管工作满意度</w:t>
            </w:r>
          </w:p>
        </w:tc>
        <w:tc>
          <w:tcPr>
            <w:tcW w:w="2835" w:type="dxa"/>
            <w:vAlign w:val="center"/>
          </w:tcPr>
          <w:p>
            <w:pPr>
              <w:pStyle w:val="28"/>
            </w:pPr>
            <w:r>
              <w:t>社会反馈意见对市场监管工作满意度</w:t>
            </w:r>
          </w:p>
        </w:tc>
        <w:tc>
          <w:tcPr>
            <w:tcW w:w="2551" w:type="dxa"/>
            <w:vAlign w:val="center"/>
          </w:tcPr>
          <w:p>
            <w:pPr>
              <w:pStyle w:val="28"/>
            </w:pPr>
            <w:r>
              <w:t>≥85%</w:t>
            </w:r>
          </w:p>
        </w:tc>
        <w:tc>
          <w:tcPr>
            <w:tcW w:w="2268" w:type="dxa"/>
            <w:vAlign w:val="center"/>
          </w:tcPr>
          <w:p>
            <w:pPr>
              <w:pStyle w:val="28"/>
            </w:pPr>
            <w:r>
              <w:t>问卷调查表</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7、食品、食用农产品抽检经费绩效目标表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1.目标内容1对通过对食品生产、流通、餐饮以及食用农产品进行抽检，确保人民群众“舌尖上的安全，需资金200万元。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食品、农产品抽检批次</w:t>
            </w:r>
          </w:p>
        </w:tc>
        <w:tc>
          <w:tcPr>
            <w:tcW w:w="2835" w:type="dxa"/>
            <w:vAlign w:val="center"/>
          </w:tcPr>
          <w:p>
            <w:pPr>
              <w:pStyle w:val="28"/>
            </w:pPr>
            <w:r>
              <w:t>食品、农产品抽检批次</w:t>
            </w:r>
          </w:p>
        </w:tc>
        <w:tc>
          <w:tcPr>
            <w:tcW w:w="2551" w:type="dxa"/>
            <w:vAlign w:val="center"/>
          </w:tcPr>
          <w:p>
            <w:pPr>
              <w:pStyle w:val="28"/>
            </w:pPr>
            <w:r>
              <w:t>≥2372批次</w:t>
            </w:r>
          </w:p>
        </w:tc>
        <w:tc>
          <w:tcPr>
            <w:tcW w:w="2268" w:type="dxa"/>
            <w:vAlign w:val="center"/>
          </w:tcPr>
          <w:p>
            <w:pPr>
              <w:pStyle w:val="28"/>
            </w:pPr>
            <w:r>
              <w:t>石办发【2017】26号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食品、食用农产品的合格率</w:t>
            </w:r>
          </w:p>
        </w:tc>
        <w:tc>
          <w:tcPr>
            <w:tcW w:w="2835" w:type="dxa"/>
            <w:vAlign w:val="center"/>
          </w:tcPr>
          <w:p>
            <w:pPr>
              <w:pStyle w:val="28"/>
            </w:pPr>
            <w:r>
              <w:t>食品、食用农产品的合格率</w:t>
            </w:r>
          </w:p>
        </w:tc>
        <w:tc>
          <w:tcPr>
            <w:tcW w:w="2551" w:type="dxa"/>
            <w:vAlign w:val="center"/>
          </w:tcPr>
          <w:p>
            <w:pPr>
              <w:pStyle w:val="28"/>
            </w:pPr>
            <w:r>
              <w:t>≥95%</w:t>
            </w:r>
          </w:p>
        </w:tc>
        <w:tc>
          <w:tcPr>
            <w:tcW w:w="2268" w:type="dxa"/>
            <w:vAlign w:val="center"/>
          </w:tcPr>
          <w:p>
            <w:pPr>
              <w:pStyle w:val="28"/>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抽检食品送达实验室的及时性</w:t>
            </w:r>
          </w:p>
        </w:tc>
        <w:tc>
          <w:tcPr>
            <w:tcW w:w="2835" w:type="dxa"/>
            <w:vAlign w:val="center"/>
          </w:tcPr>
          <w:p>
            <w:pPr>
              <w:pStyle w:val="28"/>
            </w:pPr>
            <w:r>
              <w:t>抽检食品能否及时送达实验室</w:t>
            </w:r>
          </w:p>
        </w:tc>
        <w:tc>
          <w:tcPr>
            <w:tcW w:w="2551" w:type="dxa"/>
            <w:vAlign w:val="center"/>
          </w:tcPr>
          <w:p>
            <w:pPr>
              <w:pStyle w:val="28"/>
            </w:pPr>
            <w:r>
              <w:t>按规定时间送达</w:t>
            </w:r>
          </w:p>
        </w:tc>
        <w:tc>
          <w:tcPr>
            <w:tcW w:w="2268" w:type="dxa"/>
            <w:vAlign w:val="center"/>
          </w:tcPr>
          <w:p>
            <w:pPr>
              <w:pStyle w:val="28"/>
            </w:pPr>
            <w:r>
              <w:t>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检测食品的费用</w:t>
            </w:r>
          </w:p>
        </w:tc>
        <w:tc>
          <w:tcPr>
            <w:tcW w:w="2835" w:type="dxa"/>
            <w:vAlign w:val="center"/>
          </w:tcPr>
          <w:p>
            <w:pPr>
              <w:pStyle w:val="28"/>
            </w:pPr>
            <w:r>
              <w:t>检测食品的费用</w:t>
            </w:r>
          </w:p>
        </w:tc>
        <w:tc>
          <w:tcPr>
            <w:tcW w:w="2551" w:type="dxa"/>
            <w:vAlign w:val="center"/>
          </w:tcPr>
          <w:p>
            <w:pPr>
              <w:pStyle w:val="28"/>
            </w:pPr>
            <w:r>
              <w:t>≤843.5每批次</w:t>
            </w:r>
          </w:p>
        </w:tc>
        <w:tc>
          <w:tcPr>
            <w:tcW w:w="2268" w:type="dxa"/>
            <w:vAlign w:val="center"/>
          </w:tcPr>
          <w:p>
            <w:pPr>
              <w:pStyle w:val="28"/>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确保不出现食品安全事故</w:t>
            </w:r>
          </w:p>
        </w:tc>
        <w:tc>
          <w:tcPr>
            <w:tcW w:w="2835" w:type="dxa"/>
            <w:vAlign w:val="center"/>
          </w:tcPr>
          <w:p>
            <w:pPr>
              <w:pStyle w:val="28"/>
            </w:pPr>
            <w:r>
              <w:t>确保人民群众“舌尖上的安全”</w:t>
            </w:r>
          </w:p>
        </w:tc>
        <w:tc>
          <w:tcPr>
            <w:tcW w:w="2551" w:type="dxa"/>
            <w:vAlign w:val="center"/>
          </w:tcPr>
          <w:p>
            <w:pPr>
              <w:pStyle w:val="28"/>
            </w:pPr>
            <w:r>
              <w:t>≤1起</w:t>
            </w:r>
          </w:p>
        </w:tc>
        <w:tc>
          <w:tcPr>
            <w:tcW w:w="2268" w:type="dxa"/>
            <w:vAlign w:val="center"/>
          </w:tcPr>
          <w:p>
            <w:pPr>
              <w:pStyle w:val="28"/>
            </w:pPr>
            <w:r>
              <w:t>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抽检计划的完成率</w:t>
            </w:r>
          </w:p>
        </w:tc>
        <w:tc>
          <w:tcPr>
            <w:tcW w:w="2835" w:type="dxa"/>
            <w:vAlign w:val="center"/>
          </w:tcPr>
          <w:p>
            <w:pPr>
              <w:pStyle w:val="28"/>
            </w:pPr>
            <w:r>
              <w:t>是否按要求完成抽检计划</w:t>
            </w:r>
          </w:p>
        </w:tc>
        <w:tc>
          <w:tcPr>
            <w:tcW w:w="2551" w:type="dxa"/>
            <w:vAlign w:val="center"/>
          </w:tcPr>
          <w:p>
            <w:pPr>
              <w:pStyle w:val="28"/>
            </w:pPr>
            <w:r>
              <w:t>≥95%</w:t>
            </w:r>
          </w:p>
        </w:tc>
        <w:tc>
          <w:tcPr>
            <w:tcW w:w="2268" w:type="dxa"/>
            <w:vAlign w:val="center"/>
          </w:tcPr>
          <w:p>
            <w:pPr>
              <w:pStyle w:val="28"/>
            </w:pPr>
            <w:r>
              <w:t>国抽系统录入数据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长期影响力</w:t>
            </w:r>
          </w:p>
        </w:tc>
        <w:tc>
          <w:tcPr>
            <w:tcW w:w="2835" w:type="dxa"/>
            <w:vAlign w:val="center"/>
          </w:tcPr>
          <w:p>
            <w:pPr>
              <w:pStyle w:val="28"/>
            </w:pPr>
            <w:r>
              <w:t>抽检数据的长期影响力</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生态效益指标</w:t>
            </w:r>
          </w:p>
        </w:tc>
        <w:tc>
          <w:tcPr>
            <w:tcW w:w="2835" w:type="dxa"/>
            <w:vAlign w:val="center"/>
          </w:tcPr>
          <w:p>
            <w:pPr>
              <w:pStyle w:val="28"/>
            </w:pPr>
            <w:r>
              <w:t>抽检数据的保质期</w:t>
            </w:r>
          </w:p>
        </w:tc>
        <w:tc>
          <w:tcPr>
            <w:tcW w:w="2835" w:type="dxa"/>
            <w:vAlign w:val="center"/>
          </w:tcPr>
          <w:p>
            <w:pPr>
              <w:pStyle w:val="28"/>
            </w:pPr>
            <w:r>
              <w:t>抽检数据的保质期</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群众对食品安全的满意度</w:t>
            </w:r>
          </w:p>
        </w:tc>
        <w:tc>
          <w:tcPr>
            <w:tcW w:w="2835" w:type="dxa"/>
            <w:vAlign w:val="center"/>
          </w:tcPr>
          <w:p>
            <w:pPr>
              <w:pStyle w:val="28"/>
            </w:pPr>
            <w:r>
              <w:t>群众对食品安全的满意度</w:t>
            </w:r>
          </w:p>
        </w:tc>
        <w:tc>
          <w:tcPr>
            <w:tcW w:w="2551" w:type="dxa"/>
            <w:vAlign w:val="center"/>
          </w:tcPr>
          <w:p>
            <w:pPr>
              <w:pStyle w:val="28"/>
            </w:pPr>
            <w:r>
              <w:t>≥85%</w:t>
            </w:r>
          </w:p>
        </w:tc>
        <w:tc>
          <w:tcPr>
            <w:tcW w:w="2268" w:type="dxa"/>
            <w:vAlign w:val="center"/>
          </w:tcPr>
          <w:p>
            <w:pPr>
              <w:pStyle w:val="28"/>
            </w:pPr>
            <w:r>
              <w:t>问卷调查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8、食品、药品安全监管经费绩效目标表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1.目标内容1加强对食品、药品的各个环节的强力监管，及时发现和排除食品、药品安全隐患，确保我区人民群众用药、饮食安全，维持正常市场秩序，需资金179万元。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检查食品、药品经营户的数量</w:t>
            </w:r>
          </w:p>
        </w:tc>
        <w:tc>
          <w:tcPr>
            <w:tcW w:w="2835" w:type="dxa"/>
            <w:vAlign w:val="center"/>
          </w:tcPr>
          <w:p>
            <w:pPr>
              <w:pStyle w:val="28"/>
            </w:pPr>
            <w:r>
              <w:t>检查食品、药品经营户的数量</w:t>
            </w:r>
          </w:p>
        </w:tc>
        <w:tc>
          <w:tcPr>
            <w:tcW w:w="2551" w:type="dxa"/>
            <w:vAlign w:val="center"/>
          </w:tcPr>
          <w:p>
            <w:pPr>
              <w:pStyle w:val="28"/>
            </w:pPr>
            <w:r>
              <w:t>≥90%</w:t>
            </w:r>
          </w:p>
        </w:tc>
        <w:tc>
          <w:tcPr>
            <w:tcW w:w="2268" w:type="dxa"/>
            <w:vAlign w:val="center"/>
          </w:tcPr>
          <w:p>
            <w:pPr>
              <w:pStyle w:val="28"/>
            </w:pPr>
            <w:r>
              <w:t>检查日志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确保食品、药品安全</w:t>
            </w:r>
          </w:p>
        </w:tc>
        <w:tc>
          <w:tcPr>
            <w:tcW w:w="2835" w:type="dxa"/>
            <w:vAlign w:val="center"/>
          </w:tcPr>
          <w:p>
            <w:pPr>
              <w:pStyle w:val="28"/>
            </w:pPr>
            <w:r>
              <w:t>通过日常督导检查，确保无事故发生</w:t>
            </w:r>
          </w:p>
        </w:tc>
        <w:tc>
          <w:tcPr>
            <w:tcW w:w="2551" w:type="dxa"/>
            <w:vAlign w:val="center"/>
          </w:tcPr>
          <w:p>
            <w:pPr>
              <w:pStyle w:val="28"/>
            </w:pPr>
            <w:r>
              <w:t>≤1次</w:t>
            </w:r>
          </w:p>
        </w:tc>
        <w:tc>
          <w:tcPr>
            <w:tcW w:w="2268" w:type="dxa"/>
            <w:vAlign w:val="center"/>
          </w:tcPr>
          <w:p>
            <w:pPr>
              <w:pStyle w:val="28"/>
            </w:pPr>
            <w:r>
              <w:t>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rPr>
                <w:rFonts w:hint="eastAsia" w:eastAsia="方正书宋_GBK"/>
                <w:lang w:eastAsia="zh-CN"/>
              </w:rPr>
            </w:pPr>
            <w:r>
              <w:t>对食品、药品事故的</w:t>
            </w:r>
            <w:r>
              <w:rPr>
                <w:rFonts w:hint="eastAsia"/>
                <w:lang w:eastAsia="zh-CN"/>
              </w:rPr>
              <w:t>应急反应</w:t>
            </w:r>
          </w:p>
        </w:tc>
        <w:tc>
          <w:tcPr>
            <w:tcW w:w="2835" w:type="dxa"/>
            <w:vAlign w:val="center"/>
          </w:tcPr>
          <w:p>
            <w:pPr>
              <w:pStyle w:val="28"/>
              <w:rPr>
                <w:rFonts w:hint="eastAsia" w:eastAsia="方正书宋_GBK"/>
                <w:lang w:eastAsia="zh-CN"/>
              </w:rPr>
            </w:pPr>
            <w:r>
              <w:t>对食品、药品事故的</w:t>
            </w:r>
            <w:r>
              <w:rPr>
                <w:rFonts w:hint="eastAsia"/>
                <w:lang w:eastAsia="zh-CN"/>
              </w:rPr>
              <w:t>应急反应</w:t>
            </w:r>
          </w:p>
        </w:tc>
        <w:tc>
          <w:tcPr>
            <w:tcW w:w="2551" w:type="dxa"/>
            <w:vAlign w:val="center"/>
          </w:tcPr>
          <w:p>
            <w:pPr>
              <w:pStyle w:val="28"/>
            </w:pPr>
            <w:r>
              <w:t>及时、快速处理</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执法规范</w:t>
            </w:r>
          </w:p>
        </w:tc>
        <w:tc>
          <w:tcPr>
            <w:tcW w:w="2835" w:type="dxa"/>
            <w:vAlign w:val="center"/>
          </w:tcPr>
          <w:p>
            <w:pPr>
              <w:pStyle w:val="28"/>
            </w:pPr>
            <w:r>
              <w:t>执法依据规范，符合法定程序</w:t>
            </w:r>
          </w:p>
        </w:tc>
        <w:tc>
          <w:tcPr>
            <w:tcW w:w="2551" w:type="dxa"/>
            <w:vAlign w:val="center"/>
          </w:tcPr>
          <w:p>
            <w:pPr>
              <w:pStyle w:val="28"/>
            </w:pPr>
            <w:r>
              <w:t>≥95%</w:t>
            </w:r>
          </w:p>
        </w:tc>
        <w:tc>
          <w:tcPr>
            <w:tcW w:w="2268" w:type="dxa"/>
            <w:vAlign w:val="center"/>
          </w:tcPr>
          <w:p>
            <w:pPr>
              <w:pStyle w:val="28"/>
            </w:pPr>
            <w:r>
              <w:t>案卷正确率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按时完成率</w:t>
            </w:r>
          </w:p>
        </w:tc>
        <w:tc>
          <w:tcPr>
            <w:tcW w:w="2835" w:type="dxa"/>
            <w:vAlign w:val="center"/>
          </w:tcPr>
          <w:p>
            <w:pPr>
              <w:pStyle w:val="28"/>
            </w:pPr>
            <w:r>
              <w:t>按时完成率</w:t>
            </w:r>
          </w:p>
        </w:tc>
        <w:tc>
          <w:tcPr>
            <w:tcW w:w="2551" w:type="dxa"/>
            <w:vAlign w:val="center"/>
          </w:tcPr>
          <w:p>
            <w:pPr>
              <w:pStyle w:val="28"/>
            </w:pPr>
            <w:r>
              <w:t>≥98%</w:t>
            </w:r>
          </w:p>
        </w:tc>
        <w:tc>
          <w:tcPr>
            <w:tcW w:w="2268" w:type="dxa"/>
            <w:vAlign w:val="center"/>
          </w:tcPr>
          <w:p>
            <w:pPr>
              <w:pStyle w:val="28"/>
            </w:pPr>
            <w:r>
              <w:t>罚没收入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创造食品、药品安全区</w:t>
            </w:r>
          </w:p>
        </w:tc>
        <w:tc>
          <w:tcPr>
            <w:tcW w:w="2835" w:type="dxa"/>
            <w:vAlign w:val="center"/>
          </w:tcPr>
          <w:p>
            <w:pPr>
              <w:pStyle w:val="28"/>
            </w:pPr>
            <w:r>
              <w:t>确保群众舌尖上的安全</w:t>
            </w:r>
          </w:p>
        </w:tc>
        <w:tc>
          <w:tcPr>
            <w:tcW w:w="2551" w:type="dxa"/>
            <w:vAlign w:val="center"/>
          </w:tcPr>
          <w:p>
            <w:pPr>
              <w:pStyle w:val="28"/>
            </w:pPr>
            <w:r>
              <w:t>≤1次</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项目持续发挥作用期限</w:t>
            </w:r>
          </w:p>
        </w:tc>
        <w:tc>
          <w:tcPr>
            <w:tcW w:w="2835" w:type="dxa"/>
            <w:vAlign w:val="center"/>
          </w:tcPr>
          <w:p>
            <w:pPr>
              <w:pStyle w:val="28"/>
            </w:pPr>
            <w:r>
              <w:t>项目持续发挥作用期限</w:t>
            </w:r>
          </w:p>
        </w:tc>
        <w:tc>
          <w:tcPr>
            <w:tcW w:w="2551" w:type="dxa"/>
            <w:vAlign w:val="center"/>
          </w:tcPr>
          <w:p>
            <w:pPr>
              <w:pStyle w:val="28"/>
            </w:pPr>
            <w:r>
              <w:t>永久</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群众对食品、药品安全的满意度</w:t>
            </w:r>
          </w:p>
        </w:tc>
        <w:tc>
          <w:tcPr>
            <w:tcW w:w="2835" w:type="dxa"/>
            <w:vAlign w:val="center"/>
          </w:tcPr>
          <w:p>
            <w:pPr>
              <w:pStyle w:val="28"/>
            </w:pPr>
            <w:r>
              <w:t>群众对食品、药品安全的满意度</w:t>
            </w:r>
          </w:p>
        </w:tc>
        <w:tc>
          <w:tcPr>
            <w:tcW w:w="2551" w:type="dxa"/>
            <w:vAlign w:val="center"/>
          </w:tcPr>
          <w:p>
            <w:pPr>
              <w:pStyle w:val="28"/>
            </w:pPr>
            <w:r>
              <w:t>≥85%</w:t>
            </w:r>
          </w:p>
        </w:tc>
        <w:tc>
          <w:tcPr>
            <w:tcW w:w="2268" w:type="dxa"/>
            <w:vAlign w:val="center"/>
          </w:tcPr>
          <w:p>
            <w:pPr>
              <w:pStyle w:val="28"/>
            </w:pPr>
            <w:r>
              <w:t>问卷调查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9、食品安全协管员经费绩效目标表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1.目标内容1支付劳务派遣人员工资、社保费及派遣公司服务费，共计272.31万元。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劳务派遣人员数量</w:t>
            </w:r>
          </w:p>
        </w:tc>
        <w:tc>
          <w:tcPr>
            <w:tcW w:w="2835" w:type="dxa"/>
            <w:vAlign w:val="center"/>
          </w:tcPr>
          <w:p>
            <w:pPr>
              <w:pStyle w:val="28"/>
            </w:pPr>
            <w:r>
              <w:t>劳务派遣人员数量</w:t>
            </w:r>
          </w:p>
        </w:tc>
        <w:tc>
          <w:tcPr>
            <w:tcW w:w="2551" w:type="dxa"/>
            <w:vAlign w:val="center"/>
          </w:tcPr>
          <w:p>
            <w:pPr>
              <w:pStyle w:val="28"/>
            </w:pPr>
            <w:r>
              <w:t>每月考勤名单</w:t>
            </w:r>
          </w:p>
        </w:tc>
        <w:tc>
          <w:tcPr>
            <w:tcW w:w="2268" w:type="dxa"/>
            <w:vAlign w:val="center"/>
          </w:tcPr>
          <w:p>
            <w:pPr>
              <w:pStyle w:val="28"/>
            </w:pPr>
            <w:r>
              <w:t>考勤表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人员工资到位率</w:t>
            </w:r>
          </w:p>
        </w:tc>
        <w:tc>
          <w:tcPr>
            <w:tcW w:w="2835" w:type="dxa"/>
            <w:vAlign w:val="center"/>
          </w:tcPr>
          <w:p>
            <w:pPr>
              <w:pStyle w:val="28"/>
            </w:pPr>
            <w:r>
              <w:t>发放人员工资的到位率</w:t>
            </w:r>
          </w:p>
        </w:tc>
        <w:tc>
          <w:tcPr>
            <w:tcW w:w="2551" w:type="dxa"/>
            <w:vAlign w:val="center"/>
          </w:tcPr>
          <w:p>
            <w:pPr>
              <w:pStyle w:val="28"/>
            </w:pPr>
            <w:r>
              <w:t>≥95%</w:t>
            </w:r>
          </w:p>
        </w:tc>
        <w:tc>
          <w:tcPr>
            <w:tcW w:w="2268" w:type="dxa"/>
            <w:vAlign w:val="center"/>
          </w:tcPr>
          <w:p>
            <w:pPr>
              <w:pStyle w:val="28"/>
            </w:pPr>
            <w:r>
              <w:t>派遣公司工资发放表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工资、保险及时拨付派遣公司</w:t>
            </w:r>
          </w:p>
        </w:tc>
        <w:tc>
          <w:tcPr>
            <w:tcW w:w="2835" w:type="dxa"/>
            <w:vAlign w:val="center"/>
          </w:tcPr>
          <w:p>
            <w:pPr>
              <w:pStyle w:val="28"/>
            </w:pPr>
            <w:r>
              <w:t>按合同规定及时拨付工资，保险等</w:t>
            </w:r>
          </w:p>
        </w:tc>
        <w:tc>
          <w:tcPr>
            <w:tcW w:w="2551" w:type="dxa"/>
            <w:vAlign w:val="center"/>
          </w:tcPr>
          <w:p>
            <w:pPr>
              <w:pStyle w:val="28"/>
            </w:pPr>
            <w:r>
              <w:t>按月及时拨付</w:t>
            </w:r>
          </w:p>
        </w:tc>
        <w:tc>
          <w:tcPr>
            <w:tcW w:w="2268" w:type="dxa"/>
            <w:vAlign w:val="center"/>
          </w:tcPr>
          <w:p>
            <w:pPr>
              <w:pStyle w:val="28"/>
            </w:pPr>
            <w:r>
              <w:t>派遣公司工资发放表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劳务派遣人员工资发放标准</w:t>
            </w:r>
          </w:p>
        </w:tc>
        <w:tc>
          <w:tcPr>
            <w:tcW w:w="2835" w:type="dxa"/>
            <w:vAlign w:val="center"/>
          </w:tcPr>
          <w:p>
            <w:pPr>
              <w:pStyle w:val="28"/>
            </w:pPr>
            <w:r>
              <w:t>工资发放标准</w:t>
            </w:r>
          </w:p>
        </w:tc>
        <w:tc>
          <w:tcPr>
            <w:tcW w:w="2551" w:type="dxa"/>
            <w:vAlign w:val="center"/>
          </w:tcPr>
          <w:p>
            <w:pPr>
              <w:pStyle w:val="28"/>
            </w:pPr>
            <w:r>
              <w:t>签订合同标准</w:t>
            </w:r>
          </w:p>
        </w:tc>
        <w:tc>
          <w:tcPr>
            <w:tcW w:w="2268" w:type="dxa"/>
            <w:vAlign w:val="center"/>
          </w:tcPr>
          <w:p>
            <w:pPr>
              <w:pStyle w:val="28"/>
            </w:pPr>
            <w:r>
              <w:t>派遣公司工资发放表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工作正常运转完成率</w:t>
            </w:r>
          </w:p>
        </w:tc>
        <w:tc>
          <w:tcPr>
            <w:tcW w:w="2835" w:type="dxa"/>
            <w:vAlign w:val="center"/>
          </w:tcPr>
          <w:p>
            <w:pPr>
              <w:pStyle w:val="28"/>
            </w:pPr>
            <w:r>
              <w:t>确保本单位工作正常运转</w:t>
            </w:r>
          </w:p>
        </w:tc>
        <w:tc>
          <w:tcPr>
            <w:tcW w:w="2551" w:type="dxa"/>
            <w:vAlign w:val="center"/>
          </w:tcPr>
          <w:p>
            <w:pPr>
              <w:pStyle w:val="28"/>
            </w:pPr>
            <w:r>
              <w:t>100%</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工作保障质量</w:t>
            </w:r>
          </w:p>
        </w:tc>
        <w:tc>
          <w:tcPr>
            <w:tcW w:w="2835" w:type="dxa"/>
            <w:vAlign w:val="center"/>
          </w:tcPr>
          <w:p>
            <w:pPr>
              <w:pStyle w:val="28"/>
            </w:pPr>
            <w:r>
              <w:t>各项工作有序开展保障率</w:t>
            </w:r>
          </w:p>
        </w:tc>
        <w:tc>
          <w:tcPr>
            <w:tcW w:w="2551" w:type="dxa"/>
            <w:vAlign w:val="center"/>
          </w:tcPr>
          <w:p>
            <w:pPr>
              <w:pStyle w:val="28"/>
            </w:pPr>
            <w:r>
              <w:t>≥95%</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生态效益指标</w:t>
            </w:r>
          </w:p>
        </w:tc>
        <w:tc>
          <w:tcPr>
            <w:tcW w:w="2835" w:type="dxa"/>
            <w:vAlign w:val="center"/>
          </w:tcPr>
          <w:p>
            <w:pPr>
              <w:pStyle w:val="28"/>
            </w:pPr>
            <w:r>
              <w:t>使用年限</w:t>
            </w:r>
          </w:p>
        </w:tc>
        <w:tc>
          <w:tcPr>
            <w:tcW w:w="2835" w:type="dxa"/>
            <w:vAlign w:val="center"/>
          </w:tcPr>
          <w:p>
            <w:pPr>
              <w:pStyle w:val="28"/>
            </w:pPr>
            <w:r>
              <w:t>资金使用年限</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长期使用性</w:t>
            </w:r>
          </w:p>
        </w:tc>
        <w:tc>
          <w:tcPr>
            <w:tcW w:w="2835" w:type="dxa"/>
            <w:vAlign w:val="center"/>
          </w:tcPr>
          <w:p>
            <w:pPr>
              <w:pStyle w:val="28"/>
            </w:pPr>
            <w:r>
              <w:t>经费的长期使用性</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劳务派遣人员满意度</w:t>
            </w:r>
          </w:p>
        </w:tc>
        <w:tc>
          <w:tcPr>
            <w:tcW w:w="2835" w:type="dxa"/>
            <w:vAlign w:val="center"/>
          </w:tcPr>
          <w:p>
            <w:pPr>
              <w:pStyle w:val="28"/>
            </w:pPr>
            <w:r>
              <w:t>劳务派遣人员满意度</w:t>
            </w:r>
          </w:p>
        </w:tc>
        <w:tc>
          <w:tcPr>
            <w:tcW w:w="2551" w:type="dxa"/>
            <w:vAlign w:val="center"/>
          </w:tcPr>
          <w:p>
            <w:pPr>
              <w:pStyle w:val="28"/>
            </w:pPr>
            <w:r>
              <w:t>≥90%</w:t>
            </w:r>
          </w:p>
        </w:tc>
        <w:tc>
          <w:tcPr>
            <w:tcW w:w="2268"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10、特种设备监察监管经费绩效目标表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1.开展特种设备安全宣传、检查、整治、督导、考核等工作。</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对全区企业隐患排查情况</w:t>
            </w:r>
          </w:p>
        </w:tc>
        <w:tc>
          <w:tcPr>
            <w:tcW w:w="2835" w:type="dxa"/>
            <w:vAlign w:val="center"/>
          </w:tcPr>
          <w:p>
            <w:pPr>
              <w:pStyle w:val="28"/>
            </w:pPr>
            <w:r>
              <w:t>反映对全区特种设备的监管力度</w:t>
            </w:r>
          </w:p>
        </w:tc>
        <w:tc>
          <w:tcPr>
            <w:tcW w:w="2551" w:type="dxa"/>
            <w:vAlign w:val="center"/>
          </w:tcPr>
          <w:p>
            <w:pPr>
              <w:pStyle w:val="28"/>
            </w:pPr>
            <w:r>
              <w:t>≥500家</w:t>
            </w:r>
          </w:p>
        </w:tc>
        <w:tc>
          <w:tcPr>
            <w:tcW w:w="2268" w:type="dxa"/>
            <w:vAlign w:val="center"/>
          </w:tcPr>
          <w:p>
            <w:pPr>
              <w:pStyle w:val="28"/>
            </w:pPr>
            <w:r>
              <w:t>排查日志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完成率</w:t>
            </w:r>
          </w:p>
        </w:tc>
        <w:tc>
          <w:tcPr>
            <w:tcW w:w="2835" w:type="dxa"/>
            <w:vAlign w:val="center"/>
          </w:tcPr>
          <w:p>
            <w:pPr>
              <w:pStyle w:val="28"/>
            </w:pPr>
            <w:r>
              <w:t>项目经费使用率</w:t>
            </w:r>
          </w:p>
        </w:tc>
        <w:tc>
          <w:tcPr>
            <w:tcW w:w="2551" w:type="dxa"/>
            <w:vAlign w:val="center"/>
          </w:tcPr>
          <w:p>
            <w:pPr>
              <w:pStyle w:val="28"/>
            </w:pPr>
            <w:r>
              <w:t>100%</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设备隐患整改及时率</w:t>
            </w:r>
          </w:p>
        </w:tc>
        <w:tc>
          <w:tcPr>
            <w:tcW w:w="2835" w:type="dxa"/>
            <w:vAlign w:val="center"/>
          </w:tcPr>
          <w:p>
            <w:pPr>
              <w:pStyle w:val="28"/>
            </w:pPr>
            <w:r>
              <w:t>特种设备排查隐患整改完成情况</w:t>
            </w:r>
          </w:p>
        </w:tc>
        <w:tc>
          <w:tcPr>
            <w:tcW w:w="2551" w:type="dxa"/>
            <w:vAlign w:val="center"/>
          </w:tcPr>
          <w:p>
            <w:pPr>
              <w:pStyle w:val="28"/>
            </w:pPr>
            <w:r>
              <w:t>100%</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安全阀检定收费减少额度</w:t>
            </w:r>
          </w:p>
        </w:tc>
        <w:tc>
          <w:tcPr>
            <w:tcW w:w="2835" w:type="dxa"/>
            <w:vAlign w:val="center"/>
          </w:tcPr>
          <w:p>
            <w:pPr>
              <w:pStyle w:val="28"/>
            </w:pPr>
            <w:r>
              <w:t>特种设备检验收费项目降费执行情况</w:t>
            </w:r>
          </w:p>
        </w:tc>
        <w:tc>
          <w:tcPr>
            <w:tcW w:w="2551" w:type="dxa"/>
            <w:vAlign w:val="center"/>
          </w:tcPr>
          <w:p>
            <w:pPr>
              <w:pStyle w:val="28"/>
            </w:pPr>
            <w:r>
              <w:t>依据规定减免</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特种设备全年安全运行天数</w:t>
            </w:r>
          </w:p>
        </w:tc>
        <w:tc>
          <w:tcPr>
            <w:tcW w:w="2835" w:type="dxa"/>
            <w:vAlign w:val="center"/>
          </w:tcPr>
          <w:p>
            <w:pPr>
              <w:pStyle w:val="28"/>
            </w:pPr>
            <w:r>
              <w:t>特种设备安全运行的总天数</w:t>
            </w:r>
          </w:p>
        </w:tc>
        <w:tc>
          <w:tcPr>
            <w:tcW w:w="2551" w:type="dxa"/>
            <w:vAlign w:val="center"/>
          </w:tcPr>
          <w:p>
            <w:pPr>
              <w:pStyle w:val="28"/>
            </w:pPr>
            <w:r>
              <w:t>≥350天</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企业满意度</w:t>
            </w:r>
          </w:p>
        </w:tc>
        <w:tc>
          <w:tcPr>
            <w:tcW w:w="2835" w:type="dxa"/>
            <w:vAlign w:val="center"/>
          </w:tcPr>
          <w:p>
            <w:pPr>
              <w:pStyle w:val="28"/>
            </w:pPr>
            <w:r>
              <w:t>企业满意度</w:t>
            </w:r>
          </w:p>
        </w:tc>
        <w:tc>
          <w:tcPr>
            <w:tcW w:w="2551" w:type="dxa"/>
            <w:vAlign w:val="center"/>
          </w:tcPr>
          <w:p>
            <w:pPr>
              <w:pStyle w:val="28"/>
            </w:pPr>
            <w:r>
              <w:t>≥95%</w:t>
            </w:r>
          </w:p>
        </w:tc>
        <w:tc>
          <w:tcPr>
            <w:tcW w:w="2268"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11、质检所监督管理经费绩效目标表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1.加大计量检测管理工作水平。</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开展计量惠民活动的次数</w:t>
            </w:r>
          </w:p>
        </w:tc>
        <w:tc>
          <w:tcPr>
            <w:tcW w:w="2835" w:type="dxa"/>
            <w:vAlign w:val="center"/>
          </w:tcPr>
          <w:p>
            <w:pPr>
              <w:pStyle w:val="28"/>
            </w:pPr>
            <w:r>
              <w:t>开展计量惠民活动的次数</w:t>
            </w:r>
          </w:p>
        </w:tc>
        <w:tc>
          <w:tcPr>
            <w:tcW w:w="2551" w:type="dxa"/>
            <w:vAlign w:val="center"/>
          </w:tcPr>
          <w:p>
            <w:pPr>
              <w:pStyle w:val="28"/>
            </w:pPr>
            <w:r>
              <w:t>≥3次</w:t>
            </w:r>
          </w:p>
        </w:tc>
        <w:tc>
          <w:tcPr>
            <w:tcW w:w="2268" w:type="dxa"/>
            <w:vAlign w:val="center"/>
          </w:tcPr>
          <w:p>
            <w:pPr>
              <w:pStyle w:val="28"/>
            </w:pPr>
            <w:r>
              <w:t>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完成率</w:t>
            </w:r>
          </w:p>
        </w:tc>
        <w:tc>
          <w:tcPr>
            <w:tcW w:w="2835" w:type="dxa"/>
            <w:vAlign w:val="center"/>
          </w:tcPr>
          <w:p>
            <w:pPr>
              <w:pStyle w:val="28"/>
            </w:pPr>
            <w:r>
              <w:t>项目经费使用完成率</w:t>
            </w:r>
          </w:p>
        </w:tc>
        <w:tc>
          <w:tcPr>
            <w:tcW w:w="2551" w:type="dxa"/>
            <w:vAlign w:val="center"/>
          </w:tcPr>
          <w:p>
            <w:pPr>
              <w:pStyle w:val="28"/>
            </w:pPr>
            <w:r>
              <w:t>100%</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计量举报案件投诉率</w:t>
            </w:r>
          </w:p>
        </w:tc>
        <w:tc>
          <w:tcPr>
            <w:tcW w:w="2835" w:type="dxa"/>
            <w:vAlign w:val="center"/>
          </w:tcPr>
          <w:p>
            <w:pPr>
              <w:pStyle w:val="28"/>
            </w:pPr>
            <w:r>
              <w:t>计量举报案件与往年相比的比率</w:t>
            </w:r>
          </w:p>
        </w:tc>
        <w:tc>
          <w:tcPr>
            <w:tcW w:w="2551" w:type="dxa"/>
            <w:vAlign w:val="center"/>
          </w:tcPr>
          <w:p>
            <w:pPr>
              <w:pStyle w:val="28"/>
            </w:pPr>
            <w:r>
              <w:t>逐年降低</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计量检定实际成本</w:t>
            </w:r>
          </w:p>
        </w:tc>
        <w:tc>
          <w:tcPr>
            <w:tcW w:w="2835" w:type="dxa"/>
            <w:vAlign w:val="center"/>
          </w:tcPr>
          <w:p>
            <w:pPr>
              <w:pStyle w:val="28"/>
            </w:pPr>
            <w:r>
              <w:t>反映计量检定减免总额</w:t>
            </w:r>
          </w:p>
        </w:tc>
        <w:tc>
          <w:tcPr>
            <w:tcW w:w="2551" w:type="dxa"/>
            <w:vAlign w:val="center"/>
          </w:tcPr>
          <w:p>
            <w:pPr>
              <w:pStyle w:val="28"/>
            </w:pPr>
            <w:r>
              <w:t>实际检定费用年度统计</w:t>
            </w:r>
          </w:p>
        </w:tc>
        <w:tc>
          <w:tcPr>
            <w:tcW w:w="2268" w:type="dxa"/>
            <w:vAlign w:val="center"/>
          </w:tcPr>
          <w:p>
            <w:pPr>
              <w:pStyle w:val="28"/>
            </w:pPr>
            <w:r>
              <w:t>检定台账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检测服务水平提升情况</w:t>
            </w:r>
          </w:p>
        </w:tc>
        <w:tc>
          <w:tcPr>
            <w:tcW w:w="2835" w:type="dxa"/>
            <w:vAlign w:val="center"/>
          </w:tcPr>
          <w:p>
            <w:pPr>
              <w:pStyle w:val="28"/>
            </w:pPr>
            <w:r>
              <w:t>检测服务水平提升情况</w:t>
            </w:r>
          </w:p>
        </w:tc>
        <w:tc>
          <w:tcPr>
            <w:tcW w:w="2551" w:type="dxa"/>
            <w:vAlign w:val="center"/>
          </w:tcPr>
          <w:p>
            <w:pPr>
              <w:pStyle w:val="28"/>
            </w:pPr>
            <w:r>
              <w:t>逐年提升</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调查中满意和较满意的人数占全部调查人数的比率</w:t>
            </w:r>
          </w:p>
        </w:tc>
        <w:tc>
          <w:tcPr>
            <w:tcW w:w="2835" w:type="dxa"/>
            <w:vAlign w:val="center"/>
          </w:tcPr>
          <w:p>
            <w:pPr>
              <w:pStyle w:val="28"/>
            </w:pPr>
            <w:r>
              <w:t>调查中满意和较满意的人数占全部调查人数的比率</w:t>
            </w:r>
          </w:p>
        </w:tc>
        <w:tc>
          <w:tcPr>
            <w:tcW w:w="2551" w:type="dxa"/>
            <w:vAlign w:val="center"/>
          </w:tcPr>
          <w:p>
            <w:pPr>
              <w:pStyle w:val="28"/>
            </w:pPr>
            <w:r>
              <w:t>≥95%</w:t>
            </w:r>
          </w:p>
        </w:tc>
        <w:tc>
          <w:tcPr>
            <w:tcW w:w="2268"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12、自收自支人员工资绩效目标表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1.目标内容1自收自支人员工资及社保费等</w:t>
            </w:r>
          </w:p>
          <w:p>
            <w:pPr>
              <w:pStyle w:val="28"/>
            </w:pP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自收自支人员数量</w:t>
            </w:r>
          </w:p>
        </w:tc>
        <w:tc>
          <w:tcPr>
            <w:tcW w:w="2835" w:type="dxa"/>
            <w:vAlign w:val="center"/>
          </w:tcPr>
          <w:p>
            <w:pPr>
              <w:pStyle w:val="28"/>
            </w:pPr>
            <w:r>
              <w:t>自收自支人员数量</w:t>
            </w:r>
          </w:p>
        </w:tc>
        <w:tc>
          <w:tcPr>
            <w:tcW w:w="2551" w:type="dxa"/>
            <w:vAlign w:val="center"/>
          </w:tcPr>
          <w:p>
            <w:pPr>
              <w:pStyle w:val="28"/>
            </w:pPr>
            <w:r>
              <w:t>≤12人</w:t>
            </w:r>
          </w:p>
        </w:tc>
        <w:tc>
          <w:tcPr>
            <w:tcW w:w="2268" w:type="dxa"/>
            <w:vAlign w:val="center"/>
          </w:tcPr>
          <w:p>
            <w:pPr>
              <w:pStyle w:val="28"/>
            </w:pPr>
            <w:r>
              <w:t>工资明细表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人员工资到位率</w:t>
            </w:r>
          </w:p>
        </w:tc>
        <w:tc>
          <w:tcPr>
            <w:tcW w:w="2835" w:type="dxa"/>
            <w:vAlign w:val="center"/>
          </w:tcPr>
          <w:p>
            <w:pPr>
              <w:pStyle w:val="28"/>
            </w:pPr>
            <w:r>
              <w:t>发放人员工资到位率</w:t>
            </w:r>
          </w:p>
        </w:tc>
        <w:tc>
          <w:tcPr>
            <w:tcW w:w="2551" w:type="dxa"/>
            <w:vAlign w:val="center"/>
          </w:tcPr>
          <w:p>
            <w:pPr>
              <w:pStyle w:val="28"/>
            </w:pPr>
            <w:r>
              <w:t>100%</w:t>
            </w:r>
          </w:p>
        </w:tc>
        <w:tc>
          <w:tcPr>
            <w:tcW w:w="2268" w:type="dxa"/>
            <w:vAlign w:val="center"/>
          </w:tcPr>
          <w:p>
            <w:pPr>
              <w:pStyle w:val="28"/>
            </w:pPr>
            <w: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缴纳社保及时率</w:t>
            </w:r>
          </w:p>
        </w:tc>
        <w:tc>
          <w:tcPr>
            <w:tcW w:w="2835" w:type="dxa"/>
            <w:vAlign w:val="center"/>
          </w:tcPr>
          <w:p>
            <w:pPr>
              <w:pStyle w:val="28"/>
            </w:pPr>
            <w:r>
              <w:t>是否及时缴纳社保</w:t>
            </w:r>
          </w:p>
        </w:tc>
        <w:tc>
          <w:tcPr>
            <w:tcW w:w="2551" w:type="dxa"/>
            <w:vAlign w:val="center"/>
          </w:tcPr>
          <w:p>
            <w:pPr>
              <w:pStyle w:val="28"/>
            </w:pPr>
            <w:r>
              <w:t>≥99%</w:t>
            </w:r>
          </w:p>
        </w:tc>
        <w:tc>
          <w:tcPr>
            <w:tcW w:w="2268" w:type="dxa"/>
            <w:vAlign w:val="center"/>
          </w:tcPr>
          <w:p>
            <w:pPr>
              <w:pStyle w:val="28"/>
            </w:pPr>
            <w: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人员工资发放标准</w:t>
            </w:r>
          </w:p>
        </w:tc>
        <w:tc>
          <w:tcPr>
            <w:tcW w:w="2835" w:type="dxa"/>
            <w:vAlign w:val="center"/>
          </w:tcPr>
          <w:p>
            <w:pPr>
              <w:pStyle w:val="28"/>
            </w:pPr>
            <w:r>
              <w:t>人员工资发放标准</w:t>
            </w:r>
          </w:p>
        </w:tc>
        <w:tc>
          <w:tcPr>
            <w:tcW w:w="2551" w:type="dxa"/>
            <w:vAlign w:val="center"/>
          </w:tcPr>
          <w:p>
            <w:pPr>
              <w:pStyle w:val="28"/>
            </w:pPr>
            <w:r>
              <w:t>人事部门审批标准</w:t>
            </w:r>
          </w:p>
        </w:tc>
        <w:tc>
          <w:tcPr>
            <w:tcW w:w="2268" w:type="dxa"/>
            <w:vAlign w:val="center"/>
          </w:tcPr>
          <w:p>
            <w:pPr>
              <w:pStyle w:val="28"/>
            </w:pPr>
            <w:r>
              <w:t>工资明细表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工作正常运转完成率</w:t>
            </w:r>
          </w:p>
        </w:tc>
        <w:tc>
          <w:tcPr>
            <w:tcW w:w="2835" w:type="dxa"/>
            <w:vAlign w:val="center"/>
          </w:tcPr>
          <w:p>
            <w:pPr>
              <w:pStyle w:val="28"/>
            </w:pPr>
            <w:r>
              <w:t>确保本单位工作正常运转</w:t>
            </w:r>
          </w:p>
        </w:tc>
        <w:tc>
          <w:tcPr>
            <w:tcW w:w="2551" w:type="dxa"/>
            <w:vAlign w:val="center"/>
          </w:tcPr>
          <w:p>
            <w:pPr>
              <w:pStyle w:val="28"/>
            </w:pPr>
            <w:r>
              <w:t>100%</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工作保障质量</w:t>
            </w:r>
          </w:p>
        </w:tc>
        <w:tc>
          <w:tcPr>
            <w:tcW w:w="2835" w:type="dxa"/>
            <w:vAlign w:val="center"/>
          </w:tcPr>
          <w:p>
            <w:pPr>
              <w:pStyle w:val="28"/>
            </w:pPr>
            <w:r>
              <w:t>各项工作有序开展保障率</w:t>
            </w:r>
          </w:p>
        </w:tc>
        <w:tc>
          <w:tcPr>
            <w:tcW w:w="2551" w:type="dxa"/>
            <w:vAlign w:val="center"/>
          </w:tcPr>
          <w:p>
            <w:pPr>
              <w:pStyle w:val="28"/>
            </w:pPr>
            <w:r>
              <w:t>≥95%</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生态效益指标</w:t>
            </w:r>
          </w:p>
        </w:tc>
        <w:tc>
          <w:tcPr>
            <w:tcW w:w="2835" w:type="dxa"/>
            <w:vAlign w:val="center"/>
          </w:tcPr>
          <w:p>
            <w:pPr>
              <w:pStyle w:val="28"/>
            </w:pPr>
            <w:r>
              <w:t>使用年限</w:t>
            </w:r>
          </w:p>
        </w:tc>
        <w:tc>
          <w:tcPr>
            <w:tcW w:w="2835" w:type="dxa"/>
            <w:vAlign w:val="center"/>
          </w:tcPr>
          <w:p>
            <w:pPr>
              <w:pStyle w:val="28"/>
            </w:pPr>
            <w:r>
              <w:t>各项资金使用年限</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长期使用性</w:t>
            </w:r>
          </w:p>
        </w:tc>
        <w:tc>
          <w:tcPr>
            <w:tcW w:w="2835" w:type="dxa"/>
            <w:vAlign w:val="center"/>
          </w:tcPr>
          <w:p>
            <w:pPr>
              <w:pStyle w:val="28"/>
            </w:pPr>
            <w:r>
              <w:t>人员经费的长期使用性</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自收自支人员满意度</w:t>
            </w:r>
          </w:p>
        </w:tc>
        <w:tc>
          <w:tcPr>
            <w:tcW w:w="2835" w:type="dxa"/>
            <w:vAlign w:val="center"/>
          </w:tcPr>
          <w:p>
            <w:pPr>
              <w:pStyle w:val="28"/>
            </w:pPr>
            <w:r>
              <w:t>自收自支人员满意度</w:t>
            </w:r>
          </w:p>
        </w:tc>
        <w:tc>
          <w:tcPr>
            <w:tcW w:w="2551" w:type="dxa"/>
            <w:vAlign w:val="center"/>
          </w:tcPr>
          <w:p>
            <w:pPr>
              <w:pStyle w:val="28"/>
            </w:pPr>
            <w:r>
              <w:t>≥95%</w:t>
            </w:r>
          </w:p>
        </w:tc>
        <w:tc>
          <w:tcPr>
            <w:tcW w:w="2268" w:type="dxa"/>
            <w:vAlign w:val="center"/>
          </w:tcPr>
          <w:p>
            <w:pPr>
              <w:pStyle w:val="28"/>
            </w:pPr>
            <w:r>
              <w:t>调查问卷</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2022年，石家庄市藁城区市场监督管理局安排政府采购预算200.00万元。具体内容见下表。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414石家庄市藁城区市场监督管理局</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200.00</w:t>
            </w:r>
          </w:p>
        </w:tc>
        <w:tc>
          <w:tcPr>
            <w:tcW w:w="964" w:type="dxa"/>
            <w:vAlign w:val="center"/>
          </w:tcPr>
          <w:p>
            <w:pPr>
              <w:pStyle w:val="17"/>
            </w:pPr>
            <w:r>
              <w:t>200.00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石家庄市藁城区市场监督管理局本级小计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200.00</w:t>
            </w:r>
          </w:p>
        </w:tc>
        <w:tc>
          <w:tcPr>
            <w:tcW w:w="964" w:type="dxa"/>
            <w:vAlign w:val="center"/>
          </w:tcPr>
          <w:p>
            <w:pPr>
              <w:pStyle w:val="17"/>
            </w:pPr>
            <w:r>
              <w:t>200.00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食品、食用农产品抽检经费</w:t>
            </w:r>
          </w:p>
        </w:tc>
        <w:tc>
          <w:tcPr>
            <w:tcW w:w="964" w:type="dxa"/>
            <w:vAlign w:val="center"/>
          </w:tcPr>
          <w:p>
            <w:pPr>
              <w:pStyle w:val="13"/>
            </w:pPr>
            <w:r>
              <w:t>200.00</w:t>
            </w:r>
          </w:p>
        </w:tc>
        <w:tc>
          <w:tcPr>
            <w:tcW w:w="1134" w:type="dxa"/>
            <w:vAlign w:val="center"/>
          </w:tcPr>
          <w:p>
            <w:pPr>
              <w:pStyle w:val="14"/>
            </w:pPr>
            <w:r>
              <w:t>其他服务</w:t>
            </w:r>
          </w:p>
        </w:tc>
        <w:tc>
          <w:tcPr>
            <w:tcW w:w="1134" w:type="dxa"/>
            <w:vAlign w:val="center"/>
          </w:tcPr>
          <w:p>
            <w:pPr>
              <w:pStyle w:val="14"/>
            </w:pPr>
            <w:r>
              <w:t>C99</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食品、食用农产品抽检经费</w:t>
            </w:r>
          </w:p>
        </w:tc>
        <w:tc>
          <w:tcPr>
            <w:tcW w:w="964" w:type="dxa"/>
            <w:vAlign w:val="center"/>
          </w:tcPr>
          <w:p>
            <w:pPr>
              <w:pStyle w:val="13"/>
            </w:pPr>
            <w:r>
              <w:t>200.00</w:t>
            </w:r>
          </w:p>
        </w:tc>
        <w:tc>
          <w:tcPr>
            <w:tcW w:w="1134" w:type="dxa"/>
            <w:vAlign w:val="center"/>
          </w:tcPr>
          <w:p>
            <w:pPr>
              <w:pStyle w:val="14"/>
            </w:pPr>
            <w:r>
              <w:t>其他服务</w:t>
            </w:r>
          </w:p>
        </w:tc>
        <w:tc>
          <w:tcPr>
            <w:tcW w:w="1134" w:type="dxa"/>
            <w:vAlign w:val="center"/>
          </w:tcPr>
          <w:p>
            <w:pPr>
              <w:pStyle w:val="14"/>
            </w:pPr>
            <w:r>
              <w:t>C99</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石家庄市藁城区市场监督管理局（含所属单位）上年末固定资产金额为1208.42万元（详见下表）。本年度拟购置固定资产总额为</w:t>
      </w:r>
      <w:r>
        <w:rPr>
          <w:rFonts w:hint="eastAsia" w:eastAsia="方正仿宋_GBK" w:cs="Times New Roman"/>
          <w:b w:val="0"/>
          <w:color w:val="000000"/>
          <w:sz w:val="28"/>
          <w:lang w:val="en-US" w:eastAsia="zh-CN"/>
        </w:rPr>
        <w:t>48</w:t>
      </w:r>
      <w:r>
        <w:rPr>
          <w:rFonts w:ascii="Times New Roman" w:hAnsi="Times New Roman" w:eastAsia="方正仿宋_GBK" w:cs="Times New Roman"/>
          <w:b w:val="0"/>
          <w:color w:val="000000"/>
          <w:sz w:val="28"/>
        </w:rPr>
        <w:t>.00万元，</w:t>
      </w:r>
      <w:r>
        <w:rPr>
          <w:rFonts w:hint="eastAsia" w:eastAsia="方正仿宋_GBK" w:cs="Times New Roman"/>
          <w:b w:val="0"/>
          <w:color w:val="000000"/>
          <w:sz w:val="28"/>
          <w:lang w:eastAsia="zh-CN"/>
        </w:rPr>
        <w:t>主要为空调、计算机、公务用车、检测设备，因未达到政府采购限购，故未列入政府采购预算</w:t>
      </w:r>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414石家庄市藁城区市场监督管理局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1208.42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11063</w:t>
            </w:r>
          </w:p>
        </w:tc>
        <w:tc>
          <w:tcPr>
            <w:tcW w:w="2835" w:type="dxa"/>
            <w:vAlign w:val="center"/>
          </w:tcPr>
          <w:p>
            <w:pPr>
              <w:pStyle w:val="13"/>
            </w:pPr>
            <w:r>
              <w:t>672.06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18</w:t>
            </w:r>
          </w:p>
        </w:tc>
        <w:tc>
          <w:tcPr>
            <w:tcW w:w="2835" w:type="dxa"/>
            <w:vAlign w:val="center"/>
          </w:tcPr>
          <w:p>
            <w:pPr>
              <w:pStyle w:val="13"/>
            </w:pPr>
            <w:r>
              <w:t>192.52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381.84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一、石家庄市藁城区市场监督管理局本级收支预算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414001石家庄市藁城区市场监督管理局本级</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4904.78</w:t>
            </w:r>
          </w:p>
        </w:tc>
        <w:tc>
          <w:tcPr>
            <w:tcW w:w="4535" w:type="dxa"/>
            <w:vAlign w:val="center"/>
          </w:tcPr>
          <w:p>
            <w:pPr>
              <w:pStyle w:val="14"/>
            </w:pPr>
            <w:r>
              <w:t>一、一般公共服务支出</w:t>
            </w:r>
          </w:p>
        </w:tc>
        <w:tc>
          <w:tcPr>
            <w:tcW w:w="2126" w:type="dxa"/>
            <w:vAlign w:val="center"/>
          </w:tcPr>
          <w:p>
            <w:pPr>
              <w:pStyle w:val="13"/>
            </w:pPr>
            <w:r>
              <w:t>4904.78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4904.78</w:t>
            </w:r>
          </w:p>
        </w:tc>
        <w:tc>
          <w:tcPr>
            <w:tcW w:w="4535" w:type="dxa"/>
            <w:vAlign w:val="center"/>
          </w:tcPr>
          <w:p>
            <w:pPr>
              <w:pStyle w:val="16"/>
            </w:pPr>
            <w:r>
              <w:t>本年支出合计</w:t>
            </w:r>
          </w:p>
        </w:tc>
        <w:tc>
          <w:tcPr>
            <w:tcW w:w="2126" w:type="dxa"/>
            <w:vAlign w:val="center"/>
          </w:tcPr>
          <w:p>
            <w:pPr>
              <w:pStyle w:val="17"/>
            </w:pPr>
            <w:r>
              <w:t>4904.78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4904.78</w:t>
            </w:r>
          </w:p>
        </w:tc>
        <w:tc>
          <w:tcPr>
            <w:tcW w:w="4535" w:type="dxa"/>
            <w:vAlign w:val="center"/>
          </w:tcPr>
          <w:p>
            <w:pPr>
              <w:pStyle w:val="16"/>
            </w:pPr>
            <w:r>
              <w:t>支出总计</w:t>
            </w:r>
          </w:p>
        </w:tc>
        <w:tc>
          <w:tcPr>
            <w:tcW w:w="2126" w:type="dxa"/>
            <w:vAlign w:val="center"/>
          </w:tcPr>
          <w:p>
            <w:pPr>
              <w:pStyle w:val="17"/>
            </w:pPr>
            <w:r>
              <w:t>4904.78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414001石家庄市藁城区市场监督管理局本级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4904.78</w:t>
            </w:r>
          </w:p>
        </w:tc>
        <w:tc>
          <w:tcPr>
            <w:tcW w:w="1134" w:type="dxa"/>
            <w:vAlign w:val="center"/>
          </w:tcPr>
          <w:p>
            <w:pPr>
              <w:pStyle w:val="17"/>
            </w:pPr>
            <w:r>
              <w:t>4904.78</w:t>
            </w:r>
          </w:p>
        </w:tc>
        <w:tc>
          <w:tcPr>
            <w:tcW w:w="1134" w:type="dxa"/>
            <w:vAlign w:val="center"/>
          </w:tcPr>
          <w:p>
            <w:pPr>
              <w:pStyle w:val="17"/>
            </w:pPr>
            <w:r>
              <w:t>4904.78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4904.78</w:t>
            </w:r>
          </w:p>
        </w:tc>
        <w:tc>
          <w:tcPr>
            <w:tcW w:w="1134" w:type="dxa"/>
            <w:vAlign w:val="center"/>
          </w:tcPr>
          <w:p>
            <w:pPr>
              <w:pStyle w:val="13"/>
            </w:pPr>
            <w:r>
              <w:t>4904.78</w:t>
            </w:r>
          </w:p>
        </w:tc>
        <w:tc>
          <w:tcPr>
            <w:tcW w:w="1134" w:type="dxa"/>
            <w:vAlign w:val="center"/>
          </w:tcPr>
          <w:p>
            <w:pPr>
              <w:pStyle w:val="13"/>
            </w:pPr>
            <w:r>
              <w:t>4904.78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20138</w:t>
            </w:r>
          </w:p>
        </w:tc>
        <w:tc>
          <w:tcPr>
            <w:tcW w:w="1559" w:type="dxa"/>
            <w:vAlign w:val="center"/>
          </w:tcPr>
          <w:p>
            <w:pPr>
              <w:pStyle w:val="14"/>
            </w:pPr>
            <w:r>
              <w:t>市场监督管理事务</w:t>
            </w:r>
          </w:p>
        </w:tc>
        <w:tc>
          <w:tcPr>
            <w:tcW w:w="1134" w:type="dxa"/>
            <w:vAlign w:val="center"/>
          </w:tcPr>
          <w:p>
            <w:pPr>
              <w:pStyle w:val="13"/>
            </w:pPr>
            <w:r>
              <w:t>4904.78</w:t>
            </w:r>
          </w:p>
        </w:tc>
        <w:tc>
          <w:tcPr>
            <w:tcW w:w="1134" w:type="dxa"/>
            <w:vAlign w:val="center"/>
          </w:tcPr>
          <w:p>
            <w:pPr>
              <w:pStyle w:val="13"/>
            </w:pPr>
            <w:r>
              <w:t>4904.78</w:t>
            </w:r>
          </w:p>
        </w:tc>
        <w:tc>
          <w:tcPr>
            <w:tcW w:w="1134" w:type="dxa"/>
            <w:vAlign w:val="center"/>
          </w:tcPr>
          <w:p>
            <w:pPr>
              <w:pStyle w:val="13"/>
            </w:pPr>
            <w:r>
              <w:t>4904.78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2013801</w:t>
            </w:r>
          </w:p>
        </w:tc>
        <w:tc>
          <w:tcPr>
            <w:tcW w:w="1559" w:type="dxa"/>
            <w:vAlign w:val="center"/>
          </w:tcPr>
          <w:p>
            <w:pPr>
              <w:pStyle w:val="14"/>
            </w:pPr>
            <w:r>
              <w:t>行政运行</w:t>
            </w:r>
          </w:p>
        </w:tc>
        <w:tc>
          <w:tcPr>
            <w:tcW w:w="1134" w:type="dxa"/>
            <w:vAlign w:val="center"/>
          </w:tcPr>
          <w:p>
            <w:pPr>
              <w:pStyle w:val="13"/>
            </w:pPr>
            <w:r>
              <w:t>3646.36</w:t>
            </w:r>
          </w:p>
        </w:tc>
        <w:tc>
          <w:tcPr>
            <w:tcW w:w="1134" w:type="dxa"/>
            <w:vAlign w:val="center"/>
          </w:tcPr>
          <w:p>
            <w:pPr>
              <w:pStyle w:val="13"/>
            </w:pPr>
            <w:r>
              <w:t>3646.36</w:t>
            </w:r>
          </w:p>
        </w:tc>
        <w:tc>
          <w:tcPr>
            <w:tcW w:w="1134" w:type="dxa"/>
            <w:vAlign w:val="center"/>
          </w:tcPr>
          <w:p>
            <w:pPr>
              <w:pStyle w:val="13"/>
            </w:pPr>
            <w:r>
              <w:t>3646.36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2013802</w:t>
            </w:r>
          </w:p>
        </w:tc>
        <w:tc>
          <w:tcPr>
            <w:tcW w:w="1559" w:type="dxa"/>
            <w:vAlign w:val="center"/>
          </w:tcPr>
          <w:p>
            <w:pPr>
              <w:pStyle w:val="14"/>
            </w:pPr>
            <w:r>
              <w:t>一般行政管理事务</w:t>
            </w:r>
          </w:p>
        </w:tc>
        <w:tc>
          <w:tcPr>
            <w:tcW w:w="1134" w:type="dxa"/>
            <w:vAlign w:val="center"/>
          </w:tcPr>
          <w:p>
            <w:pPr>
              <w:pStyle w:val="13"/>
            </w:pPr>
            <w:r>
              <w:t>209.00</w:t>
            </w:r>
          </w:p>
        </w:tc>
        <w:tc>
          <w:tcPr>
            <w:tcW w:w="1134" w:type="dxa"/>
            <w:vAlign w:val="center"/>
          </w:tcPr>
          <w:p>
            <w:pPr>
              <w:pStyle w:val="13"/>
            </w:pPr>
            <w:r>
              <w:t>209.00</w:t>
            </w:r>
          </w:p>
        </w:tc>
        <w:tc>
          <w:tcPr>
            <w:tcW w:w="1134" w:type="dxa"/>
            <w:vAlign w:val="center"/>
          </w:tcPr>
          <w:p>
            <w:pPr>
              <w:pStyle w:val="13"/>
            </w:pPr>
            <w:r>
              <w:t>209.00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2013803</w:t>
            </w:r>
          </w:p>
        </w:tc>
        <w:tc>
          <w:tcPr>
            <w:tcW w:w="1559" w:type="dxa"/>
            <w:vAlign w:val="center"/>
          </w:tcPr>
          <w:p>
            <w:pPr>
              <w:pStyle w:val="14"/>
            </w:pPr>
            <w:r>
              <w:t>机关服务</w:t>
            </w:r>
          </w:p>
        </w:tc>
        <w:tc>
          <w:tcPr>
            <w:tcW w:w="1134" w:type="dxa"/>
            <w:vAlign w:val="center"/>
          </w:tcPr>
          <w:p>
            <w:pPr>
              <w:pStyle w:val="13"/>
            </w:pPr>
            <w:r>
              <w:t>501.42</w:t>
            </w:r>
          </w:p>
        </w:tc>
        <w:tc>
          <w:tcPr>
            <w:tcW w:w="1134" w:type="dxa"/>
            <w:vAlign w:val="center"/>
          </w:tcPr>
          <w:p>
            <w:pPr>
              <w:pStyle w:val="13"/>
            </w:pPr>
            <w:r>
              <w:t>501.42</w:t>
            </w:r>
          </w:p>
        </w:tc>
        <w:tc>
          <w:tcPr>
            <w:tcW w:w="1134" w:type="dxa"/>
            <w:vAlign w:val="center"/>
          </w:tcPr>
          <w:p>
            <w:pPr>
              <w:pStyle w:val="13"/>
            </w:pPr>
            <w:r>
              <w:t>501.42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2013804</w:t>
            </w:r>
          </w:p>
        </w:tc>
        <w:tc>
          <w:tcPr>
            <w:tcW w:w="1559" w:type="dxa"/>
            <w:vAlign w:val="center"/>
          </w:tcPr>
          <w:p>
            <w:pPr>
              <w:pStyle w:val="14"/>
            </w:pPr>
            <w:r>
              <w:t>市场主体管理</w:t>
            </w:r>
          </w:p>
        </w:tc>
        <w:tc>
          <w:tcPr>
            <w:tcW w:w="1134" w:type="dxa"/>
            <w:vAlign w:val="center"/>
          </w:tcPr>
          <w:p>
            <w:pPr>
              <w:pStyle w:val="13"/>
            </w:pPr>
            <w:r>
              <w:t>43.00</w:t>
            </w:r>
          </w:p>
        </w:tc>
        <w:tc>
          <w:tcPr>
            <w:tcW w:w="1134" w:type="dxa"/>
            <w:vAlign w:val="center"/>
          </w:tcPr>
          <w:p>
            <w:pPr>
              <w:pStyle w:val="13"/>
            </w:pPr>
            <w:r>
              <w:t>43.00</w:t>
            </w:r>
          </w:p>
        </w:tc>
        <w:tc>
          <w:tcPr>
            <w:tcW w:w="1134" w:type="dxa"/>
            <w:vAlign w:val="center"/>
          </w:tcPr>
          <w:p>
            <w:pPr>
              <w:pStyle w:val="13"/>
            </w:pPr>
            <w:r>
              <w:t>43.00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2013815</w:t>
            </w:r>
          </w:p>
        </w:tc>
        <w:tc>
          <w:tcPr>
            <w:tcW w:w="1559" w:type="dxa"/>
            <w:vAlign w:val="center"/>
          </w:tcPr>
          <w:p>
            <w:pPr>
              <w:pStyle w:val="14"/>
            </w:pPr>
            <w:r>
              <w:t>质量安全监管</w:t>
            </w:r>
          </w:p>
        </w:tc>
        <w:tc>
          <w:tcPr>
            <w:tcW w:w="1134" w:type="dxa"/>
            <w:vAlign w:val="center"/>
          </w:tcPr>
          <w:p>
            <w:pPr>
              <w:pStyle w:val="13"/>
            </w:pPr>
            <w:r>
              <w:t>105.00</w:t>
            </w:r>
          </w:p>
        </w:tc>
        <w:tc>
          <w:tcPr>
            <w:tcW w:w="1134" w:type="dxa"/>
            <w:vAlign w:val="center"/>
          </w:tcPr>
          <w:p>
            <w:pPr>
              <w:pStyle w:val="13"/>
            </w:pPr>
            <w:r>
              <w:t>105.00</w:t>
            </w:r>
          </w:p>
        </w:tc>
        <w:tc>
          <w:tcPr>
            <w:tcW w:w="1134" w:type="dxa"/>
            <w:vAlign w:val="center"/>
          </w:tcPr>
          <w:p>
            <w:pPr>
              <w:pStyle w:val="13"/>
            </w:pPr>
            <w:r>
              <w:t>105.00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2013816</w:t>
            </w:r>
          </w:p>
        </w:tc>
        <w:tc>
          <w:tcPr>
            <w:tcW w:w="1559" w:type="dxa"/>
            <w:vAlign w:val="center"/>
          </w:tcPr>
          <w:p>
            <w:pPr>
              <w:pStyle w:val="14"/>
            </w:pPr>
            <w:r>
              <w:t>食品安全监管</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2013899</w:t>
            </w:r>
          </w:p>
        </w:tc>
        <w:tc>
          <w:tcPr>
            <w:tcW w:w="1559" w:type="dxa"/>
            <w:vAlign w:val="center"/>
          </w:tcPr>
          <w:p>
            <w:pPr>
              <w:pStyle w:val="14"/>
            </w:pPr>
            <w:r>
              <w:t>其他市场监督管理事务</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414001石家庄市藁城区市场监督管理局本级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4904.78</w:t>
            </w:r>
          </w:p>
        </w:tc>
        <w:tc>
          <w:tcPr>
            <w:tcW w:w="1361" w:type="dxa"/>
            <w:vAlign w:val="center"/>
          </w:tcPr>
          <w:p>
            <w:pPr>
              <w:pStyle w:val="17"/>
            </w:pPr>
            <w:r>
              <w:t>3646.36</w:t>
            </w:r>
          </w:p>
        </w:tc>
        <w:tc>
          <w:tcPr>
            <w:tcW w:w="1361" w:type="dxa"/>
            <w:vAlign w:val="center"/>
          </w:tcPr>
          <w:p>
            <w:pPr>
              <w:pStyle w:val="17"/>
            </w:pPr>
            <w:r>
              <w:t>1258.42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4904.78</w:t>
            </w:r>
          </w:p>
        </w:tc>
        <w:tc>
          <w:tcPr>
            <w:tcW w:w="1361" w:type="dxa"/>
            <w:vAlign w:val="center"/>
          </w:tcPr>
          <w:p>
            <w:pPr>
              <w:pStyle w:val="13"/>
            </w:pPr>
            <w:r>
              <w:t>3646.36</w:t>
            </w:r>
          </w:p>
        </w:tc>
        <w:tc>
          <w:tcPr>
            <w:tcW w:w="1361" w:type="dxa"/>
            <w:vAlign w:val="center"/>
          </w:tcPr>
          <w:p>
            <w:pPr>
              <w:pStyle w:val="13"/>
            </w:pPr>
            <w:r>
              <w:t>1258.42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20138</w:t>
            </w:r>
          </w:p>
        </w:tc>
        <w:tc>
          <w:tcPr>
            <w:tcW w:w="4535" w:type="dxa"/>
            <w:vAlign w:val="center"/>
          </w:tcPr>
          <w:p>
            <w:pPr>
              <w:pStyle w:val="14"/>
            </w:pPr>
            <w:r>
              <w:t>市场监督管理事务</w:t>
            </w:r>
          </w:p>
        </w:tc>
        <w:tc>
          <w:tcPr>
            <w:tcW w:w="1361" w:type="dxa"/>
            <w:vAlign w:val="center"/>
          </w:tcPr>
          <w:p>
            <w:pPr>
              <w:pStyle w:val="13"/>
            </w:pPr>
            <w:r>
              <w:t>4904.78</w:t>
            </w:r>
          </w:p>
        </w:tc>
        <w:tc>
          <w:tcPr>
            <w:tcW w:w="1361" w:type="dxa"/>
            <w:vAlign w:val="center"/>
          </w:tcPr>
          <w:p>
            <w:pPr>
              <w:pStyle w:val="13"/>
            </w:pPr>
            <w:r>
              <w:t>3646.36</w:t>
            </w:r>
          </w:p>
        </w:tc>
        <w:tc>
          <w:tcPr>
            <w:tcW w:w="1361" w:type="dxa"/>
            <w:vAlign w:val="center"/>
          </w:tcPr>
          <w:p>
            <w:pPr>
              <w:pStyle w:val="13"/>
            </w:pPr>
            <w:r>
              <w:t>1258.42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2013801</w:t>
            </w:r>
          </w:p>
        </w:tc>
        <w:tc>
          <w:tcPr>
            <w:tcW w:w="4535" w:type="dxa"/>
            <w:vAlign w:val="center"/>
          </w:tcPr>
          <w:p>
            <w:pPr>
              <w:pStyle w:val="14"/>
            </w:pPr>
            <w:r>
              <w:t>行政运行</w:t>
            </w:r>
          </w:p>
        </w:tc>
        <w:tc>
          <w:tcPr>
            <w:tcW w:w="1361" w:type="dxa"/>
            <w:vAlign w:val="center"/>
          </w:tcPr>
          <w:p>
            <w:pPr>
              <w:pStyle w:val="13"/>
            </w:pPr>
            <w:r>
              <w:t>3646.36</w:t>
            </w:r>
          </w:p>
        </w:tc>
        <w:tc>
          <w:tcPr>
            <w:tcW w:w="1361" w:type="dxa"/>
            <w:vAlign w:val="center"/>
          </w:tcPr>
          <w:p>
            <w:pPr>
              <w:pStyle w:val="13"/>
            </w:pPr>
            <w:r>
              <w:t>3646.36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2013802</w:t>
            </w:r>
          </w:p>
        </w:tc>
        <w:tc>
          <w:tcPr>
            <w:tcW w:w="4535" w:type="dxa"/>
            <w:vAlign w:val="center"/>
          </w:tcPr>
          <w:p>
            <w:pPr>
              <w:pStyle w:val="14"/>
            </w:pPr>
            <w:r>
              <w:t>一般行政管理事务</w:t>
            </w:r>
          </w:p>
        </w:tc>
        <w:tc>
          <w:tcPr>
            <w:tcW w:w="1361" w:type="dxa"/>
            <w:vAlign w:val="center"/>
          </w:tcPr>
          <w:p>
            <w:pPr>
              <w:pStyle w:val="13"/>
            </w:pPr>
            <w:r>
              <w:t>209.00</w:t>
            </w:r>
          </w:p>
        </w:tc>
        <w:tc>
          <w:tcPr>
            <w:tcW w:w="1361" w:type="dxa"/>
            <w:vAlign w:val="center"/>
          </w:tcPr>
          <w:p>
            <w:pPr>
              <w:pStyle w:val="13"/>
            </w:pPr>
          </w:p>
        </w:tc>
        <w:tc>
          <w:tcPr>
            <w:tcW w:w="1361" w:type="dxa"/>
            <w:vAlign w:val="center"/>
          </w:tcPr>
          <w:p>
            <w:pPr>
              <w:pStyle w:val="13"/>
            </w:pPr>
            <w:r>
              <w:t>209.00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2013803</w:t>
            </w:r>
          </w:p>
        </w:tc>
        <w:tc>
          <w:tcPr>
            <w:tcW w:w="4535" w:type="dxa"/>
            <w:vAlign w:val="center"/>
          </w:tcPr>
          <w:p>
            <w:pPr>
              <w:pStyle w:val="14"/>
            </w:pPr>
            <w:r>
              <w:t>机关服务</w:t>
            </w:r>
          </w:p>
        </w:tc>
        <w:tc>
          <w:tcPr>
            <w:tcW w:w="1361" w:type="dxa"/>
            <w:vAlign w:val="center"/>
          </w:tcPr>
          <w:p>
            <w:pPr>
              <w:pStyle w:val="13"/>
            </w:pPr>
            <w:r>
              <w:t>501.42</w:t>
            </w:r>
          </w:p>
        </w:tc>
        <w:tc>
          <w:tcPr>
            <w:tcW w:w="1361" w:type="dxa"/>
            <w:vAlign w:val="center"/>
          </w:tcPr>
          <w:p>
            <w:pPr>
              <w:pStyle w:val="13"/>
            </w:pPr>
          </w:p>
        </w:tc>
        <w:tc>
          <w:tcPr>
            <w:tcW w:w="1361" w:type="dxa"/>
            <w:vAlign w:val="center"/>
          </w:tcPr>
          <w:p>
            <w:pPr>
              <w:pStyle w:val="13"/>
            </w:pPr>
            <w:r>
              <w:t>501.42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2013804</w:t>
            </w:r>
          </w:p>
        </w:tc>
        <w:tc>
          <w:tcPr>
            <w:tcW w:w="4535" w:type="dxa"/>
            <w:vAlign w:val="center"/>
          </w:tcPr>
          <w:p>
            <w:pPr>
              <w:pStyle w:val="14"/>
            </w:pPr>
            <w:r>
              <w:t>市场主体管理</w:t>
            </w:r>
          </w:p>
        </w:tc>
        <w:tc>
          <w:tcPr>
            <w:tcW w:w="1361" w:type="dxa"/>
            <w:vAlign w:val="center"/>
          </w:tcPr>
          <w:p>
            <w:pPr>
              <w:pStyle w:val="13"/>
            </w:pPr>
            <w:r>
              <w:t>43.00</w:t>
            </w:r>
          </w:p>
        </w:tc>
        <w:tc>
          <w:tcPr>
            <w:tcW w:w="1361" w:type="dxa"/>
            <w:vAlign w:val="center"/>
          </w:tcPr>
          <w:p>
            <w:pPr>
              <w:pStyle w:val="13"/>
            </w:pPr>
          </w:p>
        </w:tc>
        <w:tc>
          <w:tcPr>
            <w:tcW w:w="1361" w:type="dxa"/>
            <w:vAlign w:val="center"/>
          </w:tcPr>
          <w:p>
            <w:pPr>
              <w:pStyle w:val="13"/>
            </w:pPr>
            <w:r>
              <w:t>43.00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2013815</w:t>
            </w:r>
          </w:p>
        </w:tc>
        <w:tc>
          <w:tcPr>
            <w:tcW w:w="4535" w:type="dxa"/>
            <w:vAlign w:val="center"/>
          </w:tcPr>
          <w:p>
            <w:pPr>
              <w:pStyle w:val="14"/>
            </w:pPr>
            <w:r>
              <w:t>质量安全监管</w:t>
            </w:r>
          </w:p>
        </w:tc>
        <w:tc>
          <w:tcPr>
            <w:tcW w:w="1361" w:type="dxa"/>
            <w:vAlign w:val="center"/>
          </w:tcPr>
          <w:p>
            <w:pPr>
              <w:pStyle w:val="13"/>
            </w:pPr>
            <w:r>
              <w:t>105.00</w:t>
            </w:r>
          </w:p>
        </w:tc>
        <w:tc>
          <w:tcPr>
            <w:tcW w:w="1361" w:type="dxa"/>
            <w:vAlign w:val="center"/>
          </w:tcPr>
          <w:p>
            <w:pPr>
              <w:pStyle w:val="13"/>
            </w:pPr>
          </w:p>
        </w:tc>
        <w:tc>
          <w:tcPr>
            <w:tcW w:w="1361" w:type="dxa"/>
            <w:vAlign w:val="center"/>
          </w:tcPr>
          <w:p>
            <w:pPr>
              <w:pStyle w:val="13"/>
            </w:pPr>
            <w:r>
              <w:t>105.00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2013816</w:t>
            </w:r>
          </w:p>
        </w:tc>
        <w:tc>
          <w:tcPr>
            <w:tcW w:w="4535" w:type="dxa"/>
            <w:vAlign w:val="center"/>
          </w:tcPr>
          <w:p>
            <w:pPr>
              <w:pStyle w:val="14"/>
            </w:pPr>
            <w:r>
              <w:t>食品安全监管</w:t>
            </w: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2013899</w:t>
            </w:r>
          </w:p>
        </w:tc>
        <w:tc>
          <w:tcPr>
            <w:tcW w:w="4535" w:type="dxa"/>
            <w:vAlign w:val="center"/>
          </w:tcPr>
          <w:p>
            <w:pPr>
              <w:pStyle w:val="14"/>
            </w:pPr>
            <w:r>
              <w:t>其他市场监督管理事务</w:t>
            </w: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414001石家庄市藁城区市场监督管理局本级</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4904.78</w:t>
            </w:r>
          </w:p>
        </w:tc>
        <w:tc>
          <w:tcPr>
            <w:tcW w:w="3402" w:type="dxa"/>
            <w:vAlign w:val="center"/>
          </w:tcPr>
          <w:p>
            <w:pPr>
              <w:pStyle w:val="14"/>
            </w:pPr>
            <w:r>
              <w:t>一、一般公共服务支出</w:t>
            </w:r>
          </w:p>
        </w:tc>
        <w:tc>
          <w:tcPr>
            <w:tcW w:w="1474" w:type="dxa"/>
            <w:vAlign w:val="center"/>
          </w:tcPr>
          <w:p>
            <w:pPr>
              <w:pStyle w:val="13"/>
            </w:pPr>
            <w:r>
              <w:t>4904.78</w:t>
            </w:r>
          </w:p>
        </w:tc>
        <w:tc>
          <w:tcPr>
            <w:tcW w:w="1474" w:type="dxa"/>
            <w:vAlign w:val="center"/>
          </w:tcPr>
          <w:p>
            <w:pPr>
              <w:pStyle w:val="13"/>
            </w:pPr>
            <w:r>
              <w:t>4904.78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4904.78</w:t>
            </w:r>
          </w:p>
        </w:tc>
        <w:tc>
          <w:tcPr>
            <w:tcW w:w="3402" w:type="dxa"/>
            <w:vAlign w:val="center"/>
          </w:tcPr>
          <w:p>
            <w:pPr>
              <w:pStyle w:val="16"/>
            </w:pPr>
            <w:r>
              <w:t>本年支出合计</w:t>
            </w:r>
          </w:p>
        </w:tc>
        <w:tc>
          <w:tcPr>
            <w:tcW w:w="1474" w:type="dxa"/>
            <w:vAlign w:val="center"/>
          </w:tcPr>
          <w:p>
            <w:pPr>
              <w:pStyle w:val="17"/>
            </w:pPr>
            <w:r>
              <w:t>4904.78</w:t>
            </w:r>
          </w:p>
        </w:tc>
        <w:tc>
          <w:tcPr>
            <w:tcW w:w="1474" w:type="dxa"/>
            <w:vAlign w:val="center"/>
          </w:tcPr>
          <w:p>
            <w:pPr>
              <w:pStyle w:val="17"/>
            </w:pPr>
            <w:r>
              <w:t>4904.78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4904.78</w:t>
            </w:r>
          </w:p>
        </w:tc>
        <w:tc>
          <w:tcPr>
            <w:tcW w:w="3402" w:type="dxa"/>
            <w:vAlign w:val="center"/>
          </w:tcPr>
          <w:p>
            <w:pPr>
              <w:pStyle w:val="16"/>
            </w:pPr>
            <w:r>
              <w:t>支出总计</w:t>
            </w:r>
          </w:p>
        </w:tc>
        <w:tc>
          <w:tcPr>
            <w:tcW w:w="1474" w:type="dxa"/>
            <w:vAlign w:val="center"/>
          </w:tcPr>
          <w:p>
            <w:pPr>
              <w:pStyle w:val="17"/>
            </w:pPr>
            <w:r>
              <w:t>4904.78</w:t>
            </w:r>
          </w:p>
        </w:tc>
        <w:tc>
          <w:tcPr>
            <w:tcW w:w="1474" w:type="dxa"/>
            <w:vAlign w:val="center"/>
          </w:tcPr>
          <w:p>
            <w:pPr>
              <w:pStyle w:val="17"/>
            </w:pPr>
            <w:r>
              <w:t>4904.78</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414001石家庄市藁城区市场监督管理局本级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4904.78</w:t>
            </w:r>
          </w:p>
        </w:tc>
        <w:tc>
          <w:tcPr>
            <w:tcW w:w="2551" w:type="dxa"/>
            <w:vAlign w:val="center"/>
          </w:tcPr>
          <w:p>
            <w:pPr>
              <w:pStyle w:val="17"/>
            </w:pPr>
            <w:r>
              <w:t>3646.36</w:t>
            </w:r>
          </w:p>
        </w:tc>
        <w:tc>
          <w:tcPr>
            <w:tcW w:w="2551" w:type="dxa"/>
            <w:vAlign w:val="center"/>
          </w:tcPr>
          <w:p>
            <w:pPr>
              <w:pStyle w:val="17"/>
            </w:pPr>
            <w:r>
              <w:t>1258.42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4904.78</w:t>
            </w:r>
          </w:p>
        </w:tc>
        <w:tc>
          <w:tcPr>
            <w:tcW w:w="2551" w:type="dxa"/>
            <w:vAlign w:val="center"/>
          </w:tcPr>
          <w:p>
            <w:pPr>
              <w:pStyle w:val="13"/>
            </w:pPr>
            <w:r>
              <w:t>3646.36</w:t>
            </w:r>
          </w:p>
        </w:tc>
        <w:tc>
          <w:tcPr>
            <w:tcW w:w="2551" w:type="dxa"/>
            <w:vAlign w:val="center"/>
          </w:tcPr>
          <w:p>
            <w:pPr>
              <w:pStyle w:val="13"/>
            </w:pPr>
            <w:r>
              <w:t>1258.42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20138</w:t>
            </w:r>
          </w:p>
        </w:tc>
        <w:tc>
          <w:tcPr>
            <w:tcW w:w="4535" w:type="dxa"/>
            <w:vAlign w:val="center"/>
          </w:tcPr>
          <w:p>
            <w:pPr>
              <w:pStyle w:val="14"/>
            </w:pPr>
            <w:r>
              <w:t>市场监督管理事务</w:t>
            </w:r>
          </w:p>
        </w:tc>
        <w:tc>
          <w:tcPr>
            <w:tcW w:w="2551" w:type="dxa"/>
            <w:vAlign w:val="center"/>
          </w:tcPr>
          <w:p>
            <w:pPr>
              <w:pStyle w:val="13"/>
            </w:pPr>
            <w:r>
              <w:t>4904.78</w:t>
            </w:r>
          </w:p>
        </w:tc>
        <w:tc>
          <w:tcPr>
            <w:tcW w:w="2551" w:type="dxa"/>
            <w:vAlign w:val="center"/>
          </w:tcPr>
          <w:p>
            <w:pPr>
              <w:pStyle w:val="13"/>
            </w:pPr>
            <w:r>
              <w:t>3646.36</w:t>
            </w:r>
          </w:p>
        </w:tc>
        <w:tc>
          <w:tcPr>
            <w:tcW w:w="2551" w:type="dxa"/>
            <w:vAlign w:val="center"/>
          </w:tcPr>
          <w:p>
            <w:pPr>
              <w:pStyle w:val="13"/>
            </w:pPr>
            <w:r>
              <w:t>1258.42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2013801</w:t>
            </w:r>
          </w:p>
        </w:tc>
        <w:tc>
          <w:tcPr>
            <w:tcW w:w="4535" w:type="dxa"/>
            <w:vAlign w:val="center"/>
          </w:tcPr>
          <w:p>
            <w:pPr>
              <w:pStyle w:val="14"/>
            </w:pPr>
            <w:r>
              <w:t>行政运行</w:t>
            </w:r>
          </w:p>
        </w:tc>
        <w:tc>
          <w:tcPr>
            <w:tcW w:w="2551" w:type="dxa"/>
            <w:vAlign w:val="center"/>
          </w:tcPr>
          <w:p>
            <w:pPr>
              <w:pStyle w:val="13"/>
            </w:pPr>
            <w:r>
              <w:t>3646.36</w:t>
            </w:r>
          </w:p>
        </w:tc>
        <w:tc>
          <w:tcPr>
            <w:tcW w:w="2551" w:type="dxa"/>
            <w:vAlign w:val="center"/>
          </w:tcPr>
          <w:p>
            <w:pPr>
              <w:pStyle w:val="13"/>
            </w:pPr>
            <w:r>
              <w:t>3646.36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2013802</w:t>
            </w:r>
          </w:p>
        </w:tc>
        <w:tc>
          <w:tcPr>
            <w:tcW w:w="4535" w:type="dxa"/>
            <w:vAlign w:val="center"/>
          </w:tcPr>
          <w:p>
            <w:pPr>
              <w:pStyle w:val="14"/>
            </w:pPr>
            <w:r>
              <w:t>一般行政管理事务</w:t>
            </w:r>
          </w:p>
        </w:tc>
        <w:tc>
          <w:tcPr>
            <w:tcW w:w="2551" w:type="dxa"/>
            <w:vAlign w:val="center"/>
          </w:tcPr>
          <w:p>
            <w:pPr>
              <w:pStyle w:val="13"/>
            </w:pPr>
            <w:r>
              <w:t>209.00</w:t>
            </w:r>
          </w:p>
        </w:tc>
        <w:tc>
          <w:tcPr>
            <w:tcW w:w="2551" w:type="dxa"/>
            <w:vAlign w:val="center"/>
          </w:tcPr>
          <w:p>
            <w:pPr>
              <w:pStyle w:val="13"/>
            </w:pPr>
          </w:p>
        </w:tc>
        <w:tc>
          <w:tcPr>
            <w:tcW w:w="2551" w:type="dxa"/>
            <w:vAlign w:val="center"/>
          </w:tcPr>
          <w:p>
            <w:pPr>
              <w:pStyle w:val="13"/>
            </w:pPr>
            <w:r>
              <w:t>209.00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2013803</w:t>
            </w:r>
          </w:p>
        </w:tc>
        <w:tc>
          <w:tcPr>
            <w:tcW w:w="4535" w:type="dxa"/>
            <w:vAlign w:val="center"/>
          </w:tcPr>
          <w:p>
            <w:pPr>
              <w:pStyle w:val="14"/>
            </w:pPr>
            <w:r>
              <w:t>机关服务</w:t>
            </w:r>
          </w:p>
        </w:tc>
        <w:tc>
          <w:tcPr>
            <w:tcW w:w="2551" w:type="dxa"/>
            <w:vAlign w:val="center"/>
          </w:tcPr>
          <w:p>
            <w:pPr>
              <w:pStyle w:val="13"/>
            </w:pPr>
            <w:r>
              <w:t>501.42</w:t>
            </w:r>
          </w:p>
        </w:tc>
        <w:tc>
          <w:tcPr>
            <w:tcW w:w="2551" w:type="dxa"/>
            <w:vAlign w:val="center"/>
          </w:tcPr>
          <w:p>
            <w:pPr>
              <w:pStyle w:val="13"/>
            </w:pPr>
          </w:p>
        </w:tc>
        <w:tc>
          <w:tcPr>
            <w:tcW w:w="2551" w:type="dxa"/>
            <w:vAlign w:val="center"/>
          </w:tcPr>
          <w:p>
            <w:pPr>
              <w:pStyle w:val="13"/>
            </w:pPr>
            <w:r>
              <w:t>501.42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2013804</w:t>
            </w:r>
          </w:p>
        </w:tc>
        <w:tc>
          <w:tcPr>
            <w:tcW w:w="4535" w:type="dxa"/>
            <w:vAlign w:val="center"/>
          </w:tcPr>
          <w:p>
            <w:pPr>
              <w:pStyle w:val="14"/>
            </w:pPr>
            <w:r>
              <w:t>市场主体管理</w:t>
            </w:r>
          </w:p>
        </w:tc>
        <w:tc>
          <w:tcPr>
            <w:tcW w:w="2551" w:type="dxa"/>
            <w:vAlign w:val="center"/>
          </w:tcPr>
          <w:p>
            <w:pPr>
              <w:pStyle w:val="13"/>
            </w:pPr>
            <w:r>
              <w:t>43.00</w:t>
            </w:r>
          </w:p>
        </w:tc>
        <w:tc>
          <w:tcPr>
            <w:tcW w:w="2551" w:type="dxa"/>
            <w:vAlign w:val="center"/>
          </w:tcPr>
          <w:p>
            <w:pPr>
              <w:pStyle w:val="13"/>
            </w:pPr>
          </w:p>
        </w:tc>
        <w:tc>
          <w:tcPr>
            <w:tcW w:w="2551" w:type="dxa"/>
            <w:vAlign w:val="center"/>
          </w:tcPr>
          <w:p>
            <w:pPr>
              <w:pStyle w:val="13"/>
            </w:pPr>
            <w:r>
              <w:t>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2013815</w:t>
            </w:r>
          </w:p>
        </w:tc>
        <w:tc>
          <w:tcPr>
            <w:tcW w:w="4535" w:type="dxa"/>
            <w:vAlign w:val="center"/>
          </w:tcPr>
          <w:p>
            <w:pPr>
              <w:pStyle w:val="14"/>
            </w:pPr>
            <w:r>
              <w:t>质量安全监管</w:t>
            </w:r>
          </w:p>
        </w:tc>
        <w:tc>
          <w:tcPr>
            <w:tcW w:w="2551" w:type="dxa"/>
            <w:vAlign w:val="center"/>
          </w:tcPr>
          <w:p>
            <w:pPr>
              <w:pStyle w:val="13"/>
            </w:pPr>
            <w:r>
              <w:t>105.00</w:t>
            </w:r>
          </w:p>
        </w:tc>
        <w:tc>
          <w:tcPr>
            <w:tcW w:w="2551" w:type="dxa"/>
            <w:vAlign w:val="center"/>
          </w:tcPr>
          <w:p>
            <w:pPr>
              <w:pStyle w:val="13"/>
            </w:pPr>
          </w:p>
        </w:tc>
        <w:tc>
          <w:tcPr>
            <w:tcW w:w="2551" w:type="dxa"/>
            <w:vAlign w:val="center"/>
          </w:tcPr>
          <w:p>
            <w:pPr>
              <w:pStyle w:val="13"/>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2013816</w:t>
            </w:r>
          </w:p>
        </w:tc>
        <w:tc>
          <w:tcPr>
            <w:tcW w:w="4535" w:type="dxa"/>
            <w:vAlign w:val="center"/>
          </w:tcPr>
          <w:p>
            <w:pPr>
              <w:pStyle w:val="14"/>
            </w:pPr>
            <w:r>
              <w:t>食品安全监管</w:t>
            </w:r>
          </w:p>
        </w:tc>
        <w:tc>
          <w:tcPr>
            <w:tcW w:w="2551" w:type="dxa"/>
            <w:vAlign w:val="center"/>
          </w:tcPr>
          <w:p>
            <w:pPr>
              <w:pStyle w:val="13"/>
            </w:pPr>
            <w:r>
              <w:t>200.00</w:t>
            </w:r>
          </w:p>
        </w:tc>
        <w:tc>
          <w:tcPr>
            <w:tcW w:w="2551" w:type="dxa"/>
            <w:vAlign w:val="center"/>
          </w:tcPr>
          <w:p>
            <w:pPr>
              <w:pStyle w:val="13"/>
            </w:pPr>
          </w:p>
        </w:tc>
        <w:tc>
          <w:tcPr>
            <w:tcW w:w="2551"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2013899</w:t>
            </w:r>
          </w:p>
        </w:tc>
        <w:tc>
          <w:tcPr>
            <w:tcW w:w="4535" w:type="dxa"/>
            <w:vAlign w:val="center"/>
          </w:tcPr>
          <w:p>
            <w:pPr>
              <w:pStyle w:val="14"/>
            </w:pPr>
            <w:r>
              <w:t>其他市场监督管理事务</w:t>
            </w:r>
          </w:p>
        </w:tc>
        <w:tc>
          <w:tcPr>
            <w:tcW w:w="2551" w:type="dxa"/>
            <w:vAlign w:val="center"/>
          </w:tcPr>
          <w:p>
            <w:pPr>
              <w:pStyle w:val="13"/>
            </w:pPr>
            <w:r>
              <w:t>200.00</w:t>
            </w:r>
          </w:p>
        </w:tc>
        <w:tc>
          <w:tcPr>
            <w:tcW w:w="2551" w:type="dxa"/>
            <w:vAlign w:val="center"/>
          </w:tcPr>
          <w:p>
            <w:pPr>
              <w:pStyle w:val="13"/>
            </w:pPr>
          </w:p>
        </w:tc>
        <w:tc>
          <w:tcPr>
            <w:tcW w:w="2551" w:type="dxa"/>
            <w:vAlign w:val="center"/>
          </w:tcPr>
          <w:p>
            <w:pPr>
              <w:pStyle w:val="13"/>
            </w:pPr>
            <w:r>
              <w:t>200.00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414001石家庄市藁城区市场监督管理局本级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3646.36</w:t>
            </w:r>
          </w:p>
        </w:tc>
        <w:tc>
          <w:tcPr>
            <w:tcW w:w="2551" w:type="dxa"/>
            <w:vAlign w:val="center"/>
          </w:tcPr>
          <w:p>
            <w:pPr>
              <w:pStyle w:val="17"/>
            </w:pPr>
            <w:r>
              <w:t>3343.71</w:t>
            </w:r>
          </w:p>
        </w:tc>
        <w:tc>
          <w:tcPr>
            <w:tcW w:w="2551" w:type="dxa"/>
            <w:vAlign w:val="center"/>
          </w:tcPr>
          <w:p>
            <w:pPr>
              <w:pStyle w:val="17"/>
            </w:pPr>
            <w:r>
              <w:t>302.65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3324.96</w:t>
            </w:r>
          </w:p>
        </w:tc>
        <w:tc>
          <w:tcPr>
            <w:tcW w:w="2551" w:type="dxa"/>
            <w:vAlign w:val="center"/>
          </w:tcPr>
          <w:p>
            <w:pPr>
              <w:pStyle w:val="13"/>
            </w:pPr>
            <w:r>
              <w:t>3324.96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783.45</w:t>
            </w:r>
          </w:p>
        </w:tc>
        <w:tc>
          <w:tcPr>
            <w:tcW w:w="2551" w:type="dxa"/>
            <w:vAlign w:val="center"/>
          </w:tcPr>
          <w:p>
            <w:pPr>
              <w:pStyle w:val="13"/>
            </w:pPr>
            <w:r>
              <w:t>783.45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1135.79</w:t>
            </w:r>
          </w:p>
        </w:tc>
        <w:tc>
          <w:tcPr>
            <w:tcW w:w="2551" w:type="dxa"/>
            <w:vAlign w:val="center"/>
          </w:tcPr>
          <w:p>
            <w:pPr>
              <w:pStyle w:val="13"/>
            </w:pPr>
            <w:r>
              <w:t>1135.79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40.40</w:t>
            </w:r>
          </w:p>
        </w:tc>
        <w:tc>
          <w:tcPr>
            <w:tcW w:w="2551" w:type="dxa"/>
            <w:vAlign w:val="center"/>
          </w:tcPr>
          <w:p>
            <w:pPr>
              <w:pStyle w:val="13"/>
            </w:pPr>
            <w:r>
              <w:t>40.40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235.22</w:t>
            </w:r>
          </w:p>
        </w:tc>
        <w:tc>
          <w:tcPr>
            <w:tcW w:w="2551" w:type="dxa"/>
            <w:vAlign w:val="center"/>
          </w:tcPr>
          <w:p>
            <w:pPr>
              <w:pStyle w:val="13"/>
            </w:pPr>
            <w:r>
              <w:t>235.22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282.91</w:t>
            </w:r>
          </w:p>
        </w:tc>
        <w:tc>
          <w:tcPr>
            <w:tcW w:w="2551" w:type="dxa"/>
            <w:vAlign w:val="center"/>
          </w:tcPr>
          <w:p>
            <w:pPr>
              <w:pStyle w:val="13"/>
            </w:pPr>
            <w:r>
              <w:t>282.91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148.53</w:t>
            </w:r>
          </w:p>
        </w:tc>
        <w:tc>
          <w:tcPr>
            <w:tcW w:w="2551" w:type="dxa"/>
            <w:vAlign w:val="center"/>
          </w:tcPr>
          <w:p>
            <w:pPr>
              <w:pStyle w:val="13"/>
            </w:pPr>
            <w:r>
              <w:t>148.53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114.93</w:t>
            </w:r>
          </w:p>
        </w:tc>
        <w:tc>
          <w:tcPr>
            <w:tcW w:w="2551" w:type="dxa"/>
            <w:vAlign w:val="center"/>
          </w:tcPr>
          <w:p>
            <w:pPr>
              <w:pStyle w:val="13"/>
            </w:pPr>
            <w:r>
              <w:t>114.93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252.82</w:t>
            </w:r>
          </w:p>
        </w:tc>
        <w:tc>
          <w:tcPr>
            <w:tcW w:w="2551" w:type="dxa"/>
            <w:vAlign w:val="center"/>
          </w:tcPr>
          <w:p>
            <w:pPr>
              <w:pStyle w:val="13"/>
            </w:pPr>
            <w:r>
              <w:t>252.82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234.51</w:t>
            </w:r>
          </w:p>
        </w:tc>
        <w:tc>
          <w:tcPr>
            <w:tcW w:w="2551" w:type="dxa"/>
            <w:vAlign w:val="center"/>
          </w:tcPr>
          <w:p>
            <w:pPr>
              <w:pStyle w:val="13"/>
            </w:pPr>
            <w:r>
              <w:t>234.51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96.42</w:t>
            </w:r>
          </w:p>
        </w:tc>
        <w:tc>
          <w:tcPr>
            <w:tcW w:w="2551" w:type="dxa"/>
            <w:vAlign w:val="center"/>
          </w:tcPr>
          <w:p>
            <w:pPr>
              <w:pStyle w:val="13"/>
            </w:pPr>
            <w:r>
              <w:t>96.42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302.65</w:t>
            </w:r>
          </w:p>
        </w:tc>
        <w:tc>
          <w:tcPr>
            <w:tcW w:w="2551" w:type="dxa"/>
            <w:vAlign w:val="center"/>
          </w:tcPr>
          <w:p>
            <w:pPr>
              <w:pStyle w:val="13"/>
            </w:pPr>
          </w:p>
        </w:tc>
        <w:tc>
          <w:tcPr>
            <w:tcW w:w="2551" w:type="dxa"/>
            <w:vAlign w:val="center"/>
          </w:tcPr>
          <w:p>
            <w:pPr>
              <w:pStyle w:val="13"/>
            </w:pPr>
            <w:r>
              <w:t>302.65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53.18</w:t>
            </w:r>
          </w:p>
        </w:tc>
        <w:tc>
          <w:tcPr>
            <w:tcW w:w="2551" w:type="dxa"/>
            <w:vAlign w:val="center"/>
          </w:tcPr>
          <w:p>
            <w:pPr>
              <w:pStyle w:val="13"/>
            </w:pPr>
          </w:p>
        </w:tc>
        <w:tc>
          <w:tcPr>
            <w:tcW w:w="2551" w:type="dxa"/>
            <w:vAlign w:val="center"/>
          </w:tcPr>
          <w:p>
            <w:pPr>
              <w:pStyle w:val="13"/>
            </w:pPr>
            <w:r>
              <w:t>53.18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56.70</w:t>
            </w:r>
          </w:p>
        </w:tc>
        <w:tc>
          <w:tcPr>
            <w:tcW w:w="2551" w:type="dxa"/>
            <w:vAlign w:val="center"/>
          </w:tcPr>
          <w:p>
            <w:pPr>
              <w:pStyle w:val="13"/>
            </w:pPr>
          </w:p>
        </w:tc>
        <w:tc>
          <w:tcPr>
            <w:tcW w:w="2551" w:type="dxa"/>
            <w:vAlign w:val="center"/>
          </w:tcPr>
          <w:p>
            <w:pPr>
              <w:pStyle w:val="13"/>
            </w:pPr>
            <w:r>
              <w:t>56.70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17.00</w:t>
            </w:r>
          </w:p>
        </w:tc>
        <w:tc>
          <w:tcPr>
            <w:tcW w:w="2551" w:type="dxa"/>
            <w:vAlign w:val="center"/>
          </w:tcPr>
          <w:p>
            <w:pPr>
              <w:pStyle w:val="13"/>
            </w:pPr>
          </w:p>
        </w:tc>
        <w:tc>
          <w:tcPr>
            <w:tcW w:w="2551"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16.51</w:t>
            </w:r>
          </w:p>
        </w:tc>
        <w:tc>
          <w:tcPr>
            <w:tcW w:w="2551" w:type="dxa"/>
            <w:vAlign w:val="center"/>
          </w:tcPr>
          <w:p>
            <w:pPr>
              <w:pStyle w:val="13"/>
            </w:pPr>
          </w:p>
        </w:tc>
        <w:tc>
          <w:tcPr>
            <w:tcW w:w="2551" w:type="dxa"/>
            <w:vAlign w:val="center"/>
          </w:tcPr>
          <w:p>
            <w:pPr>
              <w:pStyle w:val="13"/>
            </w:pPr>
            <w:r>
              <w:t>16.51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19.59</w:t>
            </w:r>
          </w:p>
        </w:tc>
        <w:tc>
          <w:tcPr>
            <w:tcW w:w="2551" w:type="dxa"/>
            <w:vAlign w:val="center"/>
          </w:tcPr>
          <w:p>
            <w:pPr>
              <w:pStyle w:val="13"/>
            </w:pPr>
          </w:p>
        </w:tc>
        <w:tc>
          <w:tcPr>
            <w:tcW w:w="2551" w:type="dxa"/>
            <w:vAlign w:val="center"/>
          </w:tcPr>
          <w:p>
            <w:pPr>
              <w:pStyle w:val="13"/>
            </w:pPr>
            <w:r>
              <w:t>19.59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44.00</w:t>
            </w:r>
          </w:p>
        </w:tc>
        <w:tc>
          <w:tcPr>
            <w:tcW w:w="2551" w:type="dxa"/>
            <w:vAlign w:val="center"/>
          </w:tcPr>
          <w:p>
            <w:pPr>
              <w:pStyle w:val="13"/>
            </w:pPr>
          </w:p>
        </w:tc>
        <w:tc>
          <w:tcPr>
            <w:tcW w:w="2551" w:type="dxa"/>
            <w:vAlign w:val="center"/>
          </w:tcPr>
          <w:p>
            <w:pPr>
              <w:pStyle w:val="13"/>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70.26</w:t>
            </w:r>
          </w:p>
        </w:tc>
        <w:tc>
          <w:tcPr>
            <w:tcW w:w="2551" w:type="dxa"/>
            <w:vAlign w:val="center"/>
          </w:tcPr>
          <w:p>
            <w:pPr>
              <w:pStyle w:val="13"/>
            </w:pPr>
          </w:p>
        </w:tc>
        <w:tc>
          <w:tcPr>
            <w:tcW w:w="2551" w:type="dxa"/>
            <w:vAlign w:val="center"/>
          </w:tcPr>
          <w:p>
            <w:pPr>
              <w:pStyle w:val="13"/>
            </w:pPr>
            <w:r>
              <w:t>70.26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23.41</w:t>
            </w:r>
          </w:p>
        </w:tc>
        <w:tc>
          <w:tcPr>
            <w:tcW w:w="2551" w:type="dxa"/>
            <w:vAlign w:val="center"/>
          </w:tcPr>
          <w:p>
            <w:pPr>
              <w:pStyle w:val="13"/>
            </w:pPr>
          </w:p>
        </w:tc>
        <w:tc>
          <w:tcPr>
            <w:tcW w:w="2551" w:type="dxa"/>
            <w:vAlign w:val="center"/>
          </w:tcPr>
          <w:p>
            <w:pPr>
              <w:pStyle w:val="13"/>
            </w:pPr>
            <w:r>
              <w:t>23.41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18.75</w:t>
            </w:r>
          </w:p>
        </w:tc>
        <w:tc>
          <w:tcPr>
            <w:tcW w:w="2551" w:type="dxa"/>
            <w:vAlign w:val="center"/>
          </w:tcPr>
          <w:p>
            <w:pPr>
              <w:pStyle w:val="13"/>
            </w:pPr>
            <w:r>
              <w:t>18.75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18.48</w:t>
            </w:r>
          </w:p>
        </w:tc>
        <w:tc>
          <w:tcPr>
            <w:tcW w:w="2551" w:type="dxa"/>
            <w:vAlign w:val="center"/>
          </w:tcPr>
          <w:p>
            <w:pPr>
              <w:pStyle w:val="13"/>
            </w:pPr>
            <w:r>
              <w:t>18.48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0.28</w:t>
            </w:r>
          </w:p>
        </w:tc>
        <w:tc>
          <w:tcPr>
            <w:tcW w:w="2551" w:type="dxa"/>
            <w:vAlign w:val="center"/>
          </w:tcPr>
          <w:p>
            <w:pPr>
              <w:pStyle w:val="13"/>
            </w:pPr>
            <w:r>
              <w:t>0.28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414001石家庄市藁城区市场监督管理局本级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414001石家庄市藁城区市场监督管理局本级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414001石家庄市藁城区市场监督管理局本级</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rPr>
                <w:rFonts w:hint="default" w:eastAsia="方正书宋_GBK"/>
                <w:lang w:val="en-US" w:eastAsia="zh-CN"/>
              </w:rPr>
            </w:pPr>
            <w:r>
              <w:rPr>
                <w:rFonts w:hint="eastAsia"/>
                <w:lang w:val="en-US" w:eastAsia="zh-CN"/>
              </w:rPr>
              <w:t>57</w:t>
            </w:r>
          </w:p>
        </w:tc>
        <w:tc>
          <w:tcPr>
            <w:tcW w:w="2381" w:type="dxa"/>
            <w:vAlign w:val="center"/>
          </w:tcPr>
          <w:p>
            <w:pPr>
              <w:pStyle w:val="17"/>
              <w:rPr>
                <w:rFonts w:hint="default" w:eastAsia="方正书宋_GBK"/>
                <w:lang w:val="en-US" w:eastAsia="zh-CN"/>
              </w:rPr>
            </w:pPr>
            <w:r>
              <w:rPr>
                <w:rFonts w:hint="eastAsia"/>
                <w:lang w:val="en-US" w:eastAsia="zh-CN"/>
              </w:rPr>
              <w:t>57</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rPr>
                <w:rFonts w:hint="default" w:eastAsia="方正书宋_GBK"/>
                <w:lang w:val="en-US" w:eastAsia="zh-CN"/>
              </w:rPr>
            </w:pPr>
            <w:r>
              <w:rPr>
                <w:rFonts w:hint="eastAsia"/>
                <w:lang w:val="en-US" w:eastAsia="zh-CN"/>
              </w:rPr>
              <w:t>54</w:t>
            </w:r>
          </w:p>
        </w:tc>
        <w:tc>
          <w:tcPr>
            <w:tcW w:w="2381" w:type="dxa"/>
            <w:vAlign w:val="center"/>
          </w:tcPr>
          <w:p>
            <w:pPr>
              <w:pStyle w:val="13"/>
              <w:rPr>
                <w:rFonts w:hint="default" w:eastAsia="方正书宋_GBK"/>
                <w:lang w:val="en-US" w:eastAsia="zh-CN"/>
              </w:rPr>
            </w:pPr>
            <w:r>
              <w:rPr>
                <w:rFonts w:hint="eastAsia"/>
                <w:lang w:val="en-US" w:eastAsia="zh-CN"/>
              </w:rPr>
              <w:t>54</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rPr>
                <w:rFonts w:hint="default" w:eastAsia="方正书宋_GBK"/>
                <w:lang w:val="en-US" w:eastAsia="zh-CN"/>
              </w:rPr>
            </w:pPr>
            <w:r>
              <w:rPr>
                <w:rFonts w:hint="eastAsia"/>
                <w:lang w:val="en-US" w:eastAsia="zh-CN"/>
              </w:rPr>
              <w:t>54.00</w:t>
            </w:r>
          </w:p>
        </w:tc>
        <w:tc>
          <w:tcPr>
            <w:tcW w:w="2381" w:type="dxa"/>
            <w:vAlign w:val="center"/>
          </w:tcPr>
          <w:p>
            <w:pPr>
              <w:pStyle w:val="13"/>
              <w:rPr>
                <w:rFonts w:hint="default" w:eastAsia="方正书宋_GBK"/>
                <w:lang w:val="en-US" w:eastAsia="zh-CN"/>
              </w:rPr>
            </w:pPr>
            <w:r>
              <w:rPr>
                <w:rFonts w:hint="eastAsia"/>
                <w:lang w:val="en-US" w:eastAsia="zh-CN"/>
              </w:rPr>
              <w:t>54.00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r>
              <w:t>10.00</w:t>
            </w:r>
          </w:p>
        </w:tc>
        <w:tc>
          <w:tcPr>
            <w:tcW w:w="2381" w:type="dxa"/>
            <w:vAlign w:val="center"/>
          </w:tcPr>
          <w:p>
            <w:pPr>
              <w:pStyle w:val="13"/>
            </w:pPr>
            <w:r>
              <w:t>10.00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44.00</w:t>
            </w:r>
          </w:p>
        </w:tc>
        <w:tc>
          <w:tcPr>
            <w:tcW w:w="2381" w:type="dxa"/>
            <w:vAlign w:val="center"/>
          </w:tcPr>
          <w:p>
            <w:pPr>
              <w:pStyle w:val="13"/>
            </w:pPr>
            <w:r>
              <w:t>44.00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r>
              <w:t>1.00</w:t>
            </w:r>
          </w:p>
        </w:tc>
        <w:tc>
          <w:tcPr>
            <w:tcW w:w="2381" w:type="dxa"/>
            <w:vAlign w:val="center"/>
          </w:tcPr>
          <w:p>
            <w:pPr>
              <w:pStyle w:val="13"/>
            </w:pPr>
            <w:r>
              <w:t>1.00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r>
              <w:t>2.00</w:t>
            </w:r>
          </w:p>
        </w:tc>
        <w:tc>
          <w:tcPr>
            <w:tcW w:w="2381" w:type="dxa"/>
            <w:vAlign w:val="center"/>
          </w:tcPr>
          <w:p>
            <w:pPr>
              <w:pStyle w:val="13"/>
            </w:pPr>
            <w:r>
              <w:t>2.00</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石家庄市藁城区市场监督管理局本级2022年单位预算信息公开情况说明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、《地方预决算公开操作规程》和《关于进一步推进预算公开工作的实施意见》规定，现将石家庄市藁城区市场监督管理局本级2022年单位预算公开如下：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hint="eastAsia" w:ascii="方正楷体_GBK" w:hAnsi="方正楷体_GBK" w:eastAsia="方正楷体_GBK" w:cs="方正楷体_GBK"/>
          <w:b/>
          <w:color w:val="000000"/>
          <w:sz w:val="32"/>
          <w:lang w:eastAsia="zh-CN"/>
        </w:rPr>
      </w:pPr>
      <w:r>
        <w:rPr>
          <w:rFonts w:ascii="方正楷体_GBK" w:hAnsi="方正楷体_GBK" w:eastAsia="方正楷体_GBK" w:cs="方正楷体_GBK"/>
          <w:b/>
          <w:color w:val="000000"/>
          <w:sz w:val="32"/>
        </w:rPr>
        <w:t>单位职责</w:t>
      </w:r>
      <w:r>
        <w:rPr>
          <w:rFonts w:hint="eastAsia" w:ascii="方正楷体_GBK" w:hAnsi="方正楷体_GBK" w:eastAsia="方正楷体_GBK" w:cs="方正楷体_GBK"/>
          <w:b/>
          <w:color w:val="000000"/>
          <w:sz w:val="32"/>
          <w:lang w:eastAsia="zh-CN"/>
        </w:rPr>
        <w:t>：</w:t>
      </w:r>
    </w:p>
    <w:p>
      <w:pPr>
        <w:pStyle w:val="19"/>
      </w:pPr>
      <w:r>
        <w:t>（一）贯彻落实市场监督管理有关地方性法规、政府规章，组织实施质量强区战略、食品安全战略、标准化战略、知识产权战略，拟订市场监督管理规划并组织实施，规范和维护市场秩序，营造诚实守信、公平竞争的市场环境。</w:t>
      </w:r>
    </w:p>
    <w:p>
      <w:pPr>
        <w:pStyle w:val="19"/>
      </w:pPr>
      <w:r>
        <w:t>（二）负责市场主体信用建设，建立市场主体信息公示和共享机制，依法公示和共享有关信息，加强信用监管，推动市场主体信用体系建设。</w:t>
      </w:r>
    </w:p>
    <w:p>
      <w:pPr>
        <w:pStyle w:val="19"/>
      </w:pPr>
      <w:r>
        <w:t>（三）负责市场监管综合执法工作，负责市场监管综合执法队伍建设工作，推动实行统一的市场监管；组织查处重大违法案件；规范市场监管行政执法行为。</w:t>
      </w:r>
    </w:p>
    <w:p>
      <w:pPr>
        <w:pStyle w:val="19"/>
      </w:pPr>
      <w:r>
        <w:t>（四）负责监督管理市场秩序，依法监督管理市场交易、网络商品交易及有关服务的行为；依法查处价格收费违法违规、不正当竞争、违法直销、传销、侵犯商标专利知识产权和制售假冒伪劣行为；负责全区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w:t>
      </w:r>
    </w:p>
    <w:p>
      <w:pPr>
        <w:pStyle w:val="19"/>
      </w:pPr>
      <w:r>
        <w:t>（五）负责全区宏观质量管理工作，贯彻落实质量发展制度和措施。统筹全区质量基础设施建设与应用，会同有关部门组织实施重大工程设备质量监理制度，组织重大质量事故调查，组织实施缺陷产品召回制度，监督管理产品防伪工作。</w:t>
      </w:r>
    </w:p>
    <w:p>
      <w:pPr>
        <w:pStyle w:val="19"/>
      </w:pPr>
      <w:r>
        <w:t>（六）负责全区产品质量安全监督管理工作，承担区级产品质量安全风险监控、监督抽查工作；组织实施质量分级制度、质量安全追溯制度；负责纤维质量监督工作。</w:t>
      </w:r>
    </w:p>
    <w:p>
      <w:pPr>
        <w:pStyle w:val="19"/>
      </w:pPr>
      <w:r>
        <w:t>（七）负责全区特种设备安全监督管理工作，负责特种设备安全监察、监督管理工作，监督检查高耗能特种设备节能标准和锅炉环境保护标准的执行情况。</w:t>
      </w:r>
    </w:p>
    <w:p>
      <w:pPr>
        <w:pStyle w:val="19"/>
      </w:pPr>
      <w:r>
        <w:t>（八）负责综合协调食品安全监督管理工作，贯彻落实食品安全政策，推动健全食品安全党政同责和跨部门协调联动机制，负责食品安全应急体系建设，负责食品安全事件应急处置和调查处理工作， 建立健全食品安全信息统一公布和重要信息直报制度；承担藁城区食品安全委员会日常工作。</w:t>
      </w:r>
    </w:p>
    <w:p>
      <w:pPr>
        <w:pStyle w:val="19"/>
      </w:pPr>
      <w:r>
        <w:t>（九）负责食品安全监督管理工作，建立覆盖食品生产、流通、 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pPr>
        <w:pStyle w:val="19"/>
      </w:pPr>
      <w:r>
        <w:t>（十）负责统一管理全区计量工作。推行法定计量单位和国家计量制度，管理计量器具及量值传递和比对工作。规范、监督商品量和市场计量行为。</w:t>
      </w:r>
    </w:p>
    <w:p>
      <w:pPr>
        <w:pStyle w:val="19"/>
      </w:pPr>
      <w:r>
        <w:t>（十一）负责统一管理全区标准化工作，宣传贯彻强制性、推荐性国家标准和行业标准、地方标准；依法协调指导和监督团体标准、企业标准制定工作。</w:t>
      </w:r>
    </w:p>
    <w:p>
      <w:pPr>
        <w:pStyle w:val="19"/>
      </w:pPr>
      <w:r>
        <w:t>（十二）负责统一管理全区检验检测工作，推进检验检测机构改革，规范检验检测市场，完善检验检测体系，指导协调检验检测行业发展。</w:t>
      </w:r>
    </w:p>
    <w:p>
      <w:pPr>
        <w:pStyle w:val="19"/>
      </w:pPr>
      <w:r>
        <w:t>（十三）负责统一管理、监督和协调全区认证认可工作，组织实施国家统一的认证认可和合格评定监督管理制度。</w:t>
      </w:r>
    </w:p>
    <w:p>
      <w:pPr>
        <w:pStyle w:val="19"/>
      </w:pPr>
      <w:r>
        <w:t>（十四）负责推进全区知识产权管理工作，拟订加强知识产权强区建设发展规划并组织实施，拟订强化知识产权创造、保护和运用的政策和制度并组织实施。</w:t>
      </w:r>
    </w:p>
    <w:p>
      <w:pPr>
        <w:pStyle w:val="19"/>
      </w:pPr>
      <w:r>
        <w:t>（十五）负责保护知识产权工作，贯彻落实严格保护商标、专利、原产地地理标志、集成电路布图设计等知识产权地方性法规、政府规章。按照国家知识产权保护体系建设方案，推动建设知识产权保护体系；负责商标、专利执法工作，负责知识产权争议处理、维权援助和纠纷调处，承担京津冀知识产权执法协作工作。</w:t>
      </w:r>
    </w:p>
    <w:p>
      <w:pPr>
        <w:pStyle w:val="19"/>
      </w:pPr>
      <w:r>
        <w:t>（十六）负责促进知识产权运用工作，贯彻落实知识产权运用和规范交易管理办法，促进知识产权转移转化；规范知识产权无形资产评估工作； 负责知识产权中介服务发展的监督管理工作。</w:t>
      </w:r>
    </w:p>
    <w:p>
      <w:pPr>
        <w:pStyle w:val="19"/>
      </w:pPr>
      <w:r>
        <w:t>（十七）负责建立知识产权公共服务体系，建设便企利民、互联互通的全区知识产权信息公共服务平台，推动商标、专利等知识产权信息的传播利用。</w:t>
      </w:r>
    </w:p>
    <w:p>
      <w:pPr>
        <w:pStyle w:val="19"/>
      </w:pPr>
      <w:r>
        <w:t>（十八）承担上级授权的知识产权代办工作任务，组织实施原产地地理标志统一认定制度。</w:t>
      </w:r>
    </w:p>
    <w:p>
      <w:pPr>
        <w:pStyle w:val="19"/>
      </w:pPr>
      <w:r>
        <w:t>（十九）负责市场监督管理科技和信息化建设、新闻宣传、对外交流与合作；负责协调本区涉外知识产权事宜。</w:t>
      </w:r>
    </w:p>
    <w:p>
      <w:pPr>
        <w:pStyle w:val="19"/>
      </w:pPr>
      <w:r>
        <w:t>（二十）负责药品（含中药、民族药，下同）、 医疗器械和化妆品安全监督管理。贯彻执行国家、省药品、医疗器械和化妆品法律法规，以及鼓励药品、医疗器械和化妆品新技术新产品的管理与服务政策，拟订监督管理措施并组织实施，贯彻落实相关地方性法规、政府规章。</w:t>
      </w:r>
    </w:p>
    <w:p>
      <w:pPr>
        <w:pStyle w:val="19"/>
      </w:pPr>
      <w:r>
        <w:t>（二十一）负责药品、医疗器械和化妆品质量管理工作，依职责监督实施药品、医疗器械经营质量管理规范。</w:t>
      </w:r>
    </w:p>
    <w:p>
      <w:pPr>
        <w:pStyle w:val="19"/>
      </w:pPr>
      <w:r>
        <w:t>（二十二）组织开展药品、化妆品不良反应监测、医疗器械不良事件监测工作，依法承担药品、医疗器械和化妆品安全应急管理工作。</w:t>
      </w:r>
    </w:p>
    <w:p>
      <w:pPr>
        <w:pStyle w:val="19"/>
      </w:pPr>
      <w:r>
        <w:t>（二十三）负责药品、医疗器械和化妆品监督检查工作，贯彻落实国家、省、市检查制度，依法查处药品、医疗器械和化妆品经营、使用环节的违法行为。</w:t>
      </w:r>
    </w:p>
    <w:p>
      <w:pPr>
        <w:pStyle w:val="19"/>
      </w:pPr>
      <w:r>
        <w:t>（二十四）组织开展药品、医疗器械和化妆品安全宣传、教育培训，推进诚信体系建设。</w:t>
      </w:r>
    </w:p>
    <w:p>
      <w:pPr>
        <w:pStyle w:val="19"/>
      </w:pPr>
      <w:r>
        <w:t>（二十五）负责全区药品监督管理工作。推动落实药品、医疗器械和化妆品安全企业主体责任，组织实施药品、医疗器械和化妆品安全考核。</w:t>
      </w:r>
    </w:p>
    <w:p>
      <w:pPr>
        <w:pStyle w:val="19"/>
      </w:pPr>
      <w:r>
        <w:t>（二十六）推进全区药品、医疗器械和化妆品安全监管信息化建设，负责制定药品、医疗器械和化妆品的安全科技发展规划，推动检验检测体系、电子监管追溯体系和信息化建设；完善药品、医疗器械和化妆品安全信息统一公布制度和重大信息直报制度，公布重大安全信息。</w:t>
      </w:r>
    </w:p>
    <w:p>
      <w:pPr>
        <w:pStyle w:val="19"/>
      </w:pPr>
      <w:r>
        <w:t>（二十七）承接省、市市场监督管理局和省药品监督管理局委托区级实施的管理事项。</w:t>
      </w:r>
    </w:p>
    <w:p>
      <w:pPr>
        <w:pStyle w:val="19"/>
        <w:rPr>
          <w:rFonts w:hint="eastAsia" w:ascii="方正楷体_GBK" w:hAnsi="方正楷体_GBK" w:eastAsia="方正楷体_GBK" w:cs="方正楷体_GBK"/>
          <w:b/>
          <w:color w:val="000000"/>
          <w:sz w:val="32"/>
          <w:lang w:eastAsia="zh-CN"/>
        </w:rPr>
      </w:pPr>
      <w:r>
        <w:t>（二十八）完成区委、区政府交办的其他任务。</w:t>
      </w:r>
    </w:p>
    <w:p>
      <w:pPr>
        <w:pStyle w:val="3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石家庄市藁城区市场监督管理局本级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numPr>
          <w:ilvl w:val="0"/>
          <w:numId w:val="0"/>
        </w:numPr>
        <w:spacing w:before="0" w:after="0" w:line="500" w:lineRule="exact"/>
        <w:ind w:firstLine="560" w:firstLineChars="200"/>
        <w:jc w:val="left"/>
        <w:outlineLvl w:val="9"/>
        <w:rPr>
          <w:rFonts w:ascii="Times New Roman" w:hAnsi="Times New Roman" w:eastAsia="方正仿宋_GBK" w:cs="Times New Roman"/>
          <w:color w:val="000000"/>
          <w:sz w:val="28"/>
        </w:rPr>
      </w:pPr>
      <w:r>
        <w:rPr>
          <w:rFonts w:hint="eastAsia" w:eastAsia="方正仿宋_GBK" w:cs="Times New Roman"/>
          <w:color w:val="000000"/>
          <w:sz w:val="28"/>
          <w:lang w:val="en-US" w:eastAsia="zh-CN"/>
        </w:rPr>
        <w:t>1、</w:t>
      </w:r>
      <w:r>
        <w:rPr>
          <w:rFonts w:ascii="Times New Roman" w:hAnsi="Times New Roman" w:eastAsia="方正仿宋_GBK" w:cs="Times New Roman"/>
          <w:color w:val="000000"/>
          <w:sz w:val="28"/>
        </w:rPr>
        <w:t>收入说明</w:t>
      </w:r>
    </w:p>
    <w:p>
      <w:pPr>
        <w:numPr>
          <w:ilvl w:val="0"/>
          <w:numId w:val="0"/>
        </w:numPr>
        <w:spacing w:before="0" w:after="0" w:line="500" w:lineRule="exact"/>
        <w:ind w:firstLine="560" w:firstLineChars="20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反映本</w:t>
      </w:r>
      <w:r>
        <w:rPr>
          <w:rFonts w:hint="eastAsia" w:eastAsia="方正仿宋_GBK" w:cs="Times New Roman"/>
          <w:color w:val="000000"/>
          <w:sz w:val="28"/>
          <w:lang w:eastAsia="zh-CN"/>
        </w:rPr>
        <w:t>单位</w:t>
      </w:r>
      <w:r>
        <w:rPr>
          <w:rFonts w:hint="eastAsia" w:ascii="Times New Roman" w:hAnsi="Times New Roman" w:eastAsia="方正仿宋_GBK" w:cs="Times New Roman"/>
          <w:color w:val="000000"/>
          <w:sz w:val="28"/>
        </w:rPr>
        <w:t>当年全部收入。2022年预算收入</w:t>
      </w:r>
      <w:r>
        <w:rPr>
          <w:rFonts w:hint="eastAsia" w:eastAsia="方正仿宋_GBK" w:cs="Times New Roman"/>
          <w:color w:val="000000"/>
          <w:sz w:val="28"/>
          <w:lang w:val="en-US" w:eastAsia="zh-CN"/>
        </w:rPr>
        <w:t>4904.78</w:t>
      </w:r>
      <w:r>
        <w:rPr>
          <w:rFonts w:hint="eastAsia" w:ascii="Times New Roman" w:hAnsi="Times New Roman" w:eastAsia="方正仿宋_GBK" w:cs="Times New Roman"/>
          <w:color w:val="000000"/>
          <w:sz w:val="28"/>
        </w:rPr>
        <w:t>万元，其中：一般公共预算收入</w:t>
      </w:r>
      <w:r>
        <w:rPr>
          <w:rFonts w:hint="eastAsia" w:eastAsia="方正仿宋_GBK" w:cs="Times New Roman"/>
          <w:color w:val="000000"/>
          <w:sz w:val="28"/>
          <w:lang w:val="en-US" w:eastAsia="zh-CN"/>
        </w:rPr>
        <w:t>4904.78</w:t>
      </w:r>
      <w:r>
        <w:rPr>
          <w:rFonts w:hint="eastAsia" w:ascii="Times New Roman" w:hAnsi="Times New Roman" w:eastAsia="方正仿宋_GBK" w:cs="Times New Roman"/>
          <w:color w:val="000000"/>
          <w:sz w:val="28"/>
        </w:rPr>
        <w:t>万元，基金预算收入0万元，财政专户核拨收入0万元，其他来源收入0万元。</w:t>
      </w:r>
    </w:p>
    <w:p>
      <w:pPr>
        <w:numPr>
          <w:ilvl w:val="0"/>
          <w:numId w:val="0"/>
        </w:numPr>
        <w:spacing w:before="0" w:after="0" w:line="500" w:lineRule="exact"/>
        <w:ind w:firstLine="560" w:firstLineChars="200"/>
        <w:jc w:val="left"/>
        <w:outlineLvl w:val="9"/>
        <w:rPr>
          <w:rFonts w:ascii="Times New Roman" w:hAnsi="Times New Roman" w:eastAsia="方正仿宋_GBK" w:cs="Times New Roman"/>
          <w:color w:val="000000"/>
          <w:sz w:val="28"/>
        </w:rPr>
      </w:pPr>
      <w:r>
        <w:rPr>
          <w:rFonts w:hint="eastAsia" w:eastAsia="方正仿宋_GBK" w:cs="Times New Roman"/>
          <w:color w:val="000000"/>
          <w:sz w:val="28"/>
          <w:lang w:val="en-US" w:eastAsia="zh-CN"/>
        </w:rPr>
        <w:t>2、</w:t>
      </w:r>
      <w:r>
        <w:rPr>
          <w:rFonts w:ascii="Times New Roman" w:hAnsi="Times New Roman" w:eastAsia="方正仿宋_GBK" w:cs="Times New Roman"/>
          <w:color w:val="000000"/>
          <w:sz w:val="28"/>
        </w:rPr>
        <w:t>支出说明</w:t>
      </w:r>
    </w:p>
    <w:p>
      <w:pPr>
        <w:numPr>
          <w:ilvl w:val="0"/>
          <w:numId w:val="0"/>
        </w:numPr>
        <w:spacing w:before="0" w:after="0" w:line="500" w:lineRule="exact"/>
        <w:ind w:firstLine="560" w:firstLineChars="20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收支预算总表支出栏、基本支出表、项目支出表按经济分类和支出功能分类科目编制，反映本</w:t>
      </w:r>
      <w:r>
        <w:rPr>
          <w:rFonts w:hint="eastAsia" w:eastAsia="方正仿宋_GBK" w:cs="Times New Roman"/>
          <w:color w:val="000000"/>
          <w:sz w:val="28"/>
          <w:lang w:eastAsia="zh-CN"/>
        </w:rPr>
        <w:t>单位</w:t>
      </w:r>
      <w:r>
        <w:rPr>
          <w:rFonts w:hint="eastAsia" w:ascii="Times New Roman" w:hAnsi="Times New Roman" w:eastAsia="方正仿宋_GBK" w:cs="Times New Roman"/>
          <w:color w:val="000000"/>
          <w:sz w:val="28"/>
        </w:rPr>
        <w:t>预算中支出预算的总体情况。2022年</w:t>
      </w:r>
      <w:r>
        <w:rPr>
          <w:rFonts w:hint="eastAsia" w:eastAsia="方正仿宋_GBK" w:cs="Times New Roman"/>
          <w:color w:val="000000"/>
          <w:sz w:val="28"/>
          <w:lang w:eastAsia="zh-CN"/>
        </w:rPr>
        <w:t>单位</w:t>
      </w:r>
      <w:r>
        <w:rPr>
          <w:rFonts w:hint="eastAsia" w:ascii="Times New Roman" w:hAnsi="Times New Roman" w:eastAsia="方正仿宋_GBK" w:cs="Times New Roman"/>
          <w:color w:val="000000"/>
          <w:sz w:val="28"/>
        </w:rPr>
        <w:t>支出预算为</w:t>
      </w:r>
      <w:r>
        <w:rPr>
          <w:rFonts w:hint="eastAsia" w:eastAsia="方正仿宋_GBK" w:cs="Times New Roman"/>
          <w:color w:val="000000"/>
          <w:sz w:val="28"/>
          <w:lang w:val="en-US" w:eastAsia="zh-CN"/>
        </w:rPr>
        <w:t>4904.78</w:t>
      </w:r>
      <w:r>
        <w:rPr>
          <w:rFonts w:hint="eastAsia" w:ascii="Times New Roman" w:hAnsi="Times New Roman" w:eastAsia="方正仿宋_GBK" w:cs="Times New Roman"/>
          <w:color w:val="000000"/>
          <w:sz w:val="28"/>
        </w:rPr>
        <w:t>万元，其中基本支出</w:t>
      </w:r>
      <w:r>
        <w:rPr>
          <w:rFonts w:hint="eastAsia" w:eastAsia="方正仿宋_GBK" w:cs="Times New Roman"/>
          <w:color w:val="000000"/>
          <w:sz w:val="28"/>
          <w:lang w:val="en-US" w:eastAsia="zh-CN"/>
        </w:rPr>
        <w:t>3646.36</w:t>
      </w:r>
      <w:r>
        <w:rPr>
          <w:rFonts w:hint="eastAsia" w:ascii="Times New Roman" w:hAnsi="Times New Roman" w:eastAsia="方正仿宋_GBK" w:cs="Times New Roman"/>
          <w:color w:val="000000"/>
          <w:sz w:val="28"/>
        </w:rPr>
        <w:t>万元，包括人员经费</w:t>
      </w:r>
      <w:r>
        <w:rPr>
          <w:rFonts w:hint="eastAsia" w:eastAsia="方正仿宋_GBK" w:cs="Times New Roman"/>
          <w:color w:val="000000"/>
          <w:sz w:val="28"/>
          <w:lang w:val="en-US" w:eastAsia="zh-CN"/>
        </w:rPr>
        <w:t>3343.71</w:t>
      </w:r>
      <w:r>
        <w:rPr>
          <w:rFonts w:hint="eastAsia" w:ascii="Times New Roman" w:hAnsi="Times New Roman" w:eastAsia="方正仿宋_GBK" w:cs="Times New Roman"/>
          <w:color w:val="000000"/>
          <w:sz w:val="28"/>
        </w:rPr>
        <w:t>万元和日常公用经费</w:t>
      </w:r>
      <w:r>
        <w:rPr>
          <w:rFonts w:hint="eastAsia" w:eastAsia="方正仿宋_GBK" w:cs="Times New Roman"/>
          <w:color w:val="000000"/>
          <w:sz w:val="28"/>
          <w:lang w:val="en-US" w:eastAsia="zh-CN"/>
        </w:rPr>
        <w:t>302.65</w:t>
      </w:r>
      <w:r>
        <w:rPr>
          <w:rFonts w:hint="eastAsia" w:ascii="Times New Roman" w:hAnsi="Times New Roman" w:eastAsia="方正仿宋_GBK" w:cs="Times New Roman"/>
          <w:color w:val="000000"/>
          <w:sz w:val="28"/>
        </w:rPr>
        <w:t>万元；项目支出</w:t>
      </w:r>
      <w:r>
        <w:rPr>
          <w:rFonts w:hint="eastAsia" w:eastAsia="方正仿宋_GBK" w:cs="Times New Roman"/>
          <w:color w:val="000000"/>
          <w:sz w:val="28"/>
          <w:lang w:val="en-US" w:eastAsia="zh-CN"/>
        </w:rPr>
        <w:t>1258.42</w:t>
      </w:r>
      <w:r>
        <w:rPr>
          <w:rFonts w:hint="eastAsia" w:ascii="Times New Roman" w:hAnsi="Times New Roman" w:eastAsia="方正仿宋_GBK" w:cs="Times New Roman"/>
          <w:color w:val="000000"/>
          <w:sz w:val="28"/>
        </w:rPr>
        <w:t>万元，主要为</w:t>
      </w:r>
      <w:r>
        <w:rPr>
          <w:rFonts w:hint="eastAsia" w:eastAsia="方正仿宋_GBK" w:cs="Times New Roman"/>
          <w:color w:val="000000"/>
          <w:sz w:val="28"/>
          <w:lang w:eastAsia="zh-CN"/>
        </w:rPr>
        <w:t>一般行政管理事务支出</w:t>
      </w:r>
      <w:r>
        <w:rPr>
          <w:rFonts w:hint="eastAsia" w:eastAsia="方正仿宋_GBK" w:cs="Times New Roman"/>
          <w:color w:val="000000"/>
          <w:sz w:val="28"/>
          <w:lang w:val="en-US" w:eastAsia="zh-CN"/>
        </w:rPr>
        <w:t>209</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机关服务</w:t>
      </w:r>
      <w:r>
        <w:rPr>
          <w:rFonts w:hint="eastAsia" w:ascii="Times New Roman" w:hAnsi="Times New Roman" w:eastAsia="方正仿宋_GBK" w:cs="Times New Roman"/>
          <w:color w:val="000000"/>
          <w:sz w:val="28"/>
        </w:rPr>
        <w:t>支出</w:t>
      </w:r>
      <w:r>
        <w:rPr>
          <w:rFonts w:hint="eastAsia" w:eastAsia="方正仿宋_GBK" w:cs="Times New Roman"/>
          <w:color w:val="000000"/>
          <w:sz w:val="28"/>
          <w:lang w:val="en-US" w:eastAsia="zh-CN"/>
        </w:rPr>
        <w:t>501.42</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市场主体管理</w:t>
      </w:r>
      <w:r>
        <w:rPr>
          <w:rFonts w:hint="eastAsia" w:ascii="Times New Roman" w:hAnsi="Times New Roman" w:eastAsia="方正仿宋_GBK" w:cs="Times New Roman"/>
          <w:color w:val="000000"/>
          <w:sz w:val="28"/>
        </w:rPr>
        <w:t>支出</w:t>
      </w:r>
      <w:r>
        <w:rPr>
          <w:rFonts w:hint="eastAsia" w:eastAsia="方正仿宋_GBK" w:cs="Times New Roman"/>
          <w:color w:val="000000"/>
          <w:sz w:val="28"/>
          <w:lang w:val="en-US" w:eastAsia="zh-CN"/>
        </w:rPr>
        <w:t>43</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质量安全监管</w:t>
      </w:r>
      <w:r>
        <w:rPr>
          <w:rFonts w:hint="eastAsia" w:ascii="Times New Roman" w:hAnsi="Times New Roman" w:eastAsia="方正仿宋_GBK" w:cs="Times New Roman"/>
          <w:color w:val="000000"/>
          <w:sz w:val="28"/>
        </w:rPr>
        <w:t>支出</w:t>
      </w:r>
      <w:r>
        <w:rPr>
          <w:rFonts w:hint="eastAsia" w:eastAsia="方正仿宋_GBK" w:cs="Times New Roman"/>
          <w:color w:val="000000"/>
          <w:sz w:val="28"/>
          <w:lang w:val="en-US" w:eastAsia="zh-CN"/>
        </w:rPr>
        <w:t>105</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食品安全监管支出</w:t>
      </w:r>
      <w:r>
        <w:rPr>
          <w:rFonts w:hint="eastAsia" w:eastAsia="方正仿宋_GBK" w:cs="Times New Roman"/>
          <w:color w:val="000000"/>
          <w:sz w:val="28"/>
          <w:lang w:val="en-US" w:eastAsia="zh-CN"/>
        </w:rPr>
        <w:t>200</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，其他市场监督管理事务支出</w:t>
      </w:r>
      <w:r>
        <w:rPr>
          <w:rFonts w:hint="eastAsia" w:eastAsia="方正仿宋_GBK" w:cs="Times New Roman"/>
          <w:color w:val="000000"/>
          <w:sz w:val="28"/>
          <w:lang w:val="en-US" w:eastAsia="zh-CN"/>
        </w:rPr>
        <w:t>200</w:t>
      </w:r>
      <w:r>
        <w:rPr>
          <w:rFonts w:hint="eastAsia" w:ascii="Times New Roman" w:hAnsi="Times New Roman" w:eastAsia="方正仿宋_GBK" w:cs="Times New Roman"/>
          <w:color w:val="000000"/>
          <w:sz w:val="28"/>
        </w:rPr>
        <w:t>万元。</w:t>
      </w:r>
    </w:p>
    <w:p>
      <w:pPr>
        <w:numPr>
          <w:ilvl w:val="0"/>
          <w:numId w:val="1"/>
        </w:numPr>
        <w:spacing w:before="0" w:after="0" w:line="500" w:lineRule="exact"/>
        <w:ind w:left="0" w:leftChars="0" w:firstLine="560" w:firstLineChars="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比上年增减情况</w:t>
      </w:r>
    </w:p>
    <w:p>
      <w:pPr>
        <w:numPr>
          <w:ilvl w:val="0"/>
          <w:numId w:val="0"/>
        </w:numPr>
        <w:spacing w:before="0" w:after="0" w:line="500" w:lineRule="exact"/>
        <w:ind w:firstLine="560" w:firstLineChars="20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2022年</w:t>
      </w:r>
      <w:r>
        <w:rPr>
          <w:rFonts w:hint="eastAsia" w:eastAsia="方正仿宋_GBK" w:cs="Times New Roman"/>
          <w:color w:val="000000"/>
          <w:sz w:val="28"/>
          <w:lang w:eastAsia="zh-CN"/>
        </w:rPr>
        <w:t>单位</w:t>
      </w:r>
      <w:r>
        <w:rPr>
          <w:rFonts w:hint="eastAsia" w:ascii="Times New Roman" w:hAnsi="Times New Roman" w:eastAsia="方正仿宋_GBK" w:cs="Times New Roman"/>
          <w:color w:val="000000"/>
          <w:sz w:val="28"/>
        </w:rPr>
        <w:t>预算收支安排</w:t>
      </w:r>
      <w:r>
        <w:rPr>
          <w:rFonts w:hint="eastAsia" w:eastAsia="方正仿宋_GBK" w:cs="Times New Roman"/>
          <w:color w:val="000000"/>
          <w:sz w:val="28"/>
          <w:lang w:val="en-US" w:eastAsia="zh-CN"/>
        </w:rPr>
        <w:t>4904.78</w:t>
      </w:r>
      <w:r>
        <w:rPr>
          <w:rFonts w:hint="eastAsia" w:ascii="Times New Roman" w:hAnsi="Times New Roman" w:eastAsia="方正仿宋_GBK" w:cs="Times New Roman"/>
          <w:color w:val="000000"/>
          <w:sz w:val="28"/>
        </w:rPr>
        <w:t>万元，较2021年增加</w:t>
      </w:r>
      <w:r>
        <w:rPr>
          <w:rFonts w:hint="eastAsia" w:eastAsia="方正仿宋_GBK" w:cs="Times New Roman"/>
          <w:color w:val="000000"/>
          <w:sz w:val="28"/>
          <w:lang w:val="en-US" w:eastAsia="zh-CN"/>
        </w:rPr>
        <w:t>279.74</w:t>
      </w:r>
      <w:r>
        <w:rPr>
          <w:rFonts w:hint="eastAsia" w:ascii="Times New Roman" w:hAnsi="Times New Roman" w:eastAsia="方正仿宋_GBK" w:cs="Times New Roman"/>
          <w:color w:val="000000"/>
          <w:sz w:val="28"/>
        </w:rPr>
        <w:t>万元，其中：基本支出</w:t>
      </w:r>
      <w:r>
        <w:rPr>
          <w:rFonts w:hint="eastAsia" w:eastAsia="方正仿宋_GBK" w:cs="Times New Roman"/>
          <w:color w:val="000000"/>
          <w:sz w:val="28"/>
          <w:lang w:eastAsia="zh-CN"/>
        </w:rPr>
        <w:t>增加</w:t>
      </w:r>
      <w:r>
        <w:rPr>
          <w:rFonts w:hint="eastAsia" w:eastAsia="方正仿宋_GBK" w:cs="Times New Roman"/>
          <w:color w:val="000000"/>
          <w:sz w:val="28"/>
          <w:lang w:val="en-US" w:eastAsia="zh-CN"/>
        </w:rPr>
        <w:t>32.74</w:t>
      </w:r>
      <w:r>
        <w:rPr>
          <w:rFonts w:hint="eastAsia" w:ascii="Times New Roman" w:hAnsi="Times New Roman" w:eastAsia="方正仿宋_GBK" w:cs="Times New Roman"/>
          <w:color w:val="000000"/>
          <w:sz w:val="28"/>
        </w:rPr>
        <w:t>万元，主要是</w:t>
      </w:r>
      <w:r>
        <w:rPr>
          <w:rFonts w:hint="eastAsia" w:eastAsia="方正仿宋_GBK" w:cs="Times New Roman"/>
          <w:color w:val="000000"/>
          <w:sz w:val="28"/>
          <w:lang w:eastAsia="zh-CN"/>
        </w:rPr>
        <w:t>提高了工资福利支出</w:t>
      </w:r>
      <w:r>
        <w:rPr>
          <w:rFonts w:hint="eastAsia" w:ascii="Times New Roman" w:hAnsi="Times New Roman" w:eastAsia="方正仿宋_GBK" w:cs="Times New Roman"/>
          <w:color w:val="000000"/>
          <w:sz w:val="28"/>
        </w:rPr>
        <w:t>；项目支出增加</w:t>
      </w:r>
      <w:r>
        <w:rPr>
          <w:rFonts w:hint="eastAsia" w:eastAsia="方正仿宋_GBK" w:cs="Times New Roman"/>
          <w:color w:val="000000"/>
          <w:sz w:val="28"/>
          <w:lang w:val="en-US" w:eastAsia="zh-CN"/>
        </w:rPr>
        <w:t>247</w:t>
      </w:r>
      <w:r>
        <w:rPr>
          <w:rFonts w:hint="eastAsia" w:ascii="Times New Roman" w:hAnsi="Times New Roman" w:eastAsia="方正仿宋_GBK" w:cs="Times New Roman"/>
          <w:color w:val="000000"/>
          <w:sz w:val="28"/>
        </w:rPr>
        <w:t>万元，主要是增加</w:t>
      </w:r>
      <w:r>
        <w:rPr>
          <w:rFonts w:hint="eastAsia" w:eastAsia="方正仿宋_GBK" w:cs="Times New Roman"/>
          <w:color w:val="000000"/>
          <w:sz w:val="28"/>
          <w:lang w:eastAsia="zh-CN"/>
        </w:rPr>
        <w:t>了食品安全协管员工资、省级下达商标奖励资金、中央下达工商行政管理专项补助经费、省级下达市场监管专项补助资金</w:t>
      </w:r>
      <w:r>
        <w:rPr>
          <w:rFonts w:hint="eastAsia" w:ascii="Times New Roman" w:hAnsi="Times New Roman" w:eastAsia="方正仿宋_GBK" w:cs="Times New Roman"/>
          <w:color w:val="000000"/>
          <w:sz w:val="28"/>
        </w:rPr>
        <w:t>；其他支出无增减变化。</w:t>
      </w:r>
    </w:p>
    <w:p>
      <w:pPr>
        <w:numPr>
          <w:ilvl w:val="0"/>
          <w:numId w:val="0"/>
        </w:numPr>
        <w:spacing w:before="10" w:after="10" w:line="240" w:lineRule="auto"/>
        <w:ind w:leftChars="200"/>
        <w:jc w:val="left"/>
        <w:outlineLvl w:val="5"/>
        <w:rPr>
          <w:rFonts w:ascii="黑体" w:hAnsi="黑体" w:eastAsia="黑体" w:cs="黑体"/>
          <w:color w:val="000000"/>
          <w:sz w:val="32"/>
        </w:rPr>
      </w:pPr>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p>
    <w:p>
      <w:pPr>
        <w:numPr>
          <w:ilvl w:val="0"/>
          <w:numId w:val="0"/>
        </w:numPr>
        <w:spacing w:before="10" w:after="10" w:line="240" w:lineRule="auto"/>
        <w:ind w:firstLine="560" w:firstLineChars="200"/>
        <w:jc w:val="left"/>
        <w:outlineLvl w:val="5"/>
      </w:pPr>
      <w:r>
        <w:rPr>
          <w:rFonts w:hint="eastAsia" w:ascii="Times New Roman" w:hAnsi="Times New Roman" w:eastAsia="方正仿宋_GBK" w:cs="Times New Roman"/>
          <w:color w:val="000000"/>
          <w:sz w:val="28"/>
        </w:rPr>
        <w:t>2022年，</w:t>
      </w:r>
      <w:r>
        <w:rPr>
          <w:rFonts w:hint="eastAsia" w:eastAsia="方正仿宋_GBK" w:cs="Times New Roman"/>
          <w:color w:val="000000"/>
          <w:sz w:val="28"/>
          <w:lang w:val="en-US" w:eastAsia="zh-CN"/>
        </w:rPr>
        <w:t>本</w:t>
      </w:r>
      <w:r>
        <w:rPr>
          <w:rFonts w:hint="eastAsia" w:eastAsia="方正仿宋_GBK" w:cs="Times New Roman"/>
          <w:color w:val="000000"/>
          <w:sz w:val="28"/>
          <w:lang w:eastAsia="zh-CN"/>
        </w:rPr>
        <w:t>单位</w:t>
      </w:r>
      <w:r>
        <w:rPr>
          <w:rFonts w:hint="eastAsia" w:ascii="Times New Roman" w:hAnsi="Times New Roman" w:eastAsia="方正仿宋_GBK" w:cs="Times New Roman"/>
          <w:color w:val="000000"/>
          <w:sz w:val="28"/>
        </w:rPr>
        <w:t>机关运行经费共计安排</w:t>
      </w:r>
      <w:r>
        <w:rPr>
          <w:rFonts w:hint="eastAsia" w:ascii="Times New Roman" w:hAnsi="Times New Roman" w:eastAsia="方正仿宋_GBK" w:cs="Times New Roman"/>
          <w:color w:val="000000"/>
          <w:sz w:val="28"/>
          <w:lang w:val="en-US" w:eastAsia="zh-CN"/>
        </w:rPr>
        <w:t>302.65</w:t>
      </w:r>
      <w:r>
        <w:rPr>
          <w:rFonts w:hint="eastAsia" w:ascii="Times New Roman" w:hAnsi="Times New Roman" w:eastAsia="方正仿宋_GBK" w:cs="Times New Roman"/>
          <w:color w:val="000000"/>
          <w:sz w:val="28"/>
        </w:rPr>
        <w:t>万元，主要用于保证机关正常运转的办公</w:t>
      </w:r>
      <w:r>
        <w:rPr>
          <w:rFonts w:hint="eastAsia" w:ascii="Times New Roman" w:hAnsi="Times New Roman" w:eastAsia="方正仿宋_GBK" w:cs="Times New Roman"/>
          <w:color w:val="000000"/>
          <w:sz w:val="28"/>
          <w:lang w:eastAsia="zh-CN"/>
        </w:rPr>
        <w:t>费</w:t>
      </w:r>
      <w:r>
        <w:rPr>
          <w:rFonts w:hint="eastAsia" w:ascii="Times New Roman" w:hAnsi="Times New Roman" w:eastAsia="方正仿宋_GBK" w:cs="Times New Roman"/>
          <w:color w:val="000000"/>
          <w:sz w:val="28"/>
        </w:rPr>
        <w:t>、邮电费、福利费、办公用房水电费、办公用房取暖费、公务车运行维护费等支出</w:t>
      </w:r>
      <w:r>
        <w:rPr>
          <w:rFonts w:hint="eastAsia" w:ascii="Times New Roman" w:hAnsi="Times New Roman" w:eastAsia="方正仿宋_GBK" w:cs="Times New Roman"/>
          <w:color w:val="000000"/>
          <w:sz w:val="28"/>
          <w:lang w:eastAsia="zh-CN"/>
        </w:rP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rPr>
          <w:rFonts w:hint="eastAsia" w:ascii="Times New Roman" w:hAnsi="Times New Roman" w:eastAsia="方正仿宋_GBK" w:cs="Times New Roman"/>
          <w:color w:val="000000"/>
          <w:sz w:val="28"/>
          <w:szCs w:val="24"/>
          <w:lang w:val="en-US" w:eastAsia="uk-UA" w:bidi="ar-SA"/>
        </w:rPr>
        <w:t>2022年，</w:t>
      </w:r>
      <w:r>
        <w:rPr>
          <w:rFonts w:hint="eastAsia" w:cs="Times New Roman"/>
          <w:color w:val="000000"/>
          <w:sz w:val="28"/>
          <w:szCs w:val="24"/>
          <w:lang w:val="en-US" w:eastAsia="zh-CN" w:bidi="ar-SA"/>
        </w:rPr>
        <w:t>本单位</w:t>
      </w:r>
      <w:r>
        <w:rPr>
          <w:rFonts w:hint="eastAsia" w:ascii="Times New Roman" w:hAnsi="Times New Roman" w:eastAsia="方正仿宋_GBK" w:cs="Times New Roman"/>
          <w:color w:val="000000"/>
          <w:sz w:val="28"/>
          <w:szCs w:val="24"/>
          <w:lang w:val="en-US" w:eastAsia="uk-UA" w:bidi="ar-SA"/>
        </w:rPr>
        <w:t>财政拨款“三公”经费预算安排</w:t>
      </w:r>
      <w:r>
        <w:rPr>
          <w:rFonts w:hint="eastAsia" w:cs="Times New Roman"/>
          <w:color w:val="000000"/>
          <w:sz w:val="28"/>
          <w:szCs w:val="24"/>
          <w:lang w:val="en-US" w:eastAsia="zh-CN" w:bidi="ar-SA"/>
        </w:rPr>
        <w:t>54</w:t>
      </w:r>
      <w:r>
        <w:rPr>
          <w:rFonts w:hint="eastAsia" w:ascii="Times New Roman" w:hAnsi="Times New Roman" w:eastAsia="方正仿宋_GBK" w:cs="Times New Roman"/>
          <w:color w:val="000000"/>
          <w:sz w:val="28"/>
          <w:szCs w:val="24"/>
          <w:lang w:val="en-US" w:eastAsia="uk-UA" w:bidi="ar-SA"/>
        </w:rPr>
        <w:t>万元，其中：</w:t>
      </w:r>
      <w:r>
        <w:rPr>
          <w:rFonts w:hint="eastAsia" w:cs="Times New Roman"/>
          <w:color w:val="000000"/>
          <w:sz w:val="28"/>
          <w:szCs w:val="24"/>
          <w:lang w:val="en-US" w:eastAsia="zh-CN" w:bidi="ar-SA"/>
        </w:rPr>
        <w:t>因公出国（境）费0万元，与上年持平；</w:t>
      </w:r>
      <w:r>
        <w:rPr>
          <w:rFonts w:hint="eastAsia" w:ascii="Times New Roman" w:hAnsi="Times New Roman" w:eastAsia="方正仿宋_GBK" w:cs="Times New Roman"/>
          <w:color w:val="000000"/>
          <w:sz w:val="28"/>
          <w:szCs w:val="24"/>
          <w:lang w:val="en-US" w:eastAsia="uk-UA" w:bidi="ar-SA"/>
        </w:rPr>
        <w:t>公务用车购置及运维费</w:t>
      </w:r>
      <w:r>
        <w:rPr>
          <w:rFonts w:hint="eastAsia" w:ascii="Times New Roman" w:hAnsi="Times New Roman" w:eastAsia="方正仿宋_GBK" w:cs="Times New Roman"/>
          <w:color w:val="000000"/>
          <w:sz w:val="28"/>
          <w:szCs w:val="24"/>
          <w:lang w:val="en-US" w:eastAsia="zh-CN" w:bidi="ar-SA"/>
        </w:rPr>
        <w:t>54</w:t>
      </w:r>
      <w:r>
        <w:rPr>
          <w:rFonts w:hint="eastAsia" w:ascii="Times New Roman" w:hAnsi="Times New Roman" w:eastAsia="方正仿宋_GBK" w:cs="Times New Roman"/>
          <w:color w:val="000000"/>
          <w:sz w:val="28"/>
          <w:szCs w:val="24"/>
          <w:lang w:val="en-US" w:eastAsia="uk-UA" w:bidi="ar-SA"/>
        </w:rPr>
        <w:t>万元（其中：公务用车购置费</w:t>
      </w:r>
      <w:r>
        <w:rPr>
          <w:rFonts w:hint="eastAsia" w:ascii="Times New Roman" w:hAnsi="Times New Roman" w:eastAsia="方正仿宋_GBK" w:cs="Times New Roman"/>
          <w:color w:val="000000"/>
          <w:sz w:val="28"/>
          <w:szCs w:val="24"/>
          <w:lang w:val="en-US" w:eastAsia="zh-CN" w:bidi="ar-SA"/>
        </w:rPr>
        <w:t>10</w:t>
      </w:r>
      <w:r>
        <w:rPr>
          <w:rFonts w:hint="eastAsia" w:ascii="Times New Roman" w:hAnsi="Times New Roman" w:eastAsia="方正仿宋_GBK" w:cs="Times New Roman"/>
          <w:color w:val="000000"/>
          <w:sz w:val="28"/>
          <w:szCs w:val="24"/>
          <w:lang w:val="en-US" w:eastAsia="uk-UA" w:bidi="ar-SA"/>
        </w:rPr>
        <w:t>万元，</w:t>
      </w:r>
      <w:r>
        <w:rPr>
          <w:rFonts w:hint="eastAsia" w:cs="Times New Roman"/>
          <w:color w:val="000000"/>
          <w:sz w:val="28"/>
          <w:szCs w:val="24"/>
          <w:lang w:val="en-US" w:eastAsia="zh-CN" w:bidi="ar-SA"/>
        </w:rPr>
        <w:t>与上年相比增加10万元，增加的主要原因是：2021年报废2辆公车，2022年新购置1辆；</w:t>
      </w:r>
      <w:r>
        <w:rPr>
          <w:rFonts w:hint="eastAsia" w:ascii="Times New Roman" w:hAnsi="Times New Roman" w:eastAsia="方正仿宋_GBK" w:cs="Times New Roman"/>
          <w:color w:val="000000"/>
          <w:sz w:val="28"/>
          <w:szCs w:val="24"/>
          <w:lang w:val="en-US" w:eastAsia="uk-UA" w:bidi="ar-SA"/>
        </w:rPr>
        <w:t>公务用车运行维护费</w:t>
      </w:r>
      <w:r>
        <w:rPr>
          <w:rFonts w:hint="eastAsia" w:ascii="Times New Roman" w:hAnsi="Times New Roman" w:eastAsia="方正仿宋_GBK" w:cs="Times New Roman"/>
          <w:color w:val="000000"/>
          <w:sz w:val="28"/>
          <w:szCs w:val="24"/>
          <w:lang w:val="en-US" w:eastAsia="zh-CN" w:bidi="ar-SA"/>
        </w:rPr>
        <w:t>44</w:t>
      </w:r>
      <w:r>
        <w:rPr>
          <w:rFonts w:hint="eastAsia" w:ascii="Times New Roman" w:hAnsi="Times New Roman" w:eastAsia="方正仿宋_GBK" w:cs="Times New Roman"/>
          <w:color w:val="000000"/>
          <w:sz w:val="28"/>
          <w:szCs w:val="24"/>
          <w:lang w:val="en-US" w:eastAsia="uk-UA" w:bidi="ar-SA"/>
        </w:rPr>
        <w:t>万元</w:t>
      </w:r>
      <w:r>
        <w:rPr>
          <w:rFonts w:hint="eastAsia" w:cs="Times New Roman"/>
          <w:color w:val="000000"/>
          <w:sz w:val="28"/>
          <w:szCs w:val="24"/>
          <w:lang w:val="en-US" w:eastAsia="zh-CN" w:bidi="ar-SA"/>
        </w:rPr>
        <w:t>，</w:t>
      </w:r>
      <w:r>
        <w:rPr>
          <w:rFonts w:hint="eastAsia" w:ascii="Times New Roman" w:hAnsi="Times New Roman" w:eastAsia="方正仿宋_GBK" w:cs="Times New Roman"/>
          <w:color w:val="000000"/>
          <w:sz w:val="28"/>
          <w:szCs w:val="24"/>
          <w:lang w:val="en-US" w:eastAsia="uk-UA" w:bidi="ar-SA"/>
        </w:rPr>
        <w:t>与上年相比减少</w:t>
      </w:r>
      <w:r>
        <w:rPr>
          <w:rFonts w:hint="eastAsia" w:cs="Times New Roman"/>
          <w:color w:val="000000"/>
          <w:sz w:val="28"/>
          <w:szCs w:val="24"/>
          <w:lang w:val="en-US" w:eastAsia="zh-CN" w:bidi="ar-SA"/>
        </w:rPr>
        <w:t>10</w:t>
      </w:r>
      <w:r>
        <w:rPr>
          <w:rFonts w:hint="eastAsia" w:ascii="Times New Roman" w:hAnsi="Times New Roman" w:eastAsia="方正仿宋_GBK" w:cs="Times New Roman"/>
          <w:color w:val="000000"/>
          <w:sz w:val="28"/>
          <w:szCs w:val="24"/>
          <w:lang w:val="en-US" w:eastAsia="uk-UA" w:bidi="ar-SA"/>
        </w:rPr>
        <w:t>万元，减少的主要原因：</w:t>
      </w:r>
      <w:r>
        <w:rPr>
          <w:rFonts w:hint="eastAsia" w:cs="Times New Roman"/>
          <w:color w:val="000000"/>
          <w:sz w:val="28"/>
          <w:szCs w:val="24"/>
          <w:lang w:val="en-US" w:eastAsia="zh-CN" w:bidi="ar-SA"/>
        </w:rPr>
        <w:t>厉行节约</w:t>
      </w:r>
      <w:r>
        <w:rPr>
          <w:rFonts w:hint="eastAsia" w:ascii="Times New Roman" w:hAnsi="Times New Roman" w:eastAsia="方正仿宋_GBK" w:cs="Times New Roman"/>
          <w:color w:val="000000"/>
          <w:sz w:val="28"/>
          <w:szCs w:val="24"/>
          <w:lang w:val="en-US" w:eastAsia="uk-UA" w:bidi="ar-SA"/>
        </w:rPr>
        <w:t>压缩</w:t>
      </w:r>
      <w:r>
        <w:rPr>
          <w:rFonts w:hint="eastAsia" w:cs="Times New Roman"/>
          <w:color w:val="000000"/>
          <w:sz w:val="28"/>
          <w:szCs w:val="24"/>
          <w:lang w:val="en-US" w:eastAsia="zh-CN" w:bidi="ar-SA"/>
        </w:rPr>
        <w:t>经费</w:t>
      </w:r>
      <w:r>
        <w:rPr>
          <w:rFonts w:hint="eastAsia" w:ascii="Times New Roman" w:hAnsi="Times New Roman" w:eastAsia="方正仿宋_GBK" w:cs="Times New Roman"/>
          <w:color w:val="000000"/>
          <w:sz w:val="28"/>
          <w:szCs w:val="24"/>
          <w:lang w:val="en-US" w:eastAsia="uk-UA" w:bidi="ar-SA"/>
        </w:rPr>
        <w:t>)；公务接待费</w:t>
      </w:r>
      <w:r>
        <w:rPr>
          <w:rFonts w:hint="eastAsia" w:cs="Times New Roman"/>
          <w:color w:val="000000"/>
          <w:sz w:val="28"/>
          <w:szCs w:val="24"/>
          <w:lang w:val="en-US" w:eastAsia="zh-CN" w:bidi="ar-SA"/>
        </w:rPr>
        <w:t>0</w:t>
      </w:r>
      <w:r>
        <w:rPr>
          <w:rFonts w:hint="eastAsia" w:ascii="Times New Roman" w:hAnsi="Times New Roman" w:eastAsia="方正仿宋_GBK" w:cs="Times New Roman"/>
          <w:color w:val="000000"/>
          <w:sz w:val="28"/>
          <w:szCs w:val="24"/>
          <w:lang w:val="en-US" w:eastAsia="uk-UA" w:bidi="ar-SA"/>
        </w:rPr>
        <w:t>万元</w:t>
      </w:r>
      <w:r>
        <w:rPr>
          <w:rFonts w:hint="eastAsia" w:cs="Times New Roman"/>
          <w:color w:val="000000"/>
          <w:sz w:val="28"/>
          <w:szCs w:val="24"/>
          <w:lang w:val="en-US" w:eastAsia="zh-CN" w:bidi="ar-SA"/>
        </w:rPr>
        <w:t>，与上年持平。与2021年相比，三公经费与上年持平，无增减变化。</w:t>
      </w: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1、办公场所维修（护）及租赁经费绩效目标表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1.目标内容1对局机关和市场所的办公场所和设备进行维修（护）及公务舱租赁费共计24.11万元。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需要维修（护）的数量</w:t>
            </w:r>
          </w:p>
        </w:tc>
        <w:tc>
          <w:tcPr>
            <w:tcW w:w="2835" w:type="dxa"/>
            <w:vAlign w:val="center"/>
          </w:tcPr>
          <w:p>
            <w:pPr>
              <w:pStyle w:val="28"/>
            </w:pPr>
            <w:r>
              <w:t>需要维修（护）的数量</w:t>
            </w:r>
          </w:p>
        </w:tc>
        <w:tc>
          <w:tcPr>
            <w:tcW w:w="2551" w:type="dxa"/>
            <w:vAlign w:val="center"/>
          </w:tcPr>
          <w:p>
            <w:pPr>
              <w:pStyle w:val="28"/>
            </w:pPr>
            <w:r>
              <w:t>按需维修（护）</w:t>
            </w:r>
          </w:p>
        </w:tc>
        <w:tc>
          <w:tcPr>
            <w:tcW w:w="2268" w:type="dxa"/>
            <w:vAlign w:val="center"/>
          </w:tcPr>
          <w:p>
            <w:pPr>
              <w:pStyle w:val="28"/>
            </w:pPr>
            <w:r>
              <w:t>维修清单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完成率</w:t>
            </w:r>
          </w:p>
        </w:tc>
        <w:tc>
          <w:tcPr>
            <w:tcW w:w="2835" w:type="dxa"/>
            <w:vAlign w:val="center"/>
          </w:tcPr>
          <w:p>
            <w:pPr>
              <w:pStyle w:val="28"/>
            </w:pPr>
            <w:r>
              <w:t>维修（护）完成率</w:t>
            </w:r>
          </w:p>
        </w:tc>
        <w:tc>
          <w:tcPr>
            <w:tcW w:w="2551" w:type="dxa"/>
            <w:vAlign w:val="center"/>
          </w:tcPr>
          <w:p>
            <w:pPr>
              <w:pStyle w:val="28"/>
            </w:pPr>
            <w:r>
              <w:t>≥95%</w:t>
            </w:r>
          </w:p>
        </w:tc>
        <w:tc>
          <w:tcPr>
            <w:tcW w:w="2268" w:type="dxa"/>
            <w:vAlign w:val="center"/>
          </w:tcPr>
          <w:p>
            <w:pPr>
              <w:pStyle w:val="28"/>
            </w:pPr>
            <w:r>
              <w:t>维修清单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维修的及时性</w:t>
            </w:r>
          </w:p>
        </w:tc>
        <w:tc>
          <w:tcPr>
            <w:tcW w:w="2835" w:type="dxa"/>
            <w:vAlign w:val="center"/>
          </w:tcPr>
          <w:p>
            <w:pPr>
              <w:pStyle w:val="28"/>
            </w:pPr>
            <w:r>
              <w:t>及时、快速完成维修（护）</w:t>
            </w:r>
          </w:p>
        </w:tc>
        <w:tc>
          <w:tcPr>
            <w:tcW w:w="2551" w:type="dxa"/>
            <w:vAlign w:val="center"/>
          </w:tcPr>
          <w:p>
            <w:pPr>
              <w:pStyle w:val="28"/>
            </w:pPr>
            <w:r>
              <w:t>快速、及时</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维修（护）成本</w:t>
            </w:r>
          </w:p>
        </w:tc>
        <w:tc>
          <w:tcPr>
            <w:tcW w:w="2835" w:type="dxa"/>
            <w:vAlign w:val="center"/>
          </w:tcPr>
          <w:p>
            <w:pPr>
              <w:pStyle w:val="28"/>
            </w:pPr>
            <w:r>
              <w:t>维修（护）成本</w:t>
            </w:r>
          </w:p>
        </w:tc>
        <w:tc>
          <w:tcPr>
            <w:tcW w:w="2551" w:type="dxa"/>
            <w:vAlign w:val="center"/>
          </w:tcPr>
          <w:p>
            <w:pPr>
              <w:pStyle w:val="28"/>
            </w:pPr>
            <w:r>
              <w:t>报账票据</w:t>
            </w:r>
          </w:p>
        </w:tc>
        <w:tc>
          <w:tcPr>
            <w:tcW w:w="2268" w:type="dxa"/>
            <w:vAlign w:val="center"/>
          </w:tcPr>
          <w:p>
            <w:pPr>
              <w:pStyle w:val="28"/>
            </w:pPr>
            <w:r>
              <w:t>报账票据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按时完成率</w:t>
            </w:r>
          </w:p>
        </w:tc>
        <w:tc>
          <w:tcPr>
            <w:tcW w:w="2835" w:type="dxa"/>
            <w:vAlign w:val="center"/>
          </w:tcPr>
          <w:p>
            <w:pPr>
              <w:pStyle w:val="28"/>
            </w:pPr>
            <w:r>
              <w:t>按时完成率</w:t>
            </w:r>
          </w:p>
        </w:tc>
        <w:tc>
          <w:tcPr>
            <w:tcW w:w="2551" w:type="dxa"/>
            <w:vAlign w:val="center"/>
          </w:tcPr>
          <w:p>
            <w:pPr>
              <w:pStyle w:val="28"/>
            </w:pPr>
            <w:r>
              <w:t>≥97%</w:t>
            </w:r>
          </w:p>
        </w:tc>
        <w:tc>
          <w:tcPr>
            <w:tcW w:w="2268" w:type="dxa"/>
            <w:vAlign w:val="center"/>
          </w:tcPr>
          <w:p>
            <w:pPr>
              <w:pStyle w:val="28"/>
            </w:pPr>
            <w:r>
              <w:t>报销票据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机关工作正常运转</w:t>
            </w:r>
          </w:p>
        </w:tc>
        <w:tc>
          <w:tcPr>
            <w:tcW w:w="2835" w:type="dxa"/>
            <w:vAlign w:val="center"/>
          </w:tcPr>
          <w:p>
            <w:pPr>
              <w:pStyle w:val="28"/>
            </w:pPr>
            <w:r>
              <w:t>保障机关工作正常运转</w:t>
            </w:r>
          </w:p>
        </w:tc>
        <w:tc>
          <w:tcPr>
            <w:tcW w:w="2551" w:type="dxa"/>
            <w:vAlign w:val="center"/>
          </w:tcPr>
          <w:p>
            <w:pPr>
              <w:pStyle w:val="28"/>
            </w:pPr>
            <w:r>
              <w:t>100%</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生态效益指标</w:t>
            </w:r>
          </w:p>
        </w:tc>
        <w:tc>
          <w:tcPr>
            <w:tcW w:w="2835" w:type="dxa"/>
            <w:vAlign w:val="center"/>
          </w:tcPr>
          <w:p>
            <w:pPr>
              <w:pStyle w:val="28"/>
            </w:pPr>
            <w:r>
              <w:t>维修（护）质保期</w:t>
            </w:r>
          </w:p>
        </w:tc>
        <w:tc>
          <w:tcPr>
            <w:tcW w:w="2835" w:type="dxa"/>
            <w:vAlign w:val="center"/>
          </w:tcPr>
          <w:p>
            <w:pPr>
              <w:pStyle w:val="28"/>
            </w:pPr>
            <w:r>
              <w:t>维修（护）质保期</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持续发挥作用</w:t>
            </w:r>
          </w:p>
        </w:tc>
        <w:tc>
          <w:tcPr>
            <w:tcW w:w="2835" w:type="dxa"/>
            <w:vAlign w:val="center"/>
          </w:tcPr>
          <w:p>
            <w:pPr>
              <w:pStyle w:val="28"/>
            </w:pPr>
            <w:r>
              <w:t>持续发挥作用</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机关人员的满意度</w:t>
            </w:r>
          </w:p>
        </w:tc>
        <w:tc>
          <w:tcPr>
            <w:tcW w:w="2835" w:type="dxa"/>
            <w:vAlign w:val="center"/>
          </w:tcPr>
          <w:p>
            <w:pPr>
              <w:pStyle w:val="28"/>
            </w:pPr>
            <w:r>
              <w:t>机关人员的满意度</w:t>
            </w:r>
          </w:p>
        </w:tc>
        <w:tc>
          <w:tcPr>
            <w:tcW w:w="2551" w:type="dxa"/>
            <w:vAlign w:val="center"/>
          </w:tcPr>
          <w:p>
            <w:pPr>
              <w:pStyle w:val="28"/>
            </w:pPr>
            <w:r>
              <w:t>≥90%</w:t>
            </w:r>
          </w:p>
        </w:tc>
        <w:tc>
          <w:tcPr>
            <w:tcW w:w="2268" w:type="dxa"/>
            <w:vAlign w:val="center"/>
          </w:tcPr>
          <w:p>
            <w:pPr>
              <w:pStyle w:val="28"/>
            </w:pPr>
            <w:r>
              <w:t>问卷调查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2、办公设备购置及信息化建设运行维护费绩效目标表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1.目标内容1购置公务用车、检测设备、办公设备及缴纳网络运行费用共计45万元。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购置各种设备数量</w:t>
            </w:r>
          </w:p>
        </w:tc>
        <w:tc>
          <w:tcPr>
            <w:tcW w:w="2835" w:type="dxa"/>
            <w:vAlign w:val="center"/>
          </w:tcPr>
          <w:p>
            <w:pPr>
              <w:pStyle w:val="28"/>
            </w:pPr>
            <w:r>
              <w:t>购置各种设备数量占计划购置总数的比率</w:t>
            </w:r>
          </w:p>
        </w:tc>
        <w:tc>
          <w:tcPr>
            <w:tcW w:w="2551" w:type="dxa"/>
            <w:vAlign w:val="center"/>
          </w:tcPr>
          <w:p>
            <w:pPr>
              <w:pStyle w:val="28"/>
            </w:pPr>
            <w:r>
              <w:t>≥90%</w:t>
            </w:r>
          </w:p>
        </w:tc>
        <w:tc>
          <w:tcPr>
            <w:tcW w:w="2268" w:type="dxa"/>
            <w:vAlign w:val="center"/>
          </w:tcPr>
          <w:p>
            <w:pPr>
              <w:pStyle w:val="28"/>
            </w:pPr>
            <w:r>
              <w:t>购置票据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设备质量的合格率</w:t>
            </w:r>
          </w:p>
        </w:tc>
        <w:tc>
          <w:tcPr>
            <w:tcW w:w="2835" w:type="dxa"/>
            <w:vAlign w:val="center"/>
          </w:tcPr>
          <w:p>
            <w:pPr>
              <w:pStyle w:val="28"/>
            </w:pPr>
            <w:r>
              <w:t>设备质量的合格数量占购置总数的比率</w:t>
            </w:r>
          </w:p>
        </w:tc>
        <w:tc>
          <w:tcPr>
            <w:tcW w:w="2551" w:type="dxa"/>
            <w:vAlign w:val="center"/>
          </w:tcPr>
          <w:p>
            <w:pPr>
              <w:pStyle w:val="28"/>
            </w:pPr>
            <w:r>
              <w:t>≥100%</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购置的及时性</w:t>
            </w:r>
          </w:p>
        </w:tc>
        <w:tc>
          <w:tcPr>
            <w:tcW w:w="2835" w:type="dxa"/>
            <w:vAlign w:val="center"/>
          </w:tcPr>
          <w:p>
            <w:pPr>
              <w:pStyle w:val="28"/>
            </w:pPr>
            <w:r>
              <w:t>及时购置各项设备</w:t>
            </w:r>
          </w:p>
        </w:tc>
        <w:tc>
          <w:tcPr>
            <w:tcW w:w="2551" w:type="dxa"/>
            <w:vAlign w:val="center"/>
          </w:tcPr>
          <w:p>
            <w:pPr>
              <w:pStyle w:val="28"/>
            </w:pPr>
            <w:r>
              <w:t>及时、快速</w:t>
            </w:r>
          </w:p>
        </w:tc>
        <w:tc>
          <w:tcPr>
            <w:tcW w:w="2268" w:type="dxa"/>
            <w:vAlign w:val="center"/>
          </w:tcPr>
          <w:p>
            <w:pPr>
              <w:pStyle w:val="28"/>
            </w:pPr>
            <w:r>
              <w:t>购置票据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购置设备的标准</w:t>
            </w:r>
          </w:p>
        </w:tc>
        <w:tc>
          <w:tcPr>
            <w:tcW w:w="2835" w:type="dxa"/>
            <w:vAlign w:val="center"/>
          </w:tcPr>
          <w:p>
            <w:pPr>
              <w:pStyle w:val="28"/>
            </w:pPr>
            <w:r>
              <w:t>购置设备的标准</w:t>
            </w:r>
          </w:p>
        </w:tc>
        <w:tc>
          <w:tcPr>
            <w:tcW w:w="2551" w:type="dxa"/>
            <w:vAlign w:val="center"/>
          </w:tcPr>
          <w:p>
            <w:pPr>
              <w:pStyle w:val="28"/>
            </w:pPr>
            <w:r>
              <w:t>文件规定</w:t>
            </w:r>
          </w:p>
        </w:tc>
        <w:tc>
          <w:tcPr>
            <w:tcW w:w="2268" w:type="dxa"/>
            <w:vAlign w:val="center"/>
          </w:tcPr>
          <w:p>
            <w:pPr>
              <w:pStyle w:val="28"/>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工作正常运转完成率</w:t>
            </w:r>
          </w:p>
        </w:tc>
        <w:tc>
          <w:tcPr>
            <w:tcW w:w="2835" w:type="dxa"/>
            <w:vAlign w:val="center"/>
          </w:tcPr>
          <w:p>
            <w:pPr>
              <w:pStyle w:val="28"/>
            </w:pPr>
            <w:r>
              <w:t>确保工作正常运转</w:t>
            </w:r>
          </w:p>
        </w:tc>
        <w:tc>
          <w:tcPr>
            <w:tcW w:w="2551" w:type="dxa"/>
            <w:vAlign w:val="center"/>
          </w:tcPr>
          <w:p>
            <w:pPr>
              <w:pStyle w:val="28"/>
            </w:pPr>
            <w:r>
              <w:t>100%</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工作质量保障</w:t>
            </w:r>
          </w:p>
        </w:tc>
        <w:tc>
          <w:tcPr>
            <w:tcW w:w="2835" w:type="dxa"/>
            <w:vAlign w:val="center"/>
          </w:tcPr>
          <w:p>
            <w:pPr>
              <w:pStyle w:val="28"/>
            </w:pPr>
            <w:r>
              <w:t>各项工作有序开展保障率</w:t>
            </w:r>
          </w:p>
        </w:tc>
        <w:tc>
          <w:tcPr>
            <w:tcW w:w="2551" w:type="dxa"/>
            <w:vAlign w:val="center"/>
          </w:tcPr>
          <w:p>
            <w:pPr>
              <w:pStyle w:val="28"/>
            </w:pPr>
            <w:r>
              <w:t>100%</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生态效益指标</w:t>
            </w:r>
          </w:p>
        </w:tc>
        <w:tc>
          <w:tcPr>
            <w:tcW w:w="2835" w:type="dxa"/>
            <w:vAlign w:val="center"/>
          </w:tcPr>
          <w:p>
            <w:pPr>
              <w:pStyle w:val="28"/>
            </w:pPr>
            <w:r>
              <w:t>使用年限</w:t>
            </w:r>
          </w:p>
        </w:tc>
        <w:tc>
          <w:tcPr>
            <w:tcW w:w="2835" w:type="dxa"/>
            <w:vAlign w:val="center"/>
          </w:tcPr>
          <w:p>
            <w:pPr>
              <w:pStyle w:val="28"/>
            </w:pPr>
            <w:r>
              <w:t>设备使用年限</w:t>
            </w:r>
          </w:p>
        </w:tc>
        <w:tc>
          <w:tcPr>
            <w:tcW w:w="2551" w:type="dxa"/>
            <w:vAlign w:val="center"/>
          </w:tcPr>
          <w:p>
            <w:pPr>
              <w:pStyle w:val="28"/>
            </w:pPr>
            <w:r>
              <w:t>文件规定</w:t>
            </w:r>
          </w:p>
        </w:tc>
        <w:tc>
          <w:tcPr>
            <w:tcW w:w="2268" w:type="dxa"/>
            <w:vAlign w:val="center"/>
          </w:tcPr>
          <w:p>
            <w:pPr>
              <w:pStyle w:val="28"/>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长期使用性</w:t>
            </w:r>
          </w:p>
        </w:tc>
        <w:tc>
          <w:tcPr>
            <w:tcW w:w="2835" w:type="dxa"/>
            <w:vAlign w:val="center"/>
          </w:tcPr>
          <w:p>
            <w:pPr>
              <w:pStyle w:val="28"/>
            </w:pPr>
            <w:r>
              <w:t>设备的长期使用</w:t>
            </w:r>
          </w:p>
        </w:tc>
        <w:tc>
          <w:tcPr>
            <w:tcW w:w="2551" w:type="dxa"/>
            <w:vAlign w:val="center"/>
          </w:tcPr>
          <w:p>
            <w:pPr>
              <w:pStyle w:val="28"/>
            </w:pPr>
            <w:r>
              <w:t>文件规定</w:t>
            </w:r>
          </w:p>
        </w:tc>
        <w:tc>
          <w:tcPr>
            <w:tcW w:w="2268" w:type="dxa"/>
            <w:vAlign w:val="center"/>
          </w:tcPr>
          <w:p>
            <w:pPr>
              <w:pStyle w:val="28"/>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使用人员的满意度</w:t>
            </w:r>
          </w:p>
        </w:tc>
        <w:tc>
          <w:tcPr>
            <w:tcW w:w="2835" w:type="dxa"/>
            <w:vAlign w:val="center"/>
          </w:tcPr>
          <w:p>
            <w:pPr>
              <w:pStyle w:val="28"/>
            </w:pPr>
            <w:r>
              <w:t>使用设备人员的满意度</w:t>
            </w:r>
          </w:p>
        </w:tc>
        <w:tc>
          <w:tcPr>
            <w:tcW w:w="2551" w:type="dxa"/>
            <w:vAlign w:val="center"/>
          </w:tcPr>
          <w:p>
            <w:pPr>
              <w:pStyle w:val="28"/>
            </w:pPr>
            <w:r>
              <w:t>≥90%</w:t>
            </w:r>
          </w:p>
        </w:tc>
        <w:tc>
          <w:tcPr>
            <w:tcW w:w="2268" w:type="dxa"/>
            <w:vAlign w:val="center"/>
          </w:tcPr>
          <w:p>
            <w:pPr>
              <w:pStyle w:val="28"/>
            </w:pPr>
            <w:r>
              <w:t>问卷调查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3、商品质量检测、标准计量及监管经费绩效目标表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1.培育品牌，提升产品质量，提高全区标准管理水平，规范市场秩序，营造良好营商环境。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质量、标准、计量宣传次数</w:t>
            </w:r>
          </w:p>
        </w:tc>
        <w:tc>
          <w:tcPr>
            <w:tcW w:w="2835" w:type="dxa"/>
            <w:vAlign w:val="center"/>
          </w:tcPr>
          <w:p>
            <w:pPr>
              <w:pStyle w:val="28"/>
            </w:pPr>
            <w:r>
              <w:t>反映质量、标准、计量宣传力度</w:t>
            </w:r>
          </w:p>
        </w:tc>
        <w:tc>
          <w:tcPr>
            <w:tcW w:w="2551" w:type="dxa"/>
            <w:vAlign w:val="center"/>
          </w:tcPr>
          <w:p>
            <w:pPr>
              <w:pStyle w:val="28"/>
            </w:pPr>
            <w:r>
              <w:t>≥4次</w:t>
            </w:r>
          </w:p>
        </w:tc>
        <w:tc>
          <w:tcPr>
            <w:tcW w:w="2268" w:type="dxa"/>
            <w:vAlign w:val="center"/>
          </w:tcPr>
          <w:p>
            <w:pPr>
              <w:pStyle w:val="28"/>
            </w:pPr>
            <w:r>
              <w:t>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处理违法企业数量占查办违法企业数量的比率</w:t>
            </w:r>
          </w:p>
        </w:tc>
        <w:tc>
          <w:tcPr>
            <w:tcW w:w="2835" w:type="dxa"/>
            <w:vAlign w:val="center"/>
          </w:tcPr>
          <w:p>
            <w:pPr>
              <w:pStyle w:val="28"/>
            </w:pPr>
            <w:r>
              <w:t>处理违法企业数量占查办违法企业数量的比率</w:t>
            </w:r>
          </w:p>
        </w:tc>
        <w:tc>
          <w:tcPr>
            <w:tcW w:w="2551" w:type="dxa"/>
            <w:vAlign w:val="center"/>
          </w:tcPr>
          <w:p>
            <w:pPr>
              <w:pStyle w:val="28"/>
            </w:pPr>
            <w:r>
              <w:t>100%</w:t>
            </w:r>
          </w:p>
        </w:tc>
        <w:tc>
          <w:tcPr>
            <w:tcW w:w="2268" w:type="dxa"/>
            <w:vAlign w:val="center"/>
          </w:tcPr>
          <w:p>
            <w:pPr>
              <w:pStyle w:val="28"/>
            </w:pPr>
            <w:r>
              <w:t>实际案卷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群众投诉举报处理及时率（100%）</w:t>
            </w:r>
          </w:p>
        </w:tc>
        <w:tc>
          <w:tcPr>
            <w:tcW w:w="2835" w:type="dxa"/>
            <w:vAlign w:val="center"/>
          </w:tcPr>
          <w:p>
            <w:pPr>
              <w:pStyle w:val="28"/>
            </w:pPr>
            <w:r>
              <w:t>投诉举报案件处理完成数量占总投诉举报数量的比例</w:t>
            </w:r>
          </w:p>
        </w:tc>
        <w:tc>
          <w:tcPr>
            <w:tcW w:w="2551" w:type="dxa"/>
            <w:vAlign w:val="center"/>
          </w:tcPr>
          <w:p>
            <w:pPr>
              <w:pStyle w:val="28"/>
            </w:pPr>
            <w:r>
              <w:t>100%</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执法规范率</w:t>
            </w:r>
          </w:p>
        </w:tc>
        <w:tc>
          <w:tcPr>
            <w:tcW w:w="2835" w:type="dxa"/>
            <w:vAlign w:val="center"/>
          </w:tcPr>
          <w:p>
            <w:pPr>
              <w:pStyle w:val="28"/>
            </w:pPr>
            <w:r>
              <w:t>执法符合法定程序</w:t>
            </w:r>
          </w:p>
        </w:tc>
        <w:tc>
          <w:tcPr>
            <w:tcW w:w="2551" w:type="dxa"/>
            <w:vAlign w:val="center"/>
          </w:tcPr>
          <w:p>
            <w:pPr>
              <w:pStyle w:val="28"/>
            </w:pPr>
            <w:r>
              <w:t>≥95%</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商品质量提升水平</w:t>
            </w:r>
          </w:p>
        </w:tc>
        <w:tc>
          <w:tcPr>
            <w:tcW w:w="2835" w:type="dxa"/>
            <w:vAlign w:val="center"/>
          </w:tcPr>
          <w:p>
            <w:pPr>
              <w:pStyle w:val="28"/>
            </w:pPr>
            <w:r>
              <w:t>商品质量提升水平</w:t>
            </w:r>
          </w:p>
        </w:tc>
        <w:tc>
          <w:tcPr>
            <w:tcW w:w="2551" w:type="dxa"/>
            <w:vAlign w:val="center"/>
          </w:tcPr>
          <w:p>
            <w:pPr>
              <w:pStyle w:val="28"/>
            </w:pPr>
            <w:r>
              <w:t>逐步提升</w:t>
            </w:r>
          </w:p>
        </w:tc>
        <w:tc>
          <w:tcPr>
            <w:tcW w:w="2268" w:type="dxa"/>
            <w:vAlign w:val="center"/>
          </w:tcPr>
          <w:p>
            <w:pPr>
              <w:pStyle w:val="28"/>
            </w:pPr>
            <w:r>
              <w:t>实际调研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企业满意度</w:t>
            </w:r>
          </w:p>
        </w:tc>
        <w:tc>
          <w:tcPr>
            <w:tcW w:w="2835" w:type="dxa"/>
            <w:vAlign w:val="center"/>
          </w:tcPr>
          <w:p>
            <w:pPr>
              <w:pStyle w:val="28"/>
            </w:pPr>
            <w:r>
              <w:t>企业满意度</w:t>
            </w:r>
          </w:p>
        </w:tc>
        <w:tc>
          <w:tcPr>
            <w:tcW w:w="2551" w:type="dxa"/>
            <w:vAlign w:val="center"/>
          </w:tcPr>
          <w:p>
            <w:pPr>
              <w:pStyle w:val="28"/>
            </w:pPr>
            <w:r>
              <w:t>≥95%</w:t>
            </w:r>
          </w:p>
        </w:tc>
        <w:tc>
          <w:tcPr>
            <w:tcW w:w="2268" w:type="dxa"/>
            <w:vAlign w:val="center"/>
          </w:tcPr>
          <w:p>
            <w:pPr>
              <w:pStyle w:val="28"/>
            </w:pPr>
            <w:r>
              <w:t>问卷调查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4、石财行[2021]53号关于提前下达2022年商标奖励资金的通知绩效目标表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1.目标内容1在马德里国际注册国际商标注册运用上，围绕“一带一路”建设，着力提升全区自主品牌的核心竞争力和社会影响力，助推藁城制造走出国门，服务全区经济社会高质量发展大局。</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新增马德里国际注册商标</w:t>
            </w:r>
          </w:p>
        </w:tc>
        <w:tc>
          <w:tcPr>
            <w:tcW w:w="2835" w:type="dxa"/>
            <w:vAlign w:val="center"/>
          </w:tcPr>
          <w:p>
            <w:pPr>
              <w:pStyle w:val="28"/>
            </w:pPr>
            <w:r>
              <w:t>新取得马德里国际商标注册成功数量</w:t>
            </w:r>
          </w:p>
        </w:tc>
        <w:tc>
          <w:tcPr>
            <w:tcW w:w="2551" w:type="dxa"/>
            <w:vAlign w:val="center"/>
          </w:tcPr>
          <w:p>
            <w:pPr>
              <w:pStyle w:val="28"/>
            </w:pPr>
            <w:r>
              <w:t>≥20件</w:t>
            </w:r>
          </w:p>
        </w:tc>
        <w:tc>
          <w:tcPr>
            <w:tcW w:w="2268" w:type="dxa"/>
            <w:vAlign w:val="center"/>
          </w:tcPr>
          <w:p>
            <w:pPr>
              <w:pStyle w:val="28"/>
            </w:pPr>
            <w:r>
              <w:t>市委、市政府《关于大力发展民营经济的实施意见》（石发【2018】19号）、《关于支持民营经济高质量发展的政策措施》（石发【2018】29号）文件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知识产权海外风险预警</w:t>
            </w:r>
          </w:p>
        </w:tc>
        <w:tc>
          <w:tcPr>
            <w:tcW w:w="2835" w:type="dxa"/>
            <w:vAlign w:val="center"/>
          </w:tcPr>
          <w:p>
            <w:pPr>
              <w:pStyle w:val="28"/>
            </w:pPr>
            <w:r>
              <w:t>反映我区建立知识产权海外预警机制</w:t>
            </w:r>
          </w:p>
        </w:tc>
        <w:tc>
          <w:tcPr>
            <w:tcW w:w="2551" w:type="dxa"/>
            <w:vAlign w:val="center"/>
          </w:tcPr>
          <w:p>
            <w:pPr>
              <w:pStyle w:val="28"/>
            </w:pPr>
            <w:r>
              <w:t>家</w:t>
            </w:r>
          </w:p>
        </w:tc>
        <w:tc>
          <w:tcPr>
            <w:tcW w:w="2268" w:type="dxa"/>
            <w:vAlign w:val="center"/>
          </w:tcPr>
          <w:p>
            <w:pPr>
              <w:pStyle w:val="28"/>
            </w:pPr>
            <w:r>
              <w:t>市委、市政府《关于大力发展民营经济的实施意见》（石发【2018】19号）、《关于支持民营经济高质量发展的政策措施》（石发【2018】29号）文件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及时性</w:t>
            </w:r>
          </w:p>
        </w:tc>
        <w:tc>
          <w:tcPr>
            <w:tcW w:w="2835" w:type="dxa"/>
            <w:vAlign w:val="center"/>
          </w:tcPr>
          <w:p>
            <w:pPr>
              <w:pStyle w:val="28"/>
            </w:pPr>
            <w:r>
              <w:t>及时补贴到企业</w:t>
            </w:r>
          </w:p>
        </w:tc>
        <w:tc>
          <w:tcPr>
            <w:tcW w:w="2551" w:type="dxa"/>
            <w:vAlign w:val="center"/>
          </w:tcPr>
          <w:p>
            <w:pPr>
              <w:pStyle w:val="28"/>
            </w:pPr>
            <w:r>
              <w:t>资金及时发放到企业</w:t>
            </w:r>
          </w:p>
        </w:tc>
        <w:tc>
          <w:tcPr>
            <w:tcW w:w="2268" w:type="dxa"/>
            <w:vAlign w:val="center"/>
          </w:tcPr>
          <w:p>
            <w:pPr>
              <w:pStyle w:val="28"/>
            </w:pPr>
            <w:r>
              <w:t>市委、市政府《关于大力发展民营经济的实施意见》（石发【2018】19号）、《关于支持民营经济高质量发展的政策措施》（石发【2018】29号）文件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补贴金额</w:t>
            </w:r>
          </w:p>
        </w:tc>
        <w:tc>
          <w:tcPr>
            <w:tcW w:w="2835" w:type="dxa"/>
            <w:vAlign w:val="center"/>
          </w:tcPr>
          <w:p>
            <w:pPr>
              <w:pStyle w:val="28"/>
            </w:pPr>
            <w:r>
              <w:t>补贴金额</w:t>
            </w:r>
          </w:p>
        </w:tc>
        <w:tc>
          <w:tcPr>
            <w:tcW w:w="2551" w:type="dxa"/>
            <w:vAlign w:val="center"/>
          </w:tcPr>
          <w:p>
            <w:pPr>
              <w:pStyle w:val="28"/>
            </w:pPr>
            <w:r>
              <w:t>200万元</w:t>
            </w:r>
          </w:p>
        </w:tc>
        <w:tc>
          <w:tcPr>
            <w:tcW w:w="2268" w:type="dxa"/>
            <w:vAlign w:val="center"/>
          </w:tcPr>
          <w:p>
            <w:pPr>
              <w:pStyle w:val="28"/>
            </w:pPr>
            <w:r>
              <w:t>市委、市政府《关于大力发展民营经济的实施意见》（石发【2018】19号）、《关于支持民营经济高质量发展的政策措施》（石发【2018】29号）文件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提高知识产权意识，保护企业海外权益</w:t>
            </w:r>
          </w:p>
        </w:tc>
        <w:tc>
          <w:tcPr>
            <w:tcW w:w="2835" w:type="dxa"/>
            <w:vAlign w:val="center"/>
          </w:tcPr>
          <w:p>
            <w:pPr>
              <w:pStyle w:val="28"/>
            </w:pPr>
            <w:r>
              <w:t>鼓励企业进行海外布局</w:t>
            </w:r>
          </w:p>
        </w:tc>
        <w:tc>
          <w:tcPr>
            <w:tcW w:w="2551" w:type="dxa"/>
            <w:vAlign w:val="center"/>
          </w:tcPr>
          <w:p>
            <w:pPr>
              <w:pStyle w:val="28"/>
            </w:pPr>
            <w:r>
              <w:t>提高</w:t>
            </w:r>
          </w:p>
        </w:tc>
        <w:tc>
          <w:tcPr>
            <w:tcW w:w="2268" w:type="dxa"/>
            <w:vAlign w:val="center"/>
          </w:tcPr>
          <w:p>
            <w:pPr>
              <w:pStyle w:val="28"/>
            </w:pPr>
            <w:r>
              <w:t>石家庄市人民政府办公室关于印发《关于加快推进全市知名品牌培育工程的实施意见》的通知（石政办函【2018】7号）文件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培育对象满意度</w:t>
            </w:r>
          </w:p>
        </w:tc>
        <w:tc>
          <w:tcPr>
            <w:tcW w:w="2835" w:type="dxa"/>
            <w:vAlign w:val="center"/>
          </w:tcPr>
          <w:p>
            <w:pPr>
              <w:pStyle w:val="28"/>
            </w:pPr>
            <w:r>
              <w:t>通过问卷，满意的培育对象占所有调查对象的比例</w:t>
            </w:r>
          </w:p>
        </w:tc>
        <w:tc>
          <w:tcPr>
            <w:tcW w:w="2551" w:type="dxa"/>
            <w:vAlign w:val="center"/>
          </w:tcPr>
          <w:p>
            <w:pPr>
              <w:pStyle w:val="28"/>
            </w:pPr>
            <w:r>
              <w:t>≥90%</w:t>
            </w:r>
          </w:p>
        </w:tc>
        <w:tc>
          <w:tcPr>
            <w:tcW w:w="2268" w:type="dxa"/>
            <w:vAlign w:val="center"/>
          </w:tcPr>
          <w:p>
            <w:pPr>
              <w:pStyle w:val="28"/>
            </w:pPr>
            <w:r>
              <w:t>社会反映信息</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5、石财行[2021]58号关于提前下达2022年度中央工商行政管理专项补助经费的通知绩效目标表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1.目标内容1保障市场监管工作发展，进一步提高工作效率，提升服务质量。</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工作按时完成率</w:t>
            </w:r>
          </w:p>
        </w:tc>
        <w:tc>
          <w:tcPr>
            <w:tcW w:w="2835" w:type="dxa"/>
            <w:vAlign w:val="center"/>
          </w:tcPr>
          <w:p>
            <w:pPr>
              <w:pStyle w:val="28"/>
            </w:pPr>
            <w:r>
              <w:t>按时完成工作数量</w:t>
            </w:r>
          </w:p>
        </w:tc>
        <w:tc>
          <w:tcPr>
            <w:tcW w:w="2551" w:type="dxa"/>
            <w:vAlign w:val="center"/>
          </w:tcPr>
          <w:p>
            <w:pPr>
              <w:pStyle w:val="28"/>
            </w:pPr>
            <w:r>
              <w:t>≥95%</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工作质量</w:t>
            </w:r>
          </w:p>
        </w:tc>
        <w:tc>
          <w:tcPr>
            <w:tcW w:w="2835" w:type="dxa"/>
            <w:vAlign w:val="center"/>
          </w:tcPr>
          <w:p>
            <w:pPr>
              <w:pStyle w:val="28"/>
            </w:pPr>
            <w:r>
              <w:t>工作合格完成情况</w:t>
            </w:r>
          </w:p>
        </w:tc>
        <w:tc>
          <w:tcPr>
            <w:tcW w:w="2551" w:type="dxa"/>
            <w:vAlign w:val="center"/>
          </w:tcPr>
          <w:p>
            <w:pPr>
              <w:pStyle w:val="28"/>
            </w:pPr>
            <w:r>
              <w:t>≥98%</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完成率</w:t>
            </w:r>
          </w:p>
        </w:tc>
        <w:tc>
          <w:tcPr>
            <w:tcW w:w="2835" w:type="dxa"/>
            <w:vAlign w:val="center"/>
          </w:tcPr>
          <w:p>
            <w:pPr>
              <w:pStyle w:val="28"/>
            </w:pPr>
            <w:r>
              <w:t>按照要求和计划完成任务的项目在所有立项中的比例（百分比）</w:t>
            </w:r>
          </w:p>
        </w:tc>
        <w:tc>
          <w:tcPr>
            <w:tcW w:w="2551" w:type="dxa"/>
            <w:vAlign w:val="center"/>
          </w:tcPr>
          <w:p>
            <w:pPr>
              <w:pStyle w:val="28"/>
            </w:pPr>
            <w:r>
              <w:t>≥98%</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年初预算</w:t>
            </w:r>
          </w:p>
        </w:tc>
        <w:tc>
          <w:tcPr>
            <w:tcW w:w="2835" w:type="dxa"/>
            <w:vAlign w:val="center"/>
          </w:tcPr>
          <w:p>
            <w:pPr>
              <w:pStyle w:val="28"/>
            </w:pPr>
            <w:r>
              <w:t>年初预算</w:t>
            </w:r>
          </w:p>
        </w:tc>
        <w:tc>
          <w:tcPr>
            <w:tcW w:w="2551" w:type="dxa"/>
            <w:vAlign w:val="center"/>
          </w:tcPr>
          <w:p>
            <w:pPr>
              <w:pStyle w:val="28"/>
            </w:pPr>
            <w:r>
              <w:t>年初预算</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长期使用性</w:t>
            </w:r>
          </w:p>
        </w:tc>
        <w:tc>
          <w:tcPr>
            <w:tcW w:w="2835" w:type="dxa"/>
            <w:vAlign w:val="center"/>
          </w:tcPr>
          <w:p>
            <w:pPr>
              <w:pStyle w:val="28"/>
            </w:pPr>
            <w:r>
              <w:t>能够长期较好地发展，长期满足使用单位职工及人民群众的需求</w:t>
            </w:r>
          </w:p>
        </w:tc>
        <w:tc>
          <w:tcPr>
            <w:tcW w:w="2551" w:type="dxa"/>
            <w:vAlign w:val="center"/>
          </w:tcPr>
          <w:p>
            <w:pPr>
              <w:pStyle w:val="28"/>
            </w:pPr>
            <w:r>
              <w:t>≥95%</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≥95%</w:t>
            </w:r>
          </w:p>
        </w:tc>
        <w:tc>
          <w:tcPr>
            <w:tcW w:w="2268" w:type="dxa"/>
            <w:vAlign w:val="center"/>
          </w:tcPr>
          <w:p>
            <w:pPr>
              <w:pStyle w:val="28"/>
            </w:pPr>
            <w:r>
              <w:t>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6、石财行[2021]64号关于提前下达2022年市场监管专项补助资金的通知绩效目标表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1.目标内容1持续推进商事制度改革力度，优化营商环境，促进市场主体健康发展。开展专项整治行动，净化市场环境。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市场专项整治行动次数</w:t>
            </w:r>
          </w:p>
        </w:tc>
        <w:tc>
          <w:tcPr>
            <w:tcW w:w="2835" w:type="dxa"/>
            <w:vAlign w:val="center"/>
          </w:tcPr>
          <w:p>
            <w:pPr>
              <w:pStyle w:val="28"/>
            </w:pPr>
            <w:r>
              <w:t>市场专项整治行动次数</w:t>
            </w:r>
          </w:p>
        </w:tc>
        <w:tc>
          <w:tcPr>
            <w:tcW w:w="2551" w:type="dxa"/>
            <w:vAlign w:val="center"/>
          </w:tcPr>
          <w:p>
            <w:pPr>
              <w:pStyle w:val="28"/>
            </w:pPr>
            <w:r>
              <w:t>≥1次</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监管执法计划完成率</w:t>
            </w:r>
          </w:p>
        </w:tc>
        <w:tc>
          <w:tcPr>
            <w:tcW w:w="2835" w:type="dxa"/>
            <w:vAlign w:val="center"/>
          </w:tcPr>
          <w:p>
            <w:pPr>
              <w:pStyle w:val="28"/>
            </w:pPr>
            <w:r>
              <w:t>监管执法计划完成率</w:t>
            </w:r>
          </w:p>
        </w:tc>
        <w:tc>
          <w:tcPr>
            <w:tcW w:w="2551" w:type="dxa"/>
            <w:vAlign w:val="center"/>
          </w:tcPr>
          <w:p>
            <w:pPr>
              <w:pStyle w:val="28"/>
            </w:pPr>
            <w:r>
              <w:t>≥90%</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特种设备定检完成率</w:t>
            </w:r>
          </w:p>
        </w:tc>
        <w:tc>
          <w:tcPr>
            <w:tcW w:w="2835" w:type="dxa"/>
            <w:vAlign w:val="center"/>
          </w:tcPr>
          <w:p>
            <w:pPr>
              <w:pStyle w:val="28"/>
            </w:pPr>
            <w:r>
              <w:t>特种设备定检完成率</w:t>
            </w:r>
          </w:p>
        </w:tc>
        <w:tc>
          <w:tcPr>
            <w:tcW w:w="2551" w:type="dxa"/>
            <w:vAlign w:val="center"/>
          </w:tcPr>
          <w:p>
            <w:pPr>
              <w:pStyle w:val="28"/>
            </w:pPr>
            <w:r>
              <w:t>≥95%</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完成时限</w:t>
            </w:r>
          </w:p>
        </w:tc>
        <w:tc>
          <w:tcPr>
            <w:tcW w:w="2835" w:type="dxa"/>
            <w:vAlign w:val="center"/>
          </w:tcPr>
          <w:p>
            <w:pPr>
              <w:pStyle w:val="28"/>
            </w:pPr>
            <w:r>
              <w:t>2022年底</w:t>
            </w:r>
          </w:p>
        </w:tc>
        <w:tc>
          <w:tcPr>
            <w:tcW w:w="2551" w:type="dxa"/>
            <w:vAlign w:val="center"/>
          </w:tcPr>
          <w:p>
            <w:pPr>
              <w:pStyle w:val="28"/>
            </w:pPr>
            <w:r>
              <w:t>2022年底完成</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w:t>
            </w:r>
          </w:p>
        </w:tc>
        <w:tc>
          <w:tcPr>
            <w:tcW w:w="2835" w:type="dxa"/>
            <w:vAlign w:val="center"/>
          </w:tcPr>
          <w:p>
            <w:pPr>
              <w:pStyle w:val="28"/>
            </w:pPr>
            <w:r>
              <w:t>年初预算</w:t>
            </w:r>
          </w:p>
        </w:tc>
        <w:tc>
          <w:tcPr>
            <w:tcW w:w="2551" w:type="dxa"/>
            <w:vAlign w:val="center"/>
          </w:tcPr>
          <w:p>
            <w:pPr>
              <w:pStyle w:val="28"/>
            </w:pPr>
            <w:r>
              <w:t>年初预算</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万台特种设备死亡率</w:t>
            </w:r>
          </w:p>
        </w:tc>
        <w:tc>
          <w:tcPr>
            <w:tcW w:w="2835" w:type="dxa"/>
            <w:vAlign w:val="center"/>
          </w:tcPr>
          <w:p>
            <w:pPr>
              <w:pStyle w:val="28"/>
            </w:pPr>
            <w:r>
              <w:t>万台特种设备死亡率</w:t>
            </w:r>
          </w:p>
        </w:tc>
        <w:tc>
          <w:tcPr>
            <w:tcW w:w="2551" w:type="dxa"/>
            <w:vAlign w:val="center"/>
          </w:tcPr>
          <w:p>
            <w:pPr>
              <w:pStyle w:val="28"/>
            </w:pPr>
            <w:r>
              <w:t>≤0.36%</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重大案件发生次数</w:t>
            </w:r>
          </w:p>
        </w:tc>
        <w:tc>
          <w:tcPr>
            <w:tcW w:w="2835" w:type="dxa"/>
            <w:vAlign w:val="center"/>
          </w:tcPr>
          <w:p>
            <w:pPr>
              <w:pStyle w:val="28"/>
            </w:pPr>
            <w:r>
              <w:t>重大案件发生次数</w:t>
            </w:r>
          </w:p>
        </w:tc>
        <w:tc>
          <w:tcPr>
            <w:tcW w:w="2551" w:type="dxa"/>
            <w:vAlign w:val="center"/>
          </w:tcPr>
          <w:p>
            <w:pPr>
              <w:pStyle w:val="28"/>
            </w:pPr>
            <w:r>
              <w:t>≤1次</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社会反馈意见对市场监管工作满意度</w:t>
            </w:r>
          </w:p>
        </w:tc>
        <w:tc>
          <w:tcPr>
            <w:tcW w:w="2835" w:type="dxa"/>
            <w:vAlign w:val="center"/>
          </w:tcPr>
          <w:p>
            <w:pPr>
              <w:pStyle w:val="28"/>
            </w:pPr>
            <w:r>
              <w:t>社会反馈意见对市场监管工作满意度</w:t>
            </w:r>
          </w:p>
        </w:tc>
        <w:tc>
          <w:tcPr>
            <w:tcW w:w="2551" w:type="dxa"/>
            <w:vAlign w:val="center"/>
          </w:tcPr>
          <w:p>
            <w:pPr>
              <w:pStyle w:val="28"/>
            </w:pPr>
            <w:r>
              <w:t>≥85%</w:t>
            </w:r>
          </w:p>
        </w:tc>
        <w:tc>
          <w:tcPr>
            <w:tcW w:w="2268" w:type="dxa"/>
            <w:vAlign w:val="center"/>
          </w:tcPr>
          <w:p>
            <w:pPr>
              <w:pStyle w:val="28"/>
            </w:pPr>
            <w:r>
              <w:t>问卷调查表</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7、食品、食用农产品抽检经费绩效目标表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1.目标内容1对通过对食品生产、流通、餐饮以及食用农产品进行抽检，确保人民群众“舌尖上的安全，需资金200万元。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食品、农产品抽检批次</w:t>
            </w:r>
          </w:p>
        </w:tc>
        <w:tc>
          <w:tcPr>
            <w:tcW w:w="2835" w:type="dxa"/>
            <w:vAlign w:val="center"/>
          </w:tcPr>
          <w:p>
            <w:pPr>
              <w:pStyle w:val="28"/>
            </w:pPr>
            <w:r>
              <w:t>食品、农产品抽检批次</w:t>
            </w:r>
          </w:p>
        </w:tc>
        <w:tc>
          <w:tcPr>
            <w:tcW w:w="2551" w:type="dxa"/>
            <w:vAlign w:val="center"/>
          </w:tcPr>
          <w:p>
            <w:pPr>
              <w:pStyle w:val="28"/>
            </w:pPr>
            <w:r>
              <w:t>≥2372批次</w:t>
            </w:r>
          </w:p>
        </w:tc>
        <w:tc>
          <w:tcPr>
            <w:tcW w:w="2268" w:type="dxa"/>
            <w:vAlign w:val="center"/>
          </w:tcPr>
          <w:p>
            <w:pPr>
              <w:pStyle w:val="28"/>
            </w:pPr>
            <w:r>
              <w:t>石办发【2017】26号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食品、食用农产品的合格率</w:t>
            </w:r>
          </w:p>
        </w:tc>
        <w:tc>
          <w:tcPr>
            <w:tcW w:w="2835" w:type="dxa"/>
            <w:vAlign w:val="center"/>
          </w:tcPr>
          <w:p>
            <w:pPr>
              <w:pStyle w:val="28"/>
            </w:pPr>
            <w:r>
              <w:t>食品、食用农产品的合格率</w:t>
            </w:r>
          </w:p>
        </w:tc>
        <w:tc>
          <w:tcPr>
            <w:tcW w:w="2551" w:type="dxa"/>
            <w:vAlign w:val="center"/>
          </w:tcPr>
          <w:p>
            <w:pPr>
              <w:pStyle w:val="28"/>
            </w:pPr>
            <w:r>
              <w:t>≥95%</w:t>
            </w:r>
          </w:p>
        </w:tc>
        <w:tc>
          <w:tcPr>
            <w:tcW w:w="2268" w:type="dxa"/>
            <w:vAlign w:val="center"/>
          </w:tcPr>
          <w:p>
            <w:pPr>
              <w:pStyle w:val="28"/>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抽检食品送达实验室的及时性</w:t>
            </w:r>
          </w:p>
        </w:tc>
        <w:tc>
          <w:tcPr>
            <w:tcW w:w="2835" w:type="dxa"/>
            <w:vAlign w:val="center"/>
          </w:tcPr>
          <w:p>
            <w:pPr>
              <w:pStyle w:val="28"/>
            </w:pPr>
            <w:r>
              <w:t>抽检食品能否及时送达实验室</w:t>
            </w:r>
          </w:p>
        </w:tc>
        <w:tc>
          <w:tcPr>
            <w:tcW w:w="2551" w:type="dxa"/>
            <w:vAlign w:val="center"/>
          </w:tcPr>
          <w:p>
            <w:pPr>
              <w:pStyle w:val="28"/>
            </w:pPr>
            <w:r>
              <w:t>按规定时间送达</w:t>
            </w:r>
          </w:p>
        </w:tc>
        <w:tc>
          <w:tcPr>
            <w:tcW w:w="2268" w:type="dxa"/>
            <w:vAlign w:val="center"/>
          </w:tcPr>
          <w:p>
            <w:pPr>
              <w:pStyle w:val="28"/>
            </w:pPr>
            <w:r>
              <w:t>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检测食品的费用</w:t>
            </w:r>
          </w:p>
        </w:tc>
        <w:tc>
          <w:tcPr>
            <w:tcW w:w="2835" w:type="dxa"/>
            <w:vAlign w:val="center"/>
          </w:tcPr>
          <w:p>
            <w:pPr>
              <w:pStyle w:val="28"/>
            </w:pPr>
            <w:r>
              <w:t>检测食品的费用</w:t>
            </w:r>
          </w:p>
        </w:tc>
        <w:tc>
          <w:tcPr>
            <w:tcW w:w="2551" w:type="dxa"/>
            <w:vAlign w:val="center"/>
          </w:tcPr>
          <w:p>
            <w:pPr>
              <w:pStyle w:val="28"/>
            </w:pPr>
            <w:r>
              <w:t>≤843.5每批次</w:t>
            </w:r>
          </w:p>
        </w:tc>
        <w:tc>
          <w:tcPr>
            <w:tcW w:w="2268" w:type="dxa"/>
            <w:vAlign w:val="center"/>
          </w:tcPr>
          <w:p>
            <w:pPr>
              <w:pStyle w:val="28"/>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确保不出现食品安全事故</w:t>
            </w:r>
          </w:p>
        </w:tc>
        <w:tc>
          <w:tcPr>
            <w:tcW w:w="2835" w:type="dxa"/>
            <w:vAlign w:val="center"/>
          </w:tcPr>
          <w:p>
            <w:pPr>
              <w:pStyle w:val="28"/>
            </w:pPr>
            <w:r>
              <w:t>确保人民群众“舌尖上的安全”</w:t>
            </w:r>
          </w:p>
        </w:tc>
        <w:tc>
          <w:tcPr>
            <w:tcW w:w="2551" w:type="dxa"/>
            <w:vAlign w:val="center"/>
          </w:tcPr>
          <w:p>
            <w:pPr>
              <w:pStyle w:val="28"/>
            </w:pPr>
            <w:r>
              <w:t>≤1起</w:t>
            </w:r>
          </w:p>
        </w:tc>
        <w:tc>
          <w:tcPr>
            <w:tcW w:w="2268" w:type="dxa"/>
            <w:vAlign w:val="center"/>
          </w:tcPr>
          <w:p>
            <w:pPr>
              <w:pStyle w:val="28"/>
            </w:pPr>
            <w:r>
              <w:t>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抽检计划的完成率</w:t>
            </w:r>
          </w:p>
        </w:tc>
        <w:tc>
          <w:tcPr>
            <w:tcW w:w="2835" w:type="dxa"/>
            <w:vAlign w:val="center"/>
          </w:tcPr>
          <w:p>
            <w:pPr>
              <w:pStyle w:val="28"/>
            </w:pPr>
            <w:r>
              <w:t>是否按要求完成抽检计划</w:t>
            </w:r>
          </w:p>
        </w:tc>
        <w:tc>
          <w:tcPr>
            <w:tcW w:w="2551" w:type="dxa"/>
            <w:vAlign w:val="center"/>
          </w:tcPr>
          <w:p>
            <w:pPr>
              <w:pStyle w:val="28"/>
            </w:pPr>
            <w:r>
              <w:t>≥95%</w:t>
            </w:r>
          </w:p>
        </w:tc>
        <w:tc>
          <w:tcPr>
            <w:tcW w:w="2268" w:type="dxa"/>
            <w:vAlign w:val="center"/>
          </w:tcPr>
          <w:p>
            <w:pPr>
              <w:pStyle w:val="28"/>
            </w:pPr>
            <w:r>
              <w:t>国抽系统录入数据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长期影响力</w:t>
            </w:r>
          </w:p>
        </w:tc>
        <w:tc>
          <w:tcPr>
            <w:tcW w:w="2835" w:type="dxa"/>
            <w:vAlign w:val="center"/>
          </w:tcPr>
          <w:p>
            <w:pPr>
              <w:pStyle w:val="28"/>
            </w:pPr>
            <w:r>
              <w:t>抽检数据的长期影响力</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生态效益指标</w:t>
            </w:r>
          </w:p>
        </w:tc>
        <w:tc>
          <w:tcPr>
            <w:tcW w:w="2835" w:type="dxa"/>
            <w:vAlign w:val="center"/>
          </w:tcPr>
          <w:p>
            <w:pPr>
              <w:pStyle w:val="28"/>
            </w:pPr>
            <w:r>
              <w:t>抽检数据的保质期</w:t>
            </w:r>
          </w:p>
        </w:tc>
        <w:tc>
          <w:tcPr>
            <w:tcW w:w="2835" w:type="dxa"/>
            <w:vAlign w:val="center"/>
          </w:tcPr>
          <w:p>
            <w:pPr>
              <w:pStyle w:val="28"/>
            </w:pPr>
            <w:r>
              <w:t>抽检数据的保质期</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群众对食品安全的满意度</w:t>
            </w:r>
          </w:p>
        </w:tc>
        <w:tc>
          <w:tcPr>
            <w:tcW w:w="2835" w:type="dxa"/>
            <w:vAlign w:val="center"/>
          </w:tcPr>
          <w:p>
            <w:pPr>
              <w:pStyle w:val="28"/>
            </w:pPr>
            <w:r>
              <w:t>群众对食品安全的满意度</w:t>
            </w:r>
          </w:p>
        </w:tc>
        <w:tc>
          <w:tcPr>
            <w:tcW w:w="2551" w:type="dxa"/>
            <w:vAlign w:val="center"/>
          </w:tcPr>
          <w:p>
            <w:pPr>
              <w:pStyle w:val="28"/>
            </w:pPr>
            <w:r>
              <w:t>≥85%</w:t>
            </w:r>
          </w:p>
        </w:tc>
        <w:tc>
          <w:tcPr>
            <w:tcW w:w="2268" w:type="dxa"/>
            <w:vAlign w:val="center"/>
          </w:tcPr>
          <w:p>
            <w:pPr>
              <w:pStyle w:val="28"/>
            </w:pPr>
            <w:r>
              <w:t>问卷调查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8、食品、药品安全监管经费绩效目标表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1.目标内容1加强对食品、药品的各个环节的强力监管，及时发现和排除食品、药品安全隐患，确保我区人民群众用药、饮食安全，维持正常市场秩序，需资金179万元。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检查食品、药品经营户的数量</w:t>
            </w:r>
          </w:p>
        </w:tc>
        <w:tc>
          <w:tcPr>
            <w:tcW w:w="2835" w:type="dxa"/>
            <w:vAlign w:val="center"/>
          </w:tcPr>
          <w:p>
            <w:pPr>
              <w:pStyle w:val="28"/>
            </w:pPr>
            <w:r>
              <w:t>检查食品、药品经营户的数量</w:t>
            </w:r>
          </w:p>
        </w:tc>
        <w:tc>
          <w:tcPr>
            <w:tcW w:w="2551" w:type="dxa"/>
            <w:vAlign w:val="center"/>
          </w:tcPr>
          <w:p>
            <w:pPr>
              <w:pStyle w:val="28"/>
            </w:pPr>
            <w:r>
              <w:t>≥90%</w:t>
            </w:r>
          </w:p>
        </w:tc>
        <w:tc>
          <w:tcPr>
            <w:tcW w:w="2268" w:type="dxa"/>
            <w:vAlign w:val="center"/>
          </w:tcPr>
          <w:p>
            <w:pPr>
              <w:pStyle w:val="28"/>
            </w:pPr>
            <w:r>
              <w:t>检查日志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确保食品、药品安全</w:t>
            </w:r>
          </w:p>
        </w:tc>
        <w:tc>
          <w:tcPr>
            <w:tcW w:w="2835" w:type="dxa"/>
            <w:vAlign w:val="center"/>
          </w:tcPr>
          <w:p>
            <w:pPr>
              <w:pStyle w:val="28"/>
            </w:pPr>
            <w:r>
              <w:t>通过日常督导检查，确保无事故发生</w:t>
            </w:r>
          </w:p>
        </w:tc>
        <w:tc>
          <w:tcPr>
            <w:tcW w:w="2551" w:type="dxa"/>
            <w:vAlign w:val="center"/>
          </w:tcPr>
          <w:p>
            <w:pPr>
              <w:pStyle w:val="28"/>
            </w:pPr>
            <w:r>
              <w:t>≤1次</w:t>
            </w:r>
          </w:p>
        </w:tc>
        <w:tc>
          <w:tcPr>
            <w:tcW w:w="2268" w:type="dxa"/>
            <w:vAlign w:val="center"/>
          </w:tcPr>
          <w:p>
            <w:pPr>
              <w:pStyle w:val="28"/>
            </w:pPr>
            <w:r>
              <w:t>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rPr>
                <w:rFonts w:hint="eastAsia" w:eastAsia="方正书宋_GBK"/>
                <w:lang w:eastAsia="zh-CN"/>
              </w:rPr>
            </w:pPr>
            <w:r>
              <w:t>对食品、药品事故的</w:t>
            </w:r>
            <w:bookmarkStart w:id="19" w:name="_GoBack"/>
            <w:bookmarkEnd w:id="19"/>
            <w:r>
              <w:rPr>
                <w:rFonts w:hint="eastAsia"/>
                <w:lang w:eastAsia="zh-CN"/>
              </w:rPr>
              <w:t>应急反应</w:t>
            </w:r>
          </w:p>
        </w:tc>
        <w:tc>
          <w:tcPr>
            <w:tcW w:w="2835" w:type="dxa"/>
            <w:vAlign w:val="center"/>
          </w:tcPr>
          <w:p>
            <w:pPr>
              <w:pStyle w:val="28"/>
              <w:rPr>
                <w:rFonts w:hint="eastAsia" w:eastAsia="方正书宋_GBK"/>
                <w:lang w:eastAsia="zh-CN"/>
              </w:rPr>
            </w:pPr>
            <w:r>
              <w:t>对食品、药品事故的</w:t>
            </w:r>
            <w:r>
              <w:rPr>
                <w:rFonts w:hint="eastAsia"/>
                <w:lang w:eastAsia="zh-CN"/>
              </w:rPr>
              <w:t>应急反应</w:t>
            </w:r>
          </w:p>
        </w:tc>
        <w:tc>
          <w:tcPr>
            <w:tcW w:w="2551" w:type="dxa"/>
            <w:vAlign w:val="center"/>
          </w:tcPr>
          <w:p>
            <w:pPr>
              <w:pStyle w:val="28"/>
            </w:pPr>
            <w:r>
              <w:t>及时、快速处理</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执法规范</w:t>
            </w:r>
          </w:p>
        </w:tc>
        <w:tc>
          <w:tcPr>
            <w:tcW w:w="2835" w:type="dxa"/>
            <w:vAlign w:val="center"/>
          </w:tcPr>
          <w:p>
            <w:pPr>
              <w:pStyle w:val="28"/>
            </w:pPr>
            <w:r>
              <w:t>执法依据规范，符合法定程序</w:t>
            </w:r>
          </w:p>
        </w:tc>
        <w:tc>
          <w:tcPr>
            <w:tcW w:w="2551" w:type="dxa"/>
            <w:vAlign w:val="center"/>
          </w:tcPr>
          <w:p>
            <w:pPr>
              <w:pStyle w:val="28"/>
            </w:pPr>
            <w:r>
              <w:t>≥95%</w:t>
            </w:r>
          </w:p>
        </w:tc>
        <w:tc>
          <w:tcPr>
            <w:tcW w:w="2268" w:type="dxa"/>
            <w:vAlign w:val="center"/>
          </w:tcPr>
          <w:p>
            <w:pPr>
              <w:pStyle w:val="28"/>
            </w:pPr>
            <w:r>
              <w:t>案卷正确率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按时完成率</w:t>
            </w:r>
          </w:p>
        </w:tc>
        <w:tc>
          <w:tcPr>
            <w:tcW w:w="2835" w:type="dxa"/>
            <w:vAlign w:val="center"/>
          </w:tcPr>
          <w:p>
            <w:pPr>
              <w:pStyle w:val="28"/>
            </w:pPr>
            <w:r>
              <w:t>按时完成率</w:t>
            </w:r>
          </w:p>
        </w:tc>
        <w:tc>
          <w:tcPr>
            <w:tcW w:w="2551" w:type="dxa"/>
            <w:vAlign w:val="center"/>
          </w:tcPr>
          <w:p>
            <w:pPr>
              <w:pStyle w:val="28"/>
            </w:pPr>
            <w:r>
              <w:t>≥98%</w:t>
            </w:r>
          </w:p>
        </w:tc>
        <w:tc>
          <w:tcPr>
            <w:tcW w:w="2268" w:type="dxa"/>
            <w:vAlign w:val="center"/>
          </w:tcPr>
          <w:p>
            <w:pPr>
              <w:pStyle w:val="28"/>
            </w:pPr>
            <w:r>
              <w:t>罚没收入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创造食品、药品安全区</w:t>
            </w:r>
          </w:p>
        </w:tc>
        <w:tc>
          <w:tcPr>
            <w:tcW w:w="2835" w:type="dxa"/>
            <w:vAlign w:val="center"/>
          </w:tcPr>
          <w:p>
            <w:pPr>
              <w:pStyle w:val="28"/>
            </w:pPr>
            <w:r>
              <w:t>确保群众舌尖上的安全</w:t>
            </w:r>
          </w:p>
        </w:tc>
        <w:tc>
          <w:tcPr>
            <w:tcW w:w="2551" w:type="dxa"/>
            <w:vAlign w:val="center"/>
          </w:tcPr>
          <w:p>
            <w:pPr>
              <w:pStyle w:val="28"/>
            </w:pPr>
            <w:r>
              <w:t>≤1次</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项目持续发挥作用期限</w:t>
            </w:r>
          </w:p>
        </w:tc>
        <w:tc>
          <w:tcPr>
            <w:tcW w:w="2835" w:type="dxa"/>
            <w:vAlign w:val="center"/>
          </w:tcPr>
          <w:p>
            <w:pPr>
              <w:pStyle w:val="28"/>
            </w:pPr>
            <w:r>
              <w:t>项目持续发挥作用期限</w:t>
            </w:r>
          </w:p>
        </w:tc>
        <w:tc>
          <w:tcPr>
            <w:tcW w:w="2551" w:type="dxa"/>
            <w:vAlign w:val="center"/>
          </w:tcPr>
          <w:p>
            <w:pPr>
              <w:pStyle w:val="28"/>
            </w:pPr>
            <w:r>
              <w:t>永久</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群众对食品、药品安全的满意度</w:t>
            </w:r>
          </w:p>
        </w:tc>
        <w:tc>
          <w:tcPr>
            <w:tcW w:w="2835" w:type="dxa"/>
            <w:vAlign w:val="center"/>
          </w:tcPr>
          <w:p>
            <w:pPr>
              <w:pStyle w:val="28"/>
            </w:pPr>
            <w:r>
              <w:t>群众对食品、药品安全的满意度</w:t>
            </w:r>
          </w:p>
        </w:tc>
        <w:tc>
          <w:tcPr>
            <w:tcW w:w="2551" w:type="dxa"/>
            <w:vAlign w:val="center"/>
          </w:tcPr>
          <w:p>
            <w:pPr>
              <w:pStyle w:val="28"/>
            </w:pPr>
            <w:r>
              <w:t>≥85%</w:t>
            </w:r>
          </w:p>
        </w:tc>
        <w:tc>
          <w:tcPr>
            <w:tcW w:w="2268" w:type="dxa"/>
            <w:vAlign w:val="center"/>
          </w:tcPr>
          <w:p>
            <w:pPr>
              <w:pStyle w:val="28"/>
            </w:pPr>
            <w:r>
              <w:t>问卷调查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9、食品安全协管员经费绩效目标表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1.目标内容1支付劳务派遣人员工资、社保费及派遣公司服务费，共计272.31万元。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劳务派遣人员数量</w:t>
            </w:r>
          </w:p>
        </w:tc>
        <w:tc>
          <w:tcPr>
            <w:tcW w:w="2835" w:type="dxa"/>
            <w:vAlign w:val="center"/>
          </w:tcPr>
          <w:p>
            <w:pPr>
              <w:pStyle w:val="28"/>
            </w:pPr>
            <w:r>
              <w:t>劳务派遣人员数量</w:t>
            </w:r>
          </w:p>
        </w:tc>
        <w:tc>
          <w:tcPr>
            <w:tcW w:w="2551" w:type="dxa"/>
            <w:vAlign w:val="center"/>
          </w:tcPr>
          <w:p>
            <w:pPr>
              <w:pStyle w:val="28"/>
            </w:pPr>
            <w:r>
              <w:t>每月考勤名单</w:t>
            </w:r>
          </w:p>
        </w:tc>
        <w:tc>
          <w:tcPr>
            <w:tcW w:w="2268" w:type="dxa"/>
            <w:vAlign w:val="center"/>
          </w:tcPr>
          <w:p>
            <w:pPr>
              <w:pStyle w:val="28"/>
            </w:pPr>
            <w:r>
              <w:t>考勤表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人员工资到位率</w:t>
            </w:r>
          </w:p>
        </w:tc>
        <w:tc>
          <w:tcPr>
            <w:tcW w:w="2835" w:type="dxa"/>
            <w:vAlign w:val="center"/>
          </w:tcPr>
          <w:p>
            <w:pPr>
              <w:pStyle w:val="28"/>
            </w:pPr>
            <w:r>
              <w:t>发放人员工资的到位率</w:t>
            </w:r>
          </w:p>
        </w:tc>
        <w:tc>
          <w:tcPr>
            <w:tcW w:w="2551" w:type="dxa"/>
            <w:vAlign w:val="center"/>
          </w:tcPr>
          <w:p>
            <w:pPr>
              <w:pStyle w:val="28"/>
            </w:pPr>
            <w:r>
              <w:t>≥95%</w:t>
            </w:r>
          </w:p>
        </w:tc>
        <w:tc>
          <w:tcPr>
            <w:tcW w:w="2268" w:type="dxa"/>
            <w:vAlign w:val="center"/>
          </w:tcPr>
          <w:p>
            <w:pPr>
              <w:pStyle w:val="28"/>
            </w:pPr>
            <w:r>
              <w:t>派遣公司工资发放表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工资、保险及时拨付派遣公司</w:t>
            </w:r>
          </w:p>
        </w:tc>
        <w:tc>
          <w:tcPr>
            <w:tcW w:w="2835" w:type="dxa"/>
            <w:vAlign w:val="center"/>
          </w:tcPr>
          <w:p>
            <w:pPr>
              <w:pStyle w:val="28"/>
            </w:pPr>
            <w:r>
              <w:t>按合同规定及时拨付工资，保险等</w:t>
            </w:r>
          </w:p>
        </w:tc>
        <w:tc>
          <w:tcPr>
            <w:tcW w:w="2551" w:type="dxa"/>
            <w:vAlign w:val="center"/>
          </w:tcPr>
          <w:p>
            <w:pPr>
              <w:pStyle w:val="28"/>
            </w:pPr>
            <w:r>
              <w:t>按月及时拨付</w:t>
            </w:r>
          </w:p>
        </w:tc>
        <w:tc>
          <w:tcPr>
            <w:tcW w:w="2268" w:type="dxa"/>
            <w:vAlign w:val="center"/>
          </w:tcPr>
          <w:p>
            <w:pPr>
              <w:pStyle w:val="28"/>
            </w:pPr>
            <w:r>
              <w:t>派遣公司工资发放表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劳务派遣人员工资发放标准</w:t>
            </w:r>
          </w:p>
        </w:tc>
        <w:tc>
          <w:tcPr>
            <w:tcW w:w="2835" w:type="dxa"/>
            <w:vAlign w:val="center"/>
          </w:tcPr>
          <w:p>
            <w:pPr>
              <w:pStyle w:val="28"/>
            </w:pPr>
            <w:r>
              <w:t>工资发放标准</w:t>
            </w:r>
          </w:p>
        </w:tc>
        <w:tc>
          <w:tcPr>
            <w:tcW w:w="2551" w:type="dxa"/>
            <w:vAlign w:val="center"/>
          </w:tcPr>
          <w:p>
            <w:pPr>
              <w:pStyle w:val="28"/>
            </w:pPr>
            <w:r>
              <w:t>签订合同标准</w:t>
            </w:r>
          </w:p>
        </w:tc>
        <w:tc>
          <w:tcPr>
            <w:tcW w:w="2268" w:type="dxa"/>
            <w:vAlign w:val="center"/>
          </w:tcPr>
          <w:p>
            <w:pPr>
              <w:pStyle w:val="28"/>
            </w:pPr>
            <w:r>
              <w:t>派遣公司工资发放表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工作正常运转完成率</w:t>
            </w:r>
          </w:p>
        </w:tc>
        <w:tc>
          <w:tcPr>
            <w:tcW w:w="2835" w:type="dxa"/>
            <w:vAlign w:val="center"/>
          </w:tcPr>
          <w:p>
            <w:pPr>
              <w:pStyle w:val="28"/>
            </w:pPr>
            <w:r>
              <w:t>确保本单位工作正常运转</w:t>
            </w:r>
          </w:p>
        </w:tc>
        <w:tc>
          <w:tcPr>
            <w:tcW w:w="2551" w:type="dxa"/>
            <w:vAlign w:val="center"/>
          </w:tcPr>
          <w:p>
            <w:pPr>
              <w:pStyle w:val="28"/>
            </w:pPr>
            <w:r>
              <w:t>100%</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工作保障质量</w:t>
            </w:r>
          </w:p>
        </w:tc>
        <w:tc>
          <w:tcPr>
            <w:tcW w:w="2835" w:type="dxa"/>
            <w:vAlign w:val="center"/>
          </w:tcPr>
          <w:p>
            <w:pPr>
              <w:pStyle w:val="28"/>
            </w:pPr>
            <w:r>
              <w:t>各项工作有序开展保障率</w:t>
            </w:r>
          </w:p>
        </w:tc>
        <w:tc>
          <w:tcPr>
            <w:tcW w:w="2551" w:type="dxa"/>
            <w:vAlign w:val="center"/>
          </w:tcPr>
          <w:p>
            <w:pPr>
              <w:pStyle w:val="28"/>
            </w:pPr>
            <w:r>
              <w:t>≥95%</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生态效益指标</w:t>
            </w:r>
          </w:p>
        </w:tc>
        <w:tc>
          <w:tcPr>
            <w:tcW w:w="2835" w:type="dxa"/>
            <w:vAlign w:val="center"/>
          </w:tcPr>
          <w:p>
            <w:pPr>
              <w:pStyle w:val="28"/>
            </w:pPr>
            <w:r>
              <w:t>使用年限</w:t>
            </w:r>
          </w:p>
        </w:tc>
        <w:tc>
          <w:tcPr>
            <w:tcW w:w="2835" w:type="dxa"/>
            <w:vAlign w:val="center"/>
          </w:tcPr>
          <w:p>
            <w:pPr>
              <w:pStyle w:val="28"/>
            </w:pPr>
            <w:r>
              <w:t>资金使用年限</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长期使用性</w:t>
            </w:r>
          </w:p>
        </w:tc>
        <w:tc>
          <w:tcPr>
            <w:tcW w:w="2835" w:type="dxa"/>
            <w:vAlign w:val="center"/>
          </w:tcPr>
          <w:p>
            <w:pPr>
              <w:pStyle w:val="28"/>
            </w:pPr>
            <w:r>
              <w:t>经费的长期使用性</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劳务派遣人员满意度</w:t>
            </w:r>
          </w:p>
        </w:tc>
        <w:tc>
          <w:tcPr>
            <w:tcW w:w="2835" w:type="dxa"/>
            <w:vAlign w:val="center"/>
          </w:tcPr>
          <w:p>
            <w:pPr>
              <w:pStyle w:val="28"/>
            </w:pPr>
            <w:r>
              <w:t>劳务派遣人员满意度</w:t>
            </w:r>
          </w:p>
        </w:tc>
        <w:tc>
          <w:tcPr>
            <w:tcW w:w="2551" w:type="dxa"/>
            <w:vAlign w:val="center"/>
          </w:tcPr>
          <w:p>
            <w:pPr>
              <w:pStyle w:val="28"/>
            </w:pPr>
            <w:r>
              <w:t>≥90%</w:t>
            </w:r>
          </w:p>
        </w:tc>
        <w:tc>
          <w:tcPr>
            <w:tcW w:w="2268"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10、特种设备监察监管经费绩效目标表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1.开展特种设备安全宣传、检查、整治、督导、考核等工作。</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对全区企业隐患排查情况</w:t>
            </w:r>
          </w:p>
        </w:tc>
        <w:tc>
          <w:tcPr>
            <w:tcW w:w="2835" w:type="dxa"/>
            <w:vAlign w:val="center"/>
          </w:tcPr>
          <w:p>
            <w:pPr>
              <w:pStyle w:val="28"/>
            </w:pPr>
            <w:r>
              <w:t>反映对全区特种设备的监管力度</w:t>
            </w:r>
          </w:p>
        </w:tc>
        <w:tc>
          <w:tcPr>
            <w:tcW w:w="2551" w:type="dxa"/>
            <w:vAlign w:val="center"/>
          </w:tcPr>
          <w:p>
            <w:pPr>
              <w:pStyle w:val="28"/>
            </w:pPr>
            <w:r>
              <w:t>≥500家</w:t>
            </w:r>
          </w:p>
        </w:tc>
        <w:tc>
          <w:tcPr>
            <w:tcW w:w="2268" w:type="dxa"/>
            <w:vAlign w:val="center"/>
          </w:tcPr>
          <w:p>
            <w:pPr>
              <w:pStyle w:val="28"/>
            </w:pPr>
            <w:r>
              <w:t>排查日志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完成率</w:t>
            </w:r>
          </w:p>
        </w:tc>
        <w:tc>
          <w:tcPr>
            <w:tcW w:w="2835" w:type="dxa"/>
            <w:vAlign w:val="center"/>
          </w:tcPr>
          <w:p>
            <w:pPr>
              <w:pStyle w:val="28"/>
            </w:pPr>
            <w:r>
              <w:t>项目经费使用率</w:t>
            </w:r>
          </w:p>
        </w:tc>
        <w:tc>
          <w:tcPr>
            <w:tcW w:w="2551" w:type="dxa"/>
            <w:vAlign w:val="center"/>
          </w:tcPr>
          <w:p>
            <w:pPr>
              <w:pStyle w:val="28"/>
            </w:pPr>
            <w:r>
              <w:t>100%</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设备隐患整改及时率</w:t>
            </w:r>
          </w:p>
        </w:tc>
        <w:tc>
          <w:tcPr>
            <w:tcW w:w="2835" w:type="dxa"/>
            <w:vAlign w:val="center"/>
          </w:tcPr>
          <w:p>
            <w:pPr>
              <w:pStyle w:val="28"/>
            </w:pPr>
            <w:r>
              <w:t>特种设备排查隐患整改完成情况</w:t>
            </w:r>
          </w:p>
        </w:tc>
        <w:tc>
          <w:tcPr>
            <w:tcW w:w="2551" w:type="dxa"/>
            <w:vAlign w:val="center"/>
          </w:tcPr>
          <w:p>
            <w:pPr>
              <w:pStyle w:val="28"/>
            </w:pPr>
            <w:r>
              <w:t>100%</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安全阀检定收费减少额度</w:t>
            </w:r>
          </w:p>
        </w:tc>
        <w:tc>
          <w:tcPr>
            <w:tcW w:w="2835" w:type="dxa"/>
            <w:vAlign w:val="center"/>
          </w:tcPr>
          <w:p>
            <w:pPr>
              <w:pStyle w:val="28"/>
            </w:pPr>
            <w:r>
              <w:t>特种设备检验收费项目降费执行情况</w:t>
            </w:r>
          </w:p>
        </w:tc>
        <w:tc>
          <w:tcPr>
            <w:tcW w:w="2551" w:type="dxa"/>
            <w:vAlign w:val="center"/>
          </w:tcPr>
          <w:p>
            <w:pPr>
              <w:pStyle w:val="28"/>
            </w:pPr>
            <w:r>
              <w:t>依据规定减免</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特种设备全年安全运行天数</w:t>
            </w:r>
          </w:p>
        </w:tc>
        <w:tc>
          <w:tcPr>
            <w:tcW w:w="2835" w:type="dxa"/>
            <w:vAlign w:val="center"/>
          </w:tcPr>
          <w:p>
            <w:pPr>
              <w:pStyle w:val="28"/>
            </w:pPr>
            <w:r>
              <w:t>特种设备安全运行的总天数</w:t>
            </w:r>
          </w:p>
        </w:tc>
        <w:tc>
          <w:tcPr>
            <w:tcW w:w="2551" w:type="dxa"/>
            <w:vAlign w:val="center"/>
          </w:tcPr>
          <w:p>
            <w:pPr>
              <w:pStyle w:val="28"/>
            </w:pPr>
            <w:r>
              <w:t>≥350天</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企业满意度</w:t>
            </w:r>
          </w:p>
        </w:tc>
        <w:tc>
          <w:tcPr>
            <w:tcW w:w="2835" w:type="dxa"/>
            <w:vAlign w:val="center"/>
          </w:tcPr>
          <w:p>
            <w:pPr>
              <w:pStyle w:val="28"/>
            </w:pPr>
            <w:r>
              <w:t>企业满意度</w:t>
            </w:r>
          </w:p>
        </w:tc>
        <w:tc>
          <w:tcPr>
            <w:tcW w:w="2551" w:type="dxa"/>
            <w:vAlign w:val="center"/>
          </w:tcPr>
          <w:p>
            <w:pPr>
              <w:pStyle w:val="28"/>
            </w:pPr>
            <w:r>
              <w:t>≥95%</w:t>
            </w:r>
          </w:p>
        </w:tc>
        <w:tc>
          <w:tcPr>
            <w:tcW w:w="2268"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11、质检所监督管理经费绩效目标表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1.加大计量检测管理工作水平。</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开展计量惠民活动的次数</w:t>
            </w:r>
          </w:p>
        </w:tc>
        <w:tc>
          <w:tcPr>
            <w:tcW w:w="2835" w:type="dxa"/>
            <w:vAlign w:val="center"/>
          </w:tcPr>
          <w:p>
            <w:pPr>
              <w:pStyle w:val="28"/>
            </w:pPr>
            <w:r>
              <w:t>开展计量惠民活动的次数</w:t>
            </w:r>
          </w:p>
        </w:tc>
        <w:tc>
          <w:tcPr>
            <w:tcW w:w="2551" w:type="dxa"/>
            <w:vAlign w:val="center"/>
          </w:tcPr>
          <w:p>
            <w:pPr>
              <w:pStyle w:val="28"/>
            </w:pPr>
            <w:r>
              <w:t>≥3次</w:t>
            </w:r>
          </w:p>
        </w:tc>
        <w:tc>
          <w:tcPr>
            <w:tcW w:w="2268" w:type="dxa"/>
            <w:vAlign w:val="center"/>
          </w:tcPr>
          <w:p>
            <w:pPr>
              <w:pStyle w:val="28"/>
            </w:pPr>
            <w:r>
              <w:t>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完成率</w:t>
            </w:r>
          </w:p>
        </w:tc>
        <w:tc>
          <w:tcPr>
            <w:tcW w:w="2835" w:type="dxa"/>
            <w:vAlign w:val="center"/>
          </w:tcPr>
          <w:p>
            <w:pPr>
              <w:pStyle w:val="28"/>
            </w:pPr>
            <w:r>
              <w:t>项目经费使用完成率</w:t>
            </w:r>
          </w:p>
        </w:tc>
        <w:tc>
          <w:tcPr>
            <w:tcW w:w="2551" w:type="dxa"/>
            <w:vAlign w:val="center"/>
          </w:tcPr>
          <w:p>
            <w:pPr>
              <w:pStyle w:val="28"/>
            </w:pPr>
            <w:r>
              <w:t>100%</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计量举报案件投诉率</w:t>
            </w:r>
          </w:p>
        </w:tc>
        <w:tc>
          <w:tcPr>
            <w:tcW w:w="2835" w:type="dxa"/>
            <w:vAlign w:val="center"/>
          </w:tcPr>
          <w:p>
            <w:pPr>
              <w:pStyle w:val="28"/>
            </w:pPr>
            <w:r>
              <w:t>计量举报案件与往年相比的比率</w:t>
            </w:r>
          </w:p>
        </w:tc>
        <w:tc>
          <w:tcPr>
            <w:tcW w:w="2551" w:type="dxa"/>
            <w:vAlign w:val="center"/>
          </w:tcPr>
          <w:p>
            <w:pPr>
              <w:pStyle w:val="28"/>
            </w:pPr>
            <w:r>
              <w:t>逐年降低</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计量检定实际成本</w:t>
            </w:r>
          </w:p>
        </w:tc>
        <w:tc>
          <w:tcPr>
            <w:tcW w:w="2835" w:type="dxa"/>
            <w:vAlign w:val="center"/>
          </w:tcPr>
          <w:p>
            <w:pPr>
              <w:pStyle w:val="28"/>
            </w:pPr>
            <w:r>
              <w:t>反映计量检定减免总额</w:t>
            </w:r>
          </w:p>
        </w:tc>
        <w:tc>
          <w:tcPr>
            <w:tcW w:w="2551" w:type="dxa"/>
            <w:vAlign w:val="center"/>
          </w:tcPr>
          <w:p>
            <w:pPr>
              <w:pStyle w:val="28"/>
            </w:pPr>
            <w:r>
              <w:t>实际检定费用年度统计</w:t>
            </w:r>
          </w:p>
        </w:tc>
        <w:tc>
          <w:tcPr>
            <w:tcW w:w="2268" w:type="dxa"/>
            <w:vAlign w:val="center"/>
          </w:tcPr>
          <w:p>
            <w:pPr>
              <w:pStyle w:val="28"/>
            </w:pPr>
            <w:r>
              <w:t>检定台账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检测服务水平提升情况</w:t>
            </w:r>
          </w:p>
        </w:tc>
        <w:tc>
          <w:tcPr>
            <w:tcW w:w="2835" w:type="dxa"/>
            <w:vAlign w:val="center"/>
          </w:tcPr>
          <w:p>
            <w:pPr>
              <w:pStyle w:val="28"/>
            </w:pPr>
            <w:r>
              <w:t>检测服务水平提升情况</w:t>
            </w:r>
          </w:p>
        </w:tc>
        <w:tc>
          <w:tcPr>
            <w:tcW w:w="2551" w:type="dxa"/>
            <w:vAlign w:val="center"/>
          </w:tcPr>
          <w:p>
            <w:pPr>
              <w:pStyle w:val="28"/>
            </w:pPr>
            <w:r>
              <w:t>逐年提升</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调查中满意和较满意的人数占全部调查人数的比率</w:t>
            </w:r>
          </w:p>
        </w:tc>
        <w:tc>
          <w:tcPr>
            <w:tcW w:w="2835" w:type="dxa"/>
            <w:vAlign w:val="center"/>
          </w:tcPr>
          <w:p>
            <w:pPr>
              <w:pStyle w:val="28"/>
            </w:pPr>
            <w:r>
              <w:t>调查中满意和较满意的人数占全部调查人数的比率</w:t>
            </w:r>
          </w:p>
        </w:tc>
        <w:tc>
          <w:tcPr>
            <w:tcW w:w="2551" w:type="dxa"/>
            <w:vAlign w:val="center"/>
          </w:tcPr>
          <w:p>
            <w:pPr>
              <w:pStyle w:val="28"/>
            </w:pPr>
            <w:r>
              <w:t>≥95%</w:t>
            </w:r>
          </w:p>
        </w:tc>
        <w:tc>
          <w:tcPr>
            <w:tcW w:w="2268"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12、自收自支人员工资绩效目标表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1.目标内容1自收自支人员工资及社保费等</w:t>
            </w:r>
          </w:p>
          <w:p>
            <w:pPr>
              <w:pStyle w:val="28"/>
            </w:pP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自收自支人员数量</w:t>
            </w:r>
          </w:p>
        </w:tc>
        <w:tc>
          <w:tcPr>
            <w:tcW w:w="2835" w:type="dxa"/>
            <w:vAlign w:val="center"/>
          </w:tcPr>
          <w:p>
            <w:pPr>
              <w:pStyle w:val="28"/>
            </w:pPr>
            <w:r>
              <w:t>自收自支人员数量</w:t>
            </w:r>
          </w:p>
        </w:tc>
        <w:tc>
          <w:tcPr>
            <w:tcW w:w="2551" w:type="dxa"/>
            <w:vAlign w:val="center"/>
          </w:tcPr>
          <w:p>
            <w:pPr>
              <w:pStyle w:val="28"/>
            </w:pPr>
            <w:r>
              <w:t>≤12人</w:t>
            </w:r>
          </w:p>
        </w:tc>
        <w:tc>
          <w:tcPr>
            <w:tcW w:w="2268" w:type="dxa"/>
            <w:vAlign w:val="center"/>
          </w:tcPr>
          <w:p>
            <w:pPr>
              <w:pStyle w:val="28"/>
            </w:pPr>
            <w:r>
              <w:t>工资明细表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人员工资到位率</w:t>
            </w:r>
          </w:p>
        </w:tc>
        <w:tc>
          <w:tcPr>
            <w:tcW w:w="2835" w:type="dxa"/>
            <w:vAlign w:val="center"/>
          </w:tcPr>
          <w:p>
            <w:pPr>
              <w:pStyle w:val="28"/>
            </w:pPr>
            <w:r>
              <w:t>发放人员工资到位率</w:t>
            </w:r>
          </w:p>
        </w:tc>
        <w:tc>
          <w:tcPr>
            <w:tcW w:w="2551" w:type="dxa"/>
            <w:vAlign w:val="center"/>
          </w:tcPr>
          <w:p>
            <w:pPr>
              <w:pStyle w:val="28"/>
            </w:pPr>
            <w:r>
              <w:t>100%</w:t>
            </w:r>
          </w:p>
        </w:tc>
        <w:tc>
          <w:tcPr>
            <w:tcW w:w="2268" w:type="dxa"/>
            <w:vAlign w:val="center"/>
          </w:tcPr>
          <w:p>
            <w:pPr>
              <w:pStyle w:val="28"/>
            </w:pPr>
            <w: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缴纳社保及时率</w:t>
            </w:r>
          </w:p>
        </w:tc>
        <w:tc>
          <w:tcPr>
            <w:tcW w:w="2835" w:type="dxa"/>
            <w:vAlign w:val="center"/>
          </w:tcPr>
          <w:p>
            <w:pPr>
              <w:pStyle w:val="28"/>
            </w:pPr>
            <w:r>
              <w:t>是否及时缴纳社保</w:t>
            </w:r>
          </w:p>
        </w:tc>
        <w:tc>
          <w:tcPr>
            <w:tcW w:w="2551" w:type="dxa"/>
            <w:vAlign w:val="center"/>
          </w:tcPr>
          <w:p>
            <w:pPr>
              <w:pStyle w:val="28"/>
            </w:pPr>
            <w:r>
              <w:t>≥99%</w:t>
            </w:r>
          </w:p>
        </w:tc>
        <w:tc>
          <w:tcPr>
            <w:tcW w:w="2268" w:type="dxa"/>
            <w:vAlign w:val="center"/>
          </w:tcPr>
          <w:p>
            <w:pPr>
              <w:pStyle w:val="28"/>
            </w:pPr>
            <w: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人员工资发放标准</w:t>
            </w:r>
          </w:p>
        </w:tc>
        <w:tc>
          <w:tcPr>
            <w:tcW w:w="2835" w:type="dxa"/>
            <w:vAlign w:val="center"/>
          </w:tcPr>
          <w:p>
            <w:pPr>
              <w:pStyle w:val="28"/>
            </w:pPr>
            <w:r>
              <w:t>人员工资发放标准</w:t>
            </w:r>
          </w:p>
        </w:tc>
        <w:tc>
          <w:tcPr>
            <w:tcW w:w="2551" w:type="dxa"/>
            <w:vAlign w:val="center"/>
          </w:tcPr>
          <w:p>
            <w:pPr>
              <w:pStyle w:val="28"/>
            </w:pPr>
            <w:r>
              <w:t>人事部门审批标准</w:t>
            </w:r>
          </w:p>
        </w:tc>
        <w:tc>
          <w:tcPr>
            <w:tcW w:w="2268" w:type="dxa"/>
            <w:vAlign w:val="center"/>
          </w:tcPr>
          <w:p>
            <w:pPr>
              <w:pStyle w:val="28"/>
            </w:pPr>
            <w:r>
              <w:t>工资明细表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工作正常运转完成率</w:t>
            </w:r>
          </w:p>
        </w:tc>
        <w:tc>
          <w:tcPr>
            <w:tcW w:w="2835" w:type="dxa"/>
            <w:vAlign w:val="center"/>
          </w:tcPr>
          <w:p>
            <w:pPr>
              <w:pStyle w:val="28"/>
            </w:pPr>
            <w:r>
              <w:t>确保本单位工作正常运转</w:t>
            </w:r>
          </w:p>
        </w:tc>
        <w:tc>
          <w:tcPr>
            <w:tcW w:w="2551" w:type="dxa"/>
            <w:vAlign w:val="center"/>
          </w:tcPr>
          <w:p>
            <w:pPr>
              <w:pStyle w:val="28"/>
            </w:pPr>
            <w:r>
              <w:t>100%</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工作保障质量</w:t>
            </w:r>
          </w:p>
        </w:tc>
        <w:tc>
          <w:tcPr>
            <w:tcW w:w="2835" w:type="dxa"/>
            <w:vAlign w:val="center"/>
          </w:tcPr>
          <w:p>
            <w:pPr>
              <w:pStyle w:val="28"/>
            </w:pPr>
            <w:r>
              <w:t>各项工作有序开展保障率</w:t>
            </w:r>
          </w:p>
        </w:tc>
        <w:tc>
          <w:tcPr>
            <w:tcW w:w="2551" w:type="dxa"/>
            <w:vAlign w:val="center"/>
          </w:tcPr>
          <w:p>
            <w:pPr>
              <w:pStyle w:val="28"/>
            </w:pPr>
            <w:r>
              <w:t>≥95%</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生态效益指标</w:t>
            </w:r>
          </w:p>
        </w:tc>
        <w:tc>
          <w:tcPr>
            <w:tcW w:w="2835" w:type="dxa"/>
            <w:vAlign w:val="center"/>
          </w:tcPr>
          <w:p>
            <w:pPr>
              <w:pStyle w:val="28"/>
            </w:pPr>
            <w:r>
              <w:t>使用年限</w:t>
            </w:r>
          </w:p>
        </w:tc>
        <w:tc>
          <w:tcPr>
            <w:tcW w:w="2835" w:type="dxa"/>
            <w:vAlign w:val="center"/>
          </w:tcPr>
          <w:p>
            <w:pPr>
              <w:pStyle w:val="28"/>
            </w:pPr>
            <w:r>
              <w:t>各项资金使用年限</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长期使用性</w:t>
            </w:r>
          </w:p>
        </w:tc>
        <w:tc>
          <w:tcPr>
            <w:tcW w:w="2835" w:type="dxa"/>
            <w:vAlign w:val="center"/>
          </w:tcPr>
          <w:p>
            <w:pPr>
              <w:pStyle w:val="28"/>
            </w:pPr>
            <w:r>
              <w:t>人员经费的长期使用性</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自收自支人员满意度</w:t>
            </w:r>
          </w:p>
        </w:tc>
        <w:tc>
          <w:tcPr>
            <w:tcW w:w="2835" w:type="dxa"/>
            <w:vAlign w:val="center"/>
          </w:tcPr>
          <w:p>
            <w:pPr>
              <w:pStyle w:val="28"/>
            </w:pPr>
            <w:r>
              <w:t>自收自支人员满意度</w:t>
            </w:r>
          </w:p>
        </w:tc>
        <w:tc>
          <w:tcPr>
            <w:tcW w:w="2551" w:type="dxa"/>
            <w:vAlign w:val="center"/>
          </w:tcPr>
          <w:p>
            <w:pPr>
              <w:pStyle w:val="28"/>
            </w:pPr>
            <w:r>
              <w:t>≥95%</w:t>
            </w:r>
          </w:p>
        </w:tc>
        <w:tc>
          <w:tcPr>
            <w:tcW w:w="2268" w:type="dxa"/>
            <w:vAlign w:val="center"/>
          </w:tcPr>
          <w:p>
            <w:pPr>
              <w:pStyle w:val="28"/>
            </w:pPr>
            <w:r>
              <w:t>调查问卷</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2022年，石家庄市藁城区市场监督管理局本级安排政府采购预算200.00万元。具体内容见下表。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414001石家庄市藁城区市场监督管理局本级</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200.00</w:t>
            </w:r>
          </w:p>
        </w:tc>
        <w:tc>
          <w:tcPr>
            <w:tcW w:w="964" w:type="dxa"/>
            <w:vAlign w:val="center"/>
          </w:tcPr>
          <w:p>
            <w:pPr>
              <w:pStyle w:val="17"/>
            </w:pPr>
            <w:r>
              <w:t>200.00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石家庄市藁城区市场监督管理局本级小计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200.00</w:t>
            </w:r>
          </w:p>
        </w:tc>
        <w:tc>
          <w:tcPr>
            <w:tcW w:w="964" w:type="dxa"/>
            <w:vAlign w:val="center"/>
          </w:tcPr>
          <w:p>
            <w:pPr>
              <w:pStyle w:val="17"/>
            </w:pPr>
            <w:r>
              <w:t>200.00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食品、食用农产品抽检经费</w:t>
            </w:r>
          </w:p>
        </w:tc>
        <w:tc>
          <w:tcPr>
            <w:tcW w:w="964" w:type="dxa"/>
            <w:vAlign w:val="center"/>
          </w:tcPr>
          <w:p>
            <w:pPr>
              <w:pStyle w:val="13"/>
            </w:pPr>
            <w:r>
              <w:t>200.00</w:t>
            </w:r>
          </w:p>
        </w:tc>
        <w:tc>
          <w:tcPr>
            <w:tcW w:w="1134" w:type="dxa"/>
            <w:vAlign w:val="center"/>
          </w:tcPr>
          <w:p>
            <w:pPr>
              <w:pStyle w:val="14"/>
            </w:pPr>
            <w:r>
              <w:t>其他服务</w:t>
            </w:r>
          </w:p>
        </w:tc>
        <w:tc>
          <w:tcPr>
            <w:tcW w:w="1134" w:type="dxa"/>
            <w:vAlign w:val="center"/>
          </w:tcPr>
          <w:p>
            <w:pPr>
              <w:pStyle w:val="14"/>
            </w:pPr>
            <w:r>
              <w:t>C99</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食品、食用农产品抽检经费</w:t>
            </w:r>
          </w:p>
        </w:tc>
        <w:tc>
          <w:tcPr>
            <w:tcW w:w="964" w:type="dxa"/>
            <w:vAlign w:val="center"/>
          </w:tcPr>
          <w:p>
            <w:pPr>
              <w:pStyle w:val="13"/>
            </w:pPr>
            <w:r>
              <w:t>200.00</w:t>
            </w:r>
          </w:p>
        </w:tc>
        <w:tc>
          <w:tcPr>
            <w:tcW w:w="1134" w:type="dxa"/>
            <w:vAlign w:val="center"/>
          </w:tcPr>
          <w:p>
            <w:pPr>
              <w:pStyle w:val="14"/>
            </w:pPr>
            <w:r>
              <w:t>其他服务</w:t>
            </w:r>
          </w:p>
        </w:tc>
        <w:tc>
          <w:tcPr>
            <w:tcW w:w="1134" w:type="dxa"/>
            <w:vAlign w:val="center"/>
          </w:tcPr>
          <w:p>
            <w:pPr>
              <w:pStyle w:val="14"/>
            </w:pPr>
            <w:r>
              <w:t>C99</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石家庄市藁城区市场监督管理局</w:t>
      </w:r>
      <w:r>
        <w:rPr>
          <w:rFonts w:hint="eastAsia" w:eastAsia="方正仿宋_GBK" w:cs="Times New Roman"/>
          <w:b w:val="0"/>
          <w:color w:val="000000"/>
          <w:sz w:val="28"/>
          <w:lang w:eastAsia="zh-CN"/>
        </w:rPr>
        <w:t>本级</w:t>
      </w:r>
      <w:r>
        <w:rPr>
          <w:rFonts w:ascii="Times New Roman" w:hAnsi="Times New Roman" w:eastAsia="方正仿宋_GBK" w:cs="Times New Roman"/>
          <w:b w:val="0"/>
          <w:color w:val="000000"/>
          <w:sz w:val="28"/>
        </w:rPr>
        <w:t>上年末固定资产金额为1208.42万元（详见下表）。本年度拟购置固定资产总额为</w:t>
      </w:r>
      <w:r>
        <w:rPr>
          <w:rFonts w:hint="eastAsia" w:eastAsia="方正仿宋_GBK" w:cs="Times New Roman"/>
          <w:b w:val="0"/>
          <w:color w:val="000000"/>
          <w:sz w:val="28"/>
          <w:lang w:val="en-US" w:eastAsia="zh-CN"/>
        </w:rPr>
        <w:t>48</w:t>
      </w:r>
      <w:r>
        <w:rPr>
          <w:rFonts w:ascii="Times New Roman" w:hAnsi="Times New Roman" w:eastAsia="方正仿宋_GBK" w:cs="Times New Roman"/>
          <w:b w:val="0"/>
          <w:color w:val="000000"/>
          <w:sz w:val="28"/>
        </w:rPr>
        <w:t>.00万元，</w:t>
      </w:r>
      <w:r>
        <w:rPr>
          <w:rFonts w:hint="eastAsia" w:eastAsia="方正仿宋_GBK" w:cs="Times New Roman"/>
          <w:b w:val="0"/>
          <w:color w:val="000000"/>
          <w:sz w:val="28"/>
          <w:lang w:eastAsia="zh-CN"/>
        </w:rPr>
        <w:t>主要为空调、计算机、公务用车、检测设备，因未达到政府采购限购，故未列入政府采购预算</w:t>
      </w:r>
      <w:r>
        <w:rPr>
          <w:rFonts w:ascii="Times New Roman" w:hAnsi="Times New Roman" w:eastAsia="方正仿宋_GBK" w:cs="Times New Roman"/>
          <w:b w:val="0"/>
          <w:color w:val="000000"/>
          <w:sz w:val="28"/>
        </w:rPr>
        <w:t>。</w:t>
      </w:r>
    </w:p>
    <w:p>
      <w:pPr>
        <w:spacing w:before="0" w:after="0" w:line="500" w:lineRule="exact"/>
        <w:ind w:firstLine="560"/>
        <w:jc w:val="left"/>
        <w:outlineLvl w:val="9"/>
      </w:pPr>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414001石家庄市藁城区市场监督管理局本级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1208.42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11063</w:t>
            </w:r>
          </w:p>
        </w:tc>
        <w:tc>
          <w:tcPr>
            <w:tcW w:w="2835" w:type="dxa"/>
            <w:vAlign w:val="center"/>
          </w:tcPr>
          <w:p>
            <w:pPr>
              <w:pStyle w:val="13"/>
            </w:pPr>
            <w:r>
              <w:t>672.06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18</w:t>
            </w:r>
          </w:p>
        </w:tc>
        <w:tc>
          <w:tcPr>
            <w:tcW w:w="2835" w:type="dxa"/>
            <w:vAlign w:val="center"/>
          </w:tcPr>
          <w:p>
            <w:pPr>
              <w:pStyle w:val="13"/>
            </w:pPr>
            <w:r>
              <w:t>192.52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381.84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ascii="Times New Roman" w:hAnsi="Times New Roman" w:eastAsia="方正仿宋_GBK" w:cs="Times New Roman"/>
          <w:b w:val="0"/>
          <w:color w:val="auto"/>
          <w:sz w:val="28"/>
        </w:rPr>
        <w:t>预算单位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w:t>
      </w:r>
      <w:r>
        <w:rPr>
          <w:rFonts w:ascii="Times New Roman" w:hAnsi="Times New Roman" w:eastAsia="方正仿宋_GBK" w:cs="Times New Roman"/>
          <w:b w:val="0"/>
          <w:color w:val="auto"/>
          <w:sz w:val="28"/>
        </w:rPr>
        <w:t>各</w:t>
      </w:r>
      <w:r>
        <w:rPr>
          <w:rFonts w:hint="eastAsia" w:eastAsia="方正仿宋_GBK" w:cs="Times New Roman"/>
          <w:b w:val="0"/>
          <w:color w:val="auto"/>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hint="eastAsia" w:eastAsia="方正仿宋_GBK" w:cs="Times New Roman"/>
          <w:b w:val="0"/>
          <w:color w:val="000000"/>
          <w:sz w:val="28"/>
          <w:lang w:val="en-US" w:eastAsia="zh-CN"/>
        </w:rPr>
        <w:t>本</w:t>
      </w:r>
      <w:r>
        <w:rPr>
          <w:rFonts w:ascii="Times New Roman" w:hAnsi="Times New Roman" w:eastAsia="方正仿宋_GBK" w:cs="Times New Roman"/>
          <w:b w:val="0"/>
          <w:color w:val="000000"/>
          <w:sz w:val="28"/>
        </w:rPr>
        <w:t>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10B787"/>
    <w:multiLevelType w:val="singleLevel"/>
    <w:tmpl w:val="AD10B787"/>
    <w:lvl w:ilvl="0" w:tentative="0">
      <w:start w:val="3"/>
      <w:numFmt w:val="chineseCounting"/>
      <w:suff w:val="nothing"/>
      <w:lvlText w:val="%1、"/>
      <w:lvlJc w:val="left"/>
      <w:rPr>
        <w:rFonts w:hint="eastAsia"/>
      </w:rPr>
    </w:lvl>
  </w:abstractNum>
  <w:abstractNum w:abstractNumId="1">
    <w:nsid w:val="DEF929F2"/>
    <w:multiLevelType w:val="singleLevel"/>
    <w:tmpl w:val="DEF929F2"/>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WU4YTljNDk4MDg5NmUxZjZhZTBiMWFlYWU2Zjc0YWMifQ=="/>
  </w:docVars>
  <w:rsids>
    <w:rsidRoot w:val="00000000"/>
    <w:rsid w:val="006C6F44"/>
    <w:rsid w:val="083F6B7A"/>
    <w:rsid w:val="08DD2784"/>
    <w:rsid w:val="0D870F11"/>
    <w:rsid w:val="12091CBB"/>
    <w:rsid w:val="15962639"/>
    <w:rsid w:val="171375F6"/>
    <w:rsid w:val="17165A83"/>
    <w:rsid w:val="18F50CE4"/>
    <w:rsid w:val="197930F7"/>
    <w:rsid w:val="19E80F89"/>
    <w:rsid w:val="1C5F7A23"/>
    <w:rsid w:val="1D2A377E"/>
    <w:rsid w:val="20484530"/>
    <w:rsid w:val="261206E0"/>
    <w:rsid w:val="26BE27EF"/>
    <w:rsid w:val="2783666B"/>
    <w:rsid w:val="2D287BC3"/>
    <w:rsid w:val="305B02AF"/>
    <w:rsid w:val="37DF17C6"/>
    <w:rsid w:val="393802D6"/>
    <w:rsid w:val="3B9F05B6"/>
    <w:rsid w:val="3C51713E"/>
    <w:rsid w:val="422C69BE"/>
    <w:rsid w:val="43AD47C4"/>
    <w:rsid w:val="449702DF"/>
    <w:rsid w:val="4ABD7A13"/>
    <w:rsid w:val="4F691C49"/>
    <w:rsid w:val="50707007"/>
    <w:rsid w:val="5269688E"/>
    <w:rsid w:val="54CC33A6"/>
    <w:rsid w:val="5B337CF2"/>
    <w:rsid w:val="5BA16215"/>
    <w:rsid w:val="62A85811"/>
    <w:rsid w:val="653F70E3"/>
    <w:rsid w:val="675F7789"/>
    <w:rsid w:val="6958153E"/>
    <w:rsid w:val="6A9736B6"/>
    <w:rsid w:val="6C6A0536"/>
    <w:rsid w:val="6D3D5399"/>
    <w:rsid w:val="6ED31692"/>
    <w:rsid w:val="6F675BD9"/>
    <w:rsid w:val="717C1DB3"/>
    <w:rsid w:val="74373814"/>
    <w:rsid w:val="763E3AFC"/>
    <w:rsid w:val="79164340"/>
    <w:rsid w:val="7DCF4ABD"/>
    <w:rsid w:val="7EED5B4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546bb303-bfea-4d55-ae35-9a8b93794b3c"/>
    <w:autoRedefine/>
    <w:qFormat/>
    <w:uiPriority w:val="0"/>
    <w:rPr>
      <w:rFonts w:ascii="Times New Roman" w:hAnsi="Times New Roman" w:eastAsia="Times New Roman" w:cstheme="minorBidi"/>
      <w:sz w:val="24"/>
      <w:szCs w:val="24"/>
      <w:lang w:val="en-US" w:eastAsia="uk-UA" w:bidi="ar-SA"/>
    </w:rPr>
  </w:style>
  <w:style w:type="paragraph" w:customStyle="1" w:styleId="27">
    <w:name w:val="单元格样式1_1b3b5261-9d47-4562-8ff7-fe17a2f7b5fe"/>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c9178900-5ec5-4a70-be2d-9fda7f7ecb1f"/>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5140f604-7dd8-4cba-92d4-c1dfbf4f6635"/>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2022-02-14T17:39:33Z</dcterms:created>
  <dcterms:modified xsi:type="dcterms:W3CDTF">2022-02-14T09:39:33Z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2022-02-14T17:39:48Z</dcterms:created>
  <dcterms:modified xsi:type="dcterms:W3CDTF">2022-02-14T09:39:48Z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2022-02-14T17:39:43Z</dcterms:created>
  <dcterms:modified xsi:type="dcterms:W3CDTF">2022-02-14T09:39:43Z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2022-02-14T17:39:38Z</dcterms:created>
  <dcterms:modified xsi:type="dcterms:W3CDTF">2022-02-14T09:39:38Z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209aba0-4535-47a2-be65-4507a4dc577d}">
  <ds:schemaRefs/>
</ds:datastoreItem>
</file>

<file path=customXml/itemProps2.xml><?xml version="1.0" encoding="utf-8"?>
<ds:datastoreItem xmlns:ds="http://schemas.openxmlformats.org/officeDocument/2006/customXml" ds:itemID="{2c90c63c-158e-4582-8dc3-72d567cef973}">
  <ds:schemaRefs/>
</ds:datastoreItem>
</file>

<file path=customXml/itemProps3.xml><?xml version="1.0" encoding="utf-8"?>
<ds:datastoreItem xmlns:ds="http://schemas.openxmlformats.org/officeDocument/2006/customXml" ds:itemID="{1f743644-537e-4c14-bfeb-28dbcd2bd1cc}">
  <ds:schemaRefs/>
</ds:datastoreItem>
</file>

<file path=customXml/itemProps4.xml><?xml version="1.0" encoding="utf-8"?>
<ds:datastoreItem xmlns:ds="http://schemas.openxmlformats.org/officeDocument/2006/customXml" ds:itemID="{5c4dfdf4-1551-42dd-9c58-3f0ae3f64410}">
  <ds:schemaRefs/>
</ds:datastoreItem>
</file>

<file path=customXml/itemProps5.xml><?xml version="1.0" encoding="utf-8"?>
<ds:datastoreItem xmlns:ds="http://schemas.openxmlformats.org/officeDocument/2006/customXml" ds:itemID="{423cad1a-6ff6-4a3a-9725-e4ea2e92ade7}">
  <ds:schemaRefs/>
</ds:datastoreItem>
</file>

<file path=customXml/itemProps6.xml><?xml version="1.0" encoding="utf-8"?>
<ds:datastoreItem xmlns:ds="http://schemas.openxmlformats.org/officeDocument/2006/customXml" ds:itemID="{4bd5fb23-bd7e-4f9c-8f9e-d698e22fb14b}">
  <ds:schemaRefs/>
</ds:datastoreItem>
</file>

<file path=customXml/itemProps7.xml><?xml version="1.0" encoding="utf-8"?>
<ds:datastoreItem xmlns:ds="http://schemas.openxmlformats.org/officeDocument/2006/customXml" ds:itemID="{2b4b6760-7b02-4766-a76d-360146eefd24}">
  <ds:schemaRefs/>
</ds:datastoreItem>
</file>

<file path=customXml/itemProps8.xml><?xml version="1.0" encoding="utf-8"?>
<ds:datastoreItem xmlns:ds="http://schemas.openxmlformats.org/officeDocument/2006/customXml" ds:itemID="{c020d2a5-4724-4a98-a5ed-eec1bc4a745e}">
  <ds:schemaRefs/>
</ds:datastoreItem>
</file>

<file path=docProps/app.xml><?xml version="1.0" encoding="utf-8"?>
<Properties xmlns="http://schemas.openxmlformats.org/officeDocument/2006/extended-properties" xmlns:vt="http://schemas.openxmlformats.org/officeDocument/2006/docPropsVTypes">
  <Pages>89</Pages>
  <Words>26146</Words>
  <Characters>29517</Characters>
  <TotalTime>6</TotalTime>
  <ScaleCrop>false</ScaleCrop>
  <LinksUpToDate>false</LinksUpToDate>
  <CharactersWithSpaces>29900</CharactersWithSpaces>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2022-02-14T17:39:00Z</dcterms:created>
  <dc:creator>Administrator</dc:creator>
  <cp:lastModifiedBy>Administrator</cp:lastModifiedBy>
  <dcterms:modified xsi:type="dcterms:W3CDTF">2024-02-23T06:11:25Z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741F65C735EE4421833BF59BDC95E994</vt:lpwstr>
  </property>
</Properties>
</file>