
<file path=[Content_Types].xml><?xml version="1.0" encoding="utf-8"?>
<Types xmlns="http://schemas.openxmlformats.org/package/2006/content-types">
  <Default Extension="xml" ContentType="application/xml"/>
  <Default Extension="xlsx" ContentType="application/vnd.openxmlformats-officedocument.spreadsheetml.sheet"/>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902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highlight w:val="none"/>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highlight w:val="none"/>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石家庄市藁城区质量技术监督检验所</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widowControl/>
        <w:spacing w:line="600" w:lineRule="exact"/>
        <w:jc w:val="left"/>
        <w:rPr>
          <w:rFonts w:ascii="黑体" w:hAnsi="黑体" w:eastAsia="黑体" w:cs="黑体"/>
          <w:bCs/>
          <w:sz w:val="32"/>
          <w:szCs w:val="32"/>
          <w:highlight w:val="yellow"/>
        </w:r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67456"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67456;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3212]" o:title="5%" focussize="0,0" r:id="rId23"/>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snapToGrid w:val="0"/>
        <w:spacing w:line="520" w:lineRule="exact"/>
        <w:ind w:firstLine="643" w:firstLineChars="200"/>
        <w:rPr>
          <w:rFonts w:hint="eastAsia" w:ascii="楷体_GB2312" w:hAnsi="仿宋" w:eastAsia="楷体_GB2312"/>
          <w:b/>
          <w:sz w:val="32"/>
          <w:szCs w:val="32"/>
        </w:rPr>
      </w:pPr>
      <w:r>
        <w:rPr>
          <w:rFonts w:hint="eastAsia" w:ascii="楷体_GB2312" w:hAnsi="仿宋" w:eastAsia="楷体_GB2312"/>
          <w:b/>
          <w:sz w:val="32"/>
          <w:szCs w:val="32"/>
        </w:rPr>
        <w:t>（一）基本情况。</w:t>
      </w:r>
    </w:p>
    <w:p>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1．主要职能</w:t>
      </w:r>
    </w:p>
    <w:p>
      <w:pPr>
        <w:spacing w:line="600" w:lineRule="exact"/>
        <w:ind w:firstLine="640" w:firstLineChars="200"/>
        <w:rPr>
          <w:rFonts w:hint="eastAsia" w:ascii="仿宋_GB2312" w:hAnsi="仿宋_GB2312" w:eastAsia="仿宋_GB2312" w:cs="仿宋_GB2312"/>
          <w:bCs/>
          <w:color w:val="000000"/>
          <w:sz w:val="32"/>
          <w:szCs w:val="32"/>
        </w:rPr>
      </w:pPr>
      <w:r>
        <w:rPr>
          <w:rFonts w:hint="eastAsia" w:ascii="仿宋_GB2312" w:hAnsi="仿宋_GB2312" w:eastAsia="仿宋_GB2312" w:cs="仿宋_GB2312"/>
          <w:bCs/>
          <w:color w:val="000000"/>
          <w:sz w:val="32"/>
          <w:szCs w:val="32"/>
        </w:rPr>
        <w:t>1）</w:t>
      </w:r>
      <w:r>
        <w:rPr>
          <w:rFonts w:hint="eastAsia" w:ascii="仿宋_GB2312" w:eastAsia="仿宋_GB2312"/>
          <w:sz w:val="32"/>
          <w:szCs w:val="32"/>
        </w:rPr>
        <w:t>负责建立本行政区域内计量工作标准和社会公用计量标准，进行量值传递和溯源</w:t>
      </w:r>
      <w:r>
        <w:rPr>
          <w:rFonts w:hint="eastAsia" w:ascii="仿宋_GB2312" w:eastAsia="仿宋_GB2312"/>
          <w:sz w:val="32"/>
          <w:szCs w:val="32"/>
          <w:lang w:eastAsia="zh-CN"/>
        </w:rPr>
        <w:t>。</w:t>
      </w:r>
    </w:p>
    <w:p>
      <w:pPr>
        <w:ind w:firstLine="640" w:firstLineChars="200"/>
        <w:rPr>
          <w:rFonts w:hint="eastAsia" w:ascii="仿宋_GB2312" w:eastAsia="仿宋_GB2312"/>
          <w:sz w:val="32"/>
          <w:szCs w:val="32"/>
          <w:lang w:eastAsia="zh-CN"/>
        </w:rPr>
      </w:pPr>
      <w:r>
        <w:rPr>
          <w:rFonts w:hint="eastAsia" w:ascii="仿宋_GB2312" w:hAnsi="仿宋_GB2312" w:eastAsia="仿宋_GB2312" w:cs="仿宋_GB2312"/>
          <w:bCs/>
          <w:color w:val="000000"/>
          <w:sz w:val="32"/>
          <w:szCs w:val="32"/>
        </w:rPr>
        <w:t>2）</w:t>
      </w:r>
      <w:r>
        <w:rPr>
          <w:rFonts w:hint="eastAsia" w:ascii="仿宋_GB2312" w:eastAsia="仿宋_GB2312"/>
          <w:sz w:val="32"/>
          <w:szCs w:val="32"/>
        </w:rPr>
        <w:t>负责本行政区域内计量器具的检定与校准工作；为计量管理和行政执法提供技术保障</w:t>
      </w:r>
      <w:r>
        <w:rPr>
          <w:rFonts w:hint="eastAsia" w:ascii="仿宋_GB2312" w:eastAsia="仿宋_GB2312"/>
          <w:sz w:val="32"/>
          <w:szCs w:val="32"/>
          <w:lang w:eastAsia="zh-CN"/>
        </w:rPr>
        <w:t>。</w:t>
      </w:r>
    </w:p>
    <w:p>
      <w:pPr>
        <w:ind w:firstLine="640" w:firstLineChars="200"/>
        <w:rPr>
          <w:rFonts w:hint="eastAsia" w:ascii="仿宋_GB2312" w:hAnsi="仿宋_GB2312" w:eastAsia="仿宋_GB2312" w:cs="仿宋_GB2312"/>
          <w:bCs/>
          <w:color w:val="000000"/>
          <w:sz w:val="32"/>
          <w:szCs w:val="32"/>
        </w:rPr>
      </w:pPr>
      <w:r>
        <w:rPr>
          <w:rFonts w:hint="eastAsia" w:ascii="仿宋_GB2312" w:hAnsi="仿宋_GB2312" w:eastAsia="仿宋_GB2312" w:cs="仿宋_GB2312"/>
          <w:bCs/>
          <w:color w:val="000000"/>
          <w:sz w:val="32"/>
          <w:szCs w:val="32"/>
        </w:rPr>
        <w:t>3）</w:t>
      </w:r>
      <w:r>
        <w:rPr>
          <w:rFonts w:hint="eastAsia" w:ascii="仿宋_GB2312" w:eastAsia="仿宋_GB2312"/>
          <w:sz w:val="32"/>
          <w:szCs w:val="32"/>
        </w:rPr>
        <w:t>开展计量科学、检测技术的研究；开展计量器具的校准、测试、咨询服务工作</w:t>
      </w:r>
      <w:r>
        <w:rPr>
          <w:rFonts w:hint="eastAsia" w:ascii="仿宋_GB2312" w:hAnsi="仿宋_GB2312" w:eastAsia="仿宋_GB2312" w:cs="仿宋_GB2312"/>
          <w:bCs/>
          <w:color w:val="000000"/>
          <w:sz w:val="32"/>
          <w:szCs w:val="32"/>
        </w:rPr>
        <w:t>。</w:t>
      </w:r>
    </w:p>
    <w:p>
      <w:pPr>
        <w:ind w:firstLine="640" w:firstLineChars="200"/>
        <w:rPr>
          <w:rFonts w:hint="eastAsia" w:ascii="仿宋_GB2312" w:hAnsi="仿宋_GB2312" w:eastAsia="仿宋_GB2312" w:cs="仿宋_GB2312"/>
          <w:bCs/>
          <w:color w:val="000000"/>
          <w:sz w:val="32"/>
          <w:szCs w:val="32"/>
        </w:rPr>
      </w:pPr>
      <w:r>
        <w:rPr>
          <w:rFonts w:hint="eastAsia" w:ascii="仿宋_GB2312" w:hAnsi="仿宋_GB2312" w:eastAsia="仿宋_GB2312" w:cs="仿宋_GB2312"/>
          <w:bCs/>
          <w:color w:val="000000"/>
          <w:sz w:val="32"/>
          <w:szCs w:val="32"/>
        </w:rPr>
        <w:t>4）</w:t>
      </w:r>
      <w:r>
        <w:rPr>
          <w:rFonts w:hint="eastAsia" w:ascii="仿宋_GB2312" w:eastAsia="仿宋_GB2312"/>
          <w:sz w:val="32"/>
          <w:szCs w:val="32"/>
        </w:rPr>
        <w:t>承担本行政区域内产品质量监督检验、强制性检验、监督抽查检验工作</w:t>
      </w:r>
      <w:r>
        <w:rPr>
          <w:rFonts w:hint="eastAsia" w:ascii="仿宋_GB2312" w:eastAsia="仿宋_GB2312"/>
          <w:sz w:val="32"/>
          <w:szCs w:val="32"/>
          <w:lang w:eastAsia="zh-CN"/>
        </w:rPr>
        <w:t>。</w:t>
      </w:r>
    </w:p>
    <w:p>
      <w:pPr>
        <w:ind w:firstLine="480" w:firstLineChars="150"/>
        <w:rPr>
          <w:rFonts w:hint="eastAsia" w:ascii="仿宋_GB2312" w:hAnsi="仿宋_GB2312" w:eastAsia="仿宋_GB2312" w:cs="仿宋_GB2312"/>
          <w:bCs/>
          <w:color w:val="000000"/>
          <w:sz w:val="32"/>
          <w:szCs w:val="32"/>
        </w:rPr>
      </w:pPr>
      <w:r>
        <w:rPr>
          <w:rFonts w:hint="eastAsia" w:ascii="仿宋_GB2312" w:hAnsi="仿宋_GB2312" w:eastAsia="仿宋_GB2312" w:cs="仿宋_GB2312"/>
          <w:bCs/>
          <w:color w:val="000000"/>
          <w:sz w:val="32"/>
          <w:szCs w:val="32"/>
        </w:rPr>
        <w:t>5）</w:t>
      </w:r>
      <w:r>
        <w:rPr>
          <w:rFonts w:hint="eastAsia" w:ascii="仿宋_GB2312" w:eastAsia="仿宋_GB2312"/>
          <w:sz w:val="32"/>
          <w:szCs w:val="32"/>
        </w:rPr>
        <w:t>承担产品标准、检验细则、检验方法的制定、修订技术工作</w:t>
      </w:r>
      <w:r>
        <w:rPr>
          <w:rFonts w:hint="eastAsia" w:ascii="仿宋_GB2312" w:eastAsia="仿宋_GB2312"/>
          <w:sz w:val="32"/>
          <w:szCs w:val="32"/>
          <w:lang w:eastAsia="zh-CN"/>
        </w:rPr>
        <w:t>。</w:t>
      </w:r>
    </w:p>
    <w:p>
      <w:pPr>
        <w:ind w:firstLine="640" w:firstLineChars="200"/>
        <w:rPr>
          <w:rFonts w:hint="eastAsia" w:ascii="仿宋_GB2312" w:eastAsia="仿宋_GB2312"/>
          <w:sz w:val="32"/>
          <w:szCs w:val="32"/>
        </w:rPr>
      </w:pPr>
      <w:r>
        <w:rPr>
          <w:rFonts w:hint="eastAsia" w:ascii="仿宋_GB2312" w:hAnsi="仿宋_GB2312" w:eastAsia="仿宋_GB2312" w:cs="仿宋_GB2312"/>
          <w:bCs/>
          <w:color w:val="000000"/>
          <w:sz w:val="32"/>
          <w:szCs w:val="32"/>
        </w:rPr>
        <w:t>6）</w:t>
      </w:r>
      <w:r>
        <w:rPr>
          <w:rFonts w:hint="eastAsia" w:ascii="仿宋_GB2312" w:eastAsia="仿宋_GB2312"/>
          <w:sz w:val="32"/>
          <w:szCs w:val="32"/>
        </w:rPr>
        <w:t>开展检验技术、检验方法的研究；开展质量仲裁鉴定检验、产品质量委托检验等工作；开展产品质量检验检测技术咨询服务工作。</w:t>
      </w:r>
    </w:p>
    <w:p>
      <w:pPr>
        <w:ind w:firstLine="640" w:firstLineChars="200"/>
        <w:rPr>
          <w:rFonts w:hint="eastAsia" w:ascii="仿宋_GB2312" w:hAnsi="仿宋_GB2312" w:eastAsia="仿宋_GB2312" w:cs="仿宋_GB2312"/>
          <w:bCs/>
          <w:color w:val="000000"/>
          <w:sz w:val="32"/>
          <w:szCs w:val="32"/>
        </w:rPr>
      </w:pPr>
      <w:r>
        <w:rPr>
          <w:rFonts w:hint="eastAsia" w:ascii="仿宋_GB2312" w:hAnsi="仿宋_GB2312" w:eastAsia="仿宋_GB2312" w:cs="仿宋_GB2312"/>
          <w:bCs/>
          <w:color w:val="000000"/>
          <w:sz w:val="32"/>
          <w:szCs w:val="32"/>
        </w:rPr>
        <w:t>7）承办区政府交办的其他事项。</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个，具体情况如下：</w:t>
      </w:r>
    </w:p>
    <w:tbl>
      <w:tblPr>
        <w:tblStyle w:val="7"/>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vAlign w:val="center"/>
          </w:tcPr>
          <w:p>
            <w:pPr>
              <w:snapToGrid w:val="0"/>
              <w:jc w:val="center"/>
              <w:rPr>
                <w:rFonts w:ascii="仿宋_GB2312" w:hAnsi="Calibri" w:eastAsia="仿宋_GB2312" w:cs="ArialUnicodeMS"/>
                <w:kern w:val="0"/>
                <w:sz w:val="28"/>
                <w:szCs w:val="28"/>
              </w:rPr>
            </w:pPr>
            <w:r>
              <w:rPr>
                <w:rFonts w:hint="eastAsia" w:ascii="仿宋" w:hAnsi="仿宋" w:eastAsia="仿宋"/>
                <w:sz w:val="24"/>
              </w:rPr>
              <w:t>石家庄市藁城区</w:t>
            </w:r>
            <w:r>
              <w:rPr>
                <w:rFonts w:hint="eastAsia" w:ascii="仿宋" w:hAnsi="仿宋" w:eastAsia="仿宋"/>
                <w:sz w:val="24"/>
                <w:lang w:eastAsia="zh-CN"/>
              </w:rPr>
              <w:t>质量技术监督检验所</w:t>
            </w:r>
          </w:p>
        </w:tc>
        <w:tc>
          <w:tcPr>
            <w:tcW w:w="2445" w:type="dxa"/>
            <w:vAlign w:val="center"/>
          </w:tcPr>
          <w:p>
            <w:pPr>
              <w:jc w:val="center"/>
              <w:rPr>
                <w:rFonts w:hint="eastAsia" w:ascii="仿宋_GB2312" w:hAnsi="Calibri" w:eastAsia="仿宋_GB2312" w:cs="ArialUnicodeMS"/>
                <w:kern w:val="0"/>
                <w:sz w:val="28"/>
                <w:szCs w:val="28"/>
                <w:lang w:eastAsia="zh-CN"/>
              </w:rPr>
            </w:pPr>
            <w:r>
              <w:rPr>
                <w:rFonts w:hint="eastAsia" w:ascii="仿宋" w:hAnsi="仿宋" w:eastAsia="仿宋"/>
                <w:sz w:val="24"/>
                <w:lang w:eastAsia="zh-CN"/>
              </w:rPr>
              <w:t>财政补助事业单位</w:t>
            </w:r>
          </w:p>
        </w:tc>
        <w:tc>
          <w:tcPr>
            <w:tcW w:w="2665" w:type="dxa"/>
            <w:vAlign w:val="center"/>
          </w:tcPr>
          <w:p>
            <w:pPr>
              <w:jc w:val="center"/>
              <w:rPr>
                <w:rFonts w:ascii="仿宋_GB2312" w:hAnsi="Calibri" w:eastAsia="仿宋_GB2312" w:cs="ArialUnicodeMS"/>
                <w:kern w:val="0"/>
                <w:sz w:val="28"/>
                <w:szCs w:val="28"/>
              </w:rPr>
            </w:pPr>
            <w:r>
              <w:rPr>
                <w:rFonts w:hint="eastAsia" w:ascii="仿宋" w:hAnsi="仿宋" w:eastAsia="仿宋"/>
                <w:sz w:val="24"/>
              </w:rPr>
              <w:t>财政性资金基本保证</w:t>
            </w: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3"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8480"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8480;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69504"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69504;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3212]" o:title="5%" focussize="0,0" r:id="rId23"/>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w:t>
      </w:r>
      <w:r>
        <w:rPr>
          <w:rFonts w:hint="eastAsia" w:ascii="仿宋_GB2312" w:hAnsi="Times New Roman" w:eastAsia="仿宋_GB2312" w:cs="DengXian-Regular"/>
          <w:sz w:val="32"/>
          <w:szCs w:val="32"/>
          <w:lang w:eastAsia="zh-CN"/>
        </w:rPr>
        <w:t>入</w:t>
      </w:r>
      <w:r>
        <w:rPr>
          <w:rFonts w:hint="eastAsia" w:ascii="仿宋_GB2312" w:hAnsi="Times New Roman" w:eastAsia="仿宋_GB2312" w:cs="DengXian-Regular"/>
          <w:sz w:val="32"/>
          <w:szCs w:val="32"/>
          <w:lang w:val="en-US" w:eastAsia="zh-CN"/>
        </w:rPr>
        <w:t>766.18</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，支出</w:t>
      </w:r>
      <w:r>
        <w:rPr>
          <w:rFonts w:hint="eastAsia" w:ascii="仿宋_GB2312" w:hAnsi="Times New Roman" w:eastAsia="仿宋_GB2312" w:cs="DengXian-Regular"/>
          <w:sz w:val="32"/>
          <w:szCs w:val="32"/>
          <w:lang w:val="en-US" w:eastAsia="zh-CN"/>
        </w:rPr>
        <w:t>756.58万元</w:t>
      </w:r>
      <w:r>
        <w:rPr>
          <w:rFonts w:hint="eastAsia" w:ascii="仿宋_GB2312" w:hAnsi="Times New Roman" w:eastAsia="仿宋_GB2312" w:cs="DengXian-Regular"/>
          <w:sz w:val="32"/>
          <w:szCs w:val="32"/>
        </w:rPr>
        <w:t>。与2018年度决算相比，收</w:t>
      </w:r>
      <w:r>
        <w:rPr>
          <w:rFonts w:hint="eastAsia" w:ascii="仿宋_GB2312" w:hAnsi="Times New Roman" w:eastAsia="仿宋_GB2312" w:cs="DengXian-Regular"/>
          <w:sz w:val="32"/>
          <w:szCs w:val="32"/>
          <w:lang w:eastAsia="zh-CN"/>
        </w:rPr>
        <w:t>入增加</w:t>
      </w:r>
      <w:r>
        <w:rPr>
          <w:rFonts w:hint="eastAsia" w:ascii="仿宋_GB2312" w:hAnsi="Times New Roman" w:eastAsia="仿宋_GB2312" w:cs="DengXian-Regular"/>
          <w:sz w:val="32"/>
          <w:szCs w:val="32"/>
          <w:lang w:val="en-US" w:eastAsia="zh-CN"/>
        </w:rPr>
        <w:t>191.76</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33.38</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支出增加</w:t>
      </w:r>
      <w:r>
        <w:rPr>
          <w:rFonts w:hint="eastAsia" w:ascii="仿宋_GB2312" w:hAnsi="Times New Roman" w:eastAsia="仿宋_GB2312" w:cs="DengXian-Regular"/>
          <w:sz w:val="32"/>
          <w:szCs w:val="32"/>
          <w:lang w:val="en-US" w:eastAsia="zh-CN"/>
        </w:rPr>
        <w:t>182.16万元，增长31.71%。主要</w:t>
      </w:r>
      <w:r>
        <w:rPr>
          <w:rFonts w:hint="eastAsia" w:ascii="仿宋_GB2312" w:hAnsi="Times New Roman" w:eastAsia="仿宋_GB2312" w:cs="DengXian-Regular"/>
          <w:sz w:val="32"/>
          <w:szCs w:val="32"/>
        </w:rPr>
        <w:t>原因是</w:t>
      </w:r>
      <w:r>
        <w:rPr>
          <w:rFonts w:hint="eastAsia" w:ascii="仿宋_GB2312" w:eastAsia="仿宋_GB2312" w:cs="DengXian-Regular"/>
          <w:sz w:val="32"/>
          <w:szCs w:val="32"/>
          <w:lang w:val="en-US" w:eastAsia="zh-CN"/>
        </w:rPr>
        <w:t>2019年项目支出有检验检测大楼经费支出200万元，2018年未列支此项目</w:t>
      </w:r>
      <w:r>
        <w:rPr>
          <w:rFonts w:hint="eastAsia" w:ascii="仿宋_GB2312"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bookmarkStart w:id="0" w:name="_GoBack"/>
      <w:bookmarkEnd w:id="0"/>
    </w:p>
    <w:p>
      <w:pPr>
        <w:keepNext/>
        <w:keepLines/>
        <w:snapToGrid w:val="0"/>
        <w:spacing w:line="580" w:lineRule="exact"/>
        <w:ind w:firstLine="640" w:firstLineChars="200"/>
        <w:outlineLvl w:val="1"/>
        <w:rPr>
          <w:rFonts w:ascii="黑体" w:hAnsi="Calibri" w:eastAsia="黑体" w:cs="Times New Roman"/>
          <w:b/>
          <w:bCs/>
          <w:sz w:val="32"/>
          <w:szCs w:val="32"/>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766.18</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766.18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756.58</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566.83</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占</w:t>
      </w:r>
      <w:r>
        <w:rPr>
          <w:rFonts w:hint="eastAsia" w:ascii="仿宋_GB2312" w:hAnsi="Times New Roman" w:eastAsia="仿宋_GB2312" w:cs="DengXian-Regular"/>
          <w:sz w:val="32"/>
          <w:szCs w:val="32"/>
          <w:lang w:val="en-US" w:eastAsia="zh-CN"/>
        </w:rPr>
        <w:t>74.62</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189.75</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25.08</w:t>
      </w:r>
      <w:r>
        <w:rPr>
          <w:rFonts w:hint="eastAsia" w:ascii="仿宋_GB2312" w:hAnsi="Times New Roman" w:eastAsia="仿宋_GB2312" w:cs="DengXian-Regular"/>
          <w:sz w:val="32"/>
          <w:szCs w:val="32"/>
        </w:rPr>
        <w:t>%。如图所示：</w:t>
      </w:r>
    </w:p>
    <w:p>
      <w:pPr>
        <w:adjustRightInd w:val="0"/>
        <w:snapToGrid w:val="0"/>
        <w:spacing w:line="580" w:lineRule="exact"/>
        <w:jc w:val="center"/>
        <w:rPr>
          <w:rFonts w:ascii="黑体" w:hAnsi="Calibri" w:eastAsia="黑体" w:cs="Times New Roman"/>
          <w:b/>
          <w:bCs/>
          <w:sz w:val="32"/>
          <w:szCs w:val="32"/>
        </w:rPr>
      </w:pPr>
      <w:r>
        <w:rPr>
          <w:rFonts w:hint="eastAsia" w:ascii="仿宋_GB2312" w:hAnsi="Times New Roman" w:eastAsia="仿宋_GB2312" w:cs="DengXian-Regular"/>
          <w:sz w:val="32"/>
          <w:szCs w:val="32"/>
          <w:lang w:eastAsia="zh-CN"/>
        </w:rPr>
        <w:drawing>
          <wp:anchor distT="0" distB="0" distL="114300" distR="114300" simplePos="0" relativeHeight="251671552" behindDoc="0" locked="0" layoutInCell="1" allowOverlap="1">
            <wp:simplePos x="0" y="0"/>
            <wp:positionH relativeFrom="column">
              <wp:posOffset>1412875</wp:posOffset>
            </wp:positionH>
            <wp:positionV relativeFrom="paragraph">
              <wp:posOffset>115570</wp:posOffset>
            </wp:positionV>
            <wp:extent cx="3052445" cy="2458085"/>
            <wp:effectExtent l="0" t="0" r="14605" b="18415"/>
            <wp:wrapTopAndBottom/>
            <wp:docPr id="28"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anchor>
        </w:drawing>
      </w:r>
      <w:r>
        <w:rPr>
          <w:rFonts w:hint="eastAsia" w:ascii="仿宋_GB2312" w:hAnsi="Times New Roman" w:eastAsia="仿宋_GB2312" w:cs="DengXian-Regular"/>
          <w:sz w:val="28"/>
          <w:szCs w:val="28"/>
          <w:lang w:val="en-US" w:eastAsia="zh-CN"/>
        </w:rPr>
        <w:t>图1：支出构成情况（按支出性质）</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w:t>
      </w:r>
      <w:r>
        <w:rPr>
          <w:rFonts w:hint="eastAsia" w:ascii="仿宋_GB2312" w:hAnsi="Times New Roman" w:eastAsia="仿宋_GB2312" w:cs="DengXian-Regular"/>
          <w:sz w:val="32"/>
          <w:szCs w:val="32"/>
          <w:lang w:eastAsia="zh-CN"/>
        </w:rPr>
        <w:t>入</w:t>
      </w:r>
      <w:r>
        <w:rPr>
          <w:rFonts w:hint="eastAsia" w:ascii="仿宋_GB2312" w:hAnsi="Times New Roman" w:eastAsia="仿宋_GB2312" w:cs="DengXian-Regular"/>
          <w:sz w:val="32"/>
          <w:szCs w:val="32"/>
          <w:lang w:val="en-US" w:eastAsia="zh-CN"/>
        </w:rPr>
        <w:t>766.18</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191.76</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33.38</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756.58</w:t>
      </w:r>
      <w:r>
        <w:rPr>
          <w:rFonts w:hint="eastAsia" w:ascii="仿宋_GB2312" w:hAnsi="Times New Roman" w:eastAsia="仿宋_GB2312" w:cs="DengXian-Regular"/>
          <w:sz w:val="32"/>
          <w:szCs w:val="32"/>
        </w:rPr>
        <w:t>万元，增加</w:t>
      </w:r>
      <w:r>
        <w:rPr>
          <w:rFonts w:hint="eastAsia" w:ascii="仿宋_GB2312" w:hAnsi="Times New Roman" w:eastAsia="仿宋_GB2312" w:cs="DengXian-Regular"/>
          <w:sz w:val="32"/>
          <w:szCs w:val="32"/>
          <w:lang w:val="en-US" w:eastAsia="zh-CN"/>
        </w:rPr>
        <w:t>182.16</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31</w:t>
      </w:r>
      <w:r>
        <w:rPr>
          <w:rFonts w:hint="eastAsia" w:ascii="仿宋_GB2312" w:hAnsi="Times New Roman" w:eastAsia="仿宋_GB2312" w:cs="DengXian-Regular"/>
          <w:sz w:val="32"/>
          <w:szCs w:val="32"/>
        </w:rPr>
        <w:t>%，主要</w:t>
      </w:r>
      <w:r>
        <w:rPr>
          <w:rFonts w:hint="eastAsia" w:ascii="仿宋_GB2312" w:eastAsia="仿宋_GB2312" w:cs="DengXian-Regular"/>
          <w:sz w:val="32"/>
          <w:szCs w:val="32"/>
        </w:rPr>
        <w:t>是</w:t>
      </w:r>
      <w:r>
        <w:rPr>
          <w:rFonts w:hint="eastAsia" w:ascii="仿宋_GB2312" w:eastAsia="仿宋_GB2312" w:cs="DengXian-Regular"/>
          <w:sz w:val="32"/>
          <w:szCs w:val="32"/>
          <w:lang w:val="en-US" w:eastAsia="zh-CN"/>
        </w:rPr>
        <w:t>2019年项目支出有检验检测大楼经费支出200万元，2018年未列支此项目</w:t>
      </w:r>
      <w:r>
        <w:rPr>
          <w:rFonts w:hint="eastAsia" w:ascii="仿宋_GB2312" w:hAnsi="Times New Roman" w:eastAsia="仿宋_GB2312" w:cs="DengXian-Regular"/>
          <w:sz w:val="32"/>
          <w:szCs w:val="32"/>
        </w:rPr>
        <w:t>。</w:t>
      </w:r>
    </w:p>
    <w:p>
      <w:pPr>
        <w:adjustRightInd w:val="0"/>
        <w:snapToGrid w:val="0"/>
        <w:spacing w:line="580" w:lineRule="exact"/>
        <w:jc w:val="center"/>
        <w:rPr>
          <w:rFonts w:hint="default" w:ascii="仿宋_GB2312" w:hAnsi="Times New Roman" w:eastAsia="仿宋_GB2312" w:cs="DengXian-Regular"/>
          <w:sz w:val="28"/>
          <w:szCs w:val="28"/>
          <w:lang w:val="en-US" w:eastAsia="zh-CN"/>
        </w:rPr>
      </w:pPr>
      <w:r>
        <w:rPr>
          <w:rFonts w:hint="eastAsia" w:ascii="仿宋_GB2312" w:hAnsi="Times New Roman" w:eastAsia="仿宋_GB2312" w:cs="DengXian-Regular"/>
          <w:sz w:val="28"/>
          <w:szCs w:val="28"/>
          <w:lang w:val="en-US" w:eastAsia="zh-CN"/>
        </w:rPr>
        <w:drawing>
          <wp:anchor distT="0" distB="0" distL="114300" distR="114300" simplePos="0" relativeHeight="251672576" behindDoc="0" locked="0" layoutInCell="1" allowOverlap="1">
            <wp:simplePos x="0" y="0"/>
            <wp:positionH relativeFrom="column">
              <wp:posOffset>347345</wp:posOffset>
            </wp:positionH>
            <wp:positionV relativeFrom="paragraph">
              <wp:posOffset>213360</wp:posOffset>
            </wp:positionV>
            <wp:extent cx="4572000" cy="2743200"/>
            <wp:effectExtent l="4445" t="4445" r="14605" b="14605"/>
            <wp:wrapTopAndBottom/>
            <wp:docPr id="31"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anchor>
        </w:drawing>
      </w:r>
      <w:r>
        <w:rPr>
          <w:rFonts w:hint="eastAsia" w:ascii="仿宋_GB2312" w:hAnsi="Times New Roman" w:eastAsia="仿宋_GB2312" w:cs="DengXian-Regular"/>
          <w:sz w:val="28"/>
          <w:szCs w:val="28"/>
          <w:lang w:val="en-US" w:eastAsia="zh-CN"/>
        </w:rPr>
        <w:t>图2：2019-2019年财政拨款收支决算对比图</w:t>
      </w: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w:t>
      </w:r>
      <w:r>
        <w:rPr>
          <w:rFonts w:hint="eastAsia" w:ascii="仿宋_GB2312" w:hAnsi="Times New Roman" w:eastAsia="仿宋_GB2312" w:cs="DengXian-Regular"/>
          <w:sz w:val="32"/>
          <w:szCs w:val="32"/>
          <w:lang w:val="en-US" w:eastAsia="zh-CN"/>
        </w:rPr>
        <w:t>766.18</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%（如图4）,比年初预算增加</w:t>
      </w:r>
      <w:r>
        <w:rPr>
          <w:rFonts w:hint="eastAsia" w:ascii="仿宋_GB2312" w:hAnsi="Times New Roman" w:eastAsia="仿宋_GB2312" w:cs="DengXian-Regular"/>
          <w:sz w:val="32"/>
          <w:szCs w:val="32"/>
          <w:lang w:val="en-US" w:eastAsia="zh-CN"/>
        </w:rPr>
        <w:t>46.05</w:t>
      </w:r>
      <w:r>
        <w:rPr>
          <w:rFonts w:hint="eastAsia" w:ascii="仿宋_GB2312" w:hAnsi="Times New Roman" w:eastAsia="仿宋_GB2312" w:cs="DengXian-Regular"/>
          <w:sz w:val="32"/>
          <w:szCs w:val="32"/>
        </w:rPr>
        <w:t>万元，决算数</w:t>
      </w:r>
      <w:r>
        <w:rPr>
          <w:rFonts w:hint="eastAsia" w:ascii="仿宋_GB2312" w:hAnsi="Times New Roman" w:eastAsia="仿宋_GB2312" w:cs="DengXian-Regular"/>
          <w:sz w:val="32"/>
          <w:szCs w:val="32"/>
          <w:lang w:eastAsia="zh-CN"/>
        </w:rPr>
        <w:t>大于</w:t>
      </w:r>
      <w:r>
        <w:rPr>
          <w:rFonts w:hint="eastAsia" w:ascii="仿宋_GB2312" w:hAnsi="Times New Roman" w:eastAsia="仿宋_GB2312" w:cs="DengXian-Regular"/>
          <w:sz w:val="32"/>
          <w:szCs w:val="32"/>
        </w:rPr>
        <w:t>预算数主要原因是</w:t>
      </w:r>
      <w:r>
        <w:rPr>
          <w:rFonts w:hint="eastAsia" w:ascii="仿宋_GB2312" w:hAnsi="Times New Roman" w:eastAsia="仿宋_GB2312" w:cs="DengXian-Regular"/>
          <w:sz w:val="32"/>
          <w:szCs w:val="32"/>
          <w:lang w:eastAsia="zh-CN"/>
        </w:rPr>
        <w:t>人员工资调整以及人员增加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756.58</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36.45</w:t>
      </w:r>
      <w:r>
        <w:rPr>
          <w:rFonts w:hint="eastAsia" w:ascii="仿宋_GB2312" w:hAnsi="Times New Roman" w:eastAsia="仿宋_GB2312" w:cs="DengXian-Regular"/>
          <w:sz w:val="32"/>
          <w:szCs w:val="32"/>
        </w:rPr>
        <w:t>万元，决算数大于预算数主要原因是主要是</w:t>
      </w:r>
      <w:r>
        <w:rPr>
          <w:rFonts w:hint="eastAsia" w:ascii="仿宋_GB2312" w:hAnsi="Times New Roman" w:eastAsia="仿宋_GB2312" w:cs="DengXian-Regular"/>
          <w:sz w:val="32"/>
          <w:szCs w:val="32"/>
          <w:lang w:eastAsia="zh-CN"/>
        </w:rPr>
        <w:t>人员工资调整以及人员增加</w:t>
      </w:r>
      <w:r>
        <w:rPr>
          <w:rFonts w:hint="eastAsia" w:ascii="仿宋_GB2312" w:hAnsi="Times New Roman" w:eastAsia="仿宋_GB2312" w:cs="DengXian-Regular"/>
          <w:sz w:val="32"/>
          <w:szCs w:val="32"/>
        </w:rPr>
        <w:t>。</w:t>
      </w:r>
    </w:p>
    <w:p>
      <w:pPr>
        <w:adjustRightInd w:val="0"/>
        <w:snapToGrid w:val="0"/>
        <w:spacing w:line="580" w:lineRule="exact"/>
        <w:jc w:val="center"/>
        <w:rPr>
          <w:rFonts w:hint="eastAsia" w:ascii="仿宋_GB2312" w:hAnsi="Times New Roman" w:eastAsia="仿宋_GB2312" w:cs="DengXian-Regular"/>
          <w:sz w:val="28"/>
          <w:szCs w:val="28"/>
          <w:lang w:val="en-US" w:eastAsia="zh-CN"/>
        </w:rPr>
      </w:pPr>
      <w:r>
        <w:rPr>
          <w:rFonts w:hint="eastAsia" w:ascii="仿宋_GB2312" w:hAnsi="Times New Roman" w:eastAsia="仿宋_GB2312" w:cs="DengXian-Regular"/>
          <w:sz w:val="28"/>
          <w:szCs w:val="28"/>
          <w:lang w:val="en-US" w:eastAsia="zh-CN"/>
        </w:rPr>
        <w:drawing>
          <wp:anchor distT="0" distB="0" distL="114300" distR="114300" simplePos="0" relativeHeight="251673600" behindDoc="0" locked="0" layoutInCell="1" allowOverlap="1">
            <wp:simplePos x="0" y="0"/>
            <wp:positionH relativeFrom="column">
              <wp:posOffset>477520</wp:posOffset>
            </wp:positionH>
            <wp:positionV relativeFrom="paragraph">
              <wp:posOffset>231775</wp:posOffset>
            </wp:positionV>
            <wp:extent cx="4660900" cy="3086735"/>
            <wp:effectExtent l="0" t="0" r="6350" b="18415"/>
            <wp:wrapTopAndBottom/>
            <wp:docPr id="33" name="图表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anchor>
        </w:drawing>
      </w:r>
      <w:r>
        <w:rPr>
          <w:rFonts w:hint="eastAsia" w:ascii="仿宋_GB2312" w:hAnsi="Times New Roman" w:eastAsia="仿宋_GB2312" w:cs="DengXian-Regular"/>
          <w:sz w:val="28"/>
          <w:szCs w:val="28"/>
          <w:lang w:val="en-US" w:eastAsia="zh-CN"/>
        </w:rPr>
        <w:t>图3：2019年预决算收入与支出对比图</w:t>
      </w:r>
    </w:p>
    <w:p>
      <w:pPr>
        <w:adjustRightInd w:val="0"/>
        <w:snapToGrid w:val="0"/>
        <w:spacing w:line="580" w:lineRule="exact"/>
        <w:jc w:val="center"/>
        <w:rPr>
          <w:rFonts w:hint="eastAsia" w:ascii="仿宋_GB2312" w:hAnsi="Times New Roman" w:eastAsia="仿宋_GB2312" w:cs="DengXian-Regular"/>
          <w:sz w:val="28"/>
          <w:szCs w:val="28"/>
          <w:lang w:val="en-US" w:eastAsia="zh-CN"/>
        </w:rPr>
      </w:pP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756.58</w:t>
      </w:r>
      <w:r>
        <w:rPr>
          <w:rFonts w:hint="eastAsia" w:ascii="仿宋_GB2312" w:hAnsi="Times New Roman" w:eastAsia="仿宋_GB2312" w:cs="DengXian-Regular"/>
          <w:sz w:val="32"/>
          <w:szCs w:val="32"/>
        </w:rPr>
        <w:t>万元，主要用于以下方面</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一般公共服务（类）支出</w:t>
      </w:r>
      <w:r>
        <w:rPr>
          <w:rFonts w:hint="eastAsia" w:ascii="仿宋_GB2312" w:hAnsi="Times New Roman" w:eastAsia="仿宋_GB2312" w:cs="DengXian-Regular"/>
          <w:sz w:val="32"/>
          <w:szCs w:val="32"/>
          <w:lang w:val="en-US" w:eastAsia="zh-CN"/>
        </w:rPr>
        <w:t>756.58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566.84</w:t>
      </w:r>
      <w:r>
        <w:rPr>
          <w:rFonts w:hint="eastAsia" w:ascii="仿宋_GB2312" w:hAnsi="Times New Roman" w:eastAsia="仿宋_GB2312" w:cs="DengXian-Regular"/>
          <w:sz w:val="32"/>
          <w:szCs w:val="32"/>
        </w:rPr>
        <w:t xml:space="preserve">万元，其中：人员经费 </w:t>
      </w:r>
      <w:r>
        <w:rPr>
          <w:rFonts w:hint="eastAsia" w:ascii="仿宋_GB2312" w:hAnsi="Times New Roman" w:eastAsia="仿宋_GB2312" w:cs="DengXian-Regular"/>
          <w:sz w:val="32"/>
          <w:szCs w:val="32"/>
          <w:lang w:val="en-US" w:eastAsia="zh-CN"/>
        </w:rPr>
        <w:t>534.57</w:t>
      </w:r>
      <w:r>
        <w:rPr>
          <w:rFonts w:hint="eastAsia" w:ascii="仿宋_GB2312" w:hAnsi="Times New Roman" w:eastAsia="仿宋_GB2312" w:cs="DengXian-Regular"/>
          <w:sz w:val="32"/>
          <w:szCs w:val="32"/>
        </w:rPr>
        <w:t xml:space="preserve">万元，主要包括基本工资、津贴补贴、奖金、绩效工资、机关事业单位基本养老保险缴费、职业年金缴费、职工基本医疗保险缴费、住房公积金、医疗费、其他社会保障缴费；公用经费 </w:t>
      </w:r>
      <w:r>
        <w:rPr>
          <w:rFonts w:hint="eastAsia" w:ascii="仿宋_GB2312" w:hAnsi="Times New Roman" w:eastAsia="仿宋_GB2312" w:cs="DengXian-Regular"/>
          <w:sz w:val="32"/>
          <w:szCs w:val="32"/>
          <w:lang w:val="en-US" w:eastAsia="zh-CN"/>
        </w:rPr>
        <w:t>32.27</w:t>
      </w:r>
      <w:r>
        <w:rPr>
          <w:rFonts w:hint="eastAsia" w:ascii="仿宋_GB2312" w:hAnsi="Times New Roman" w:eastAsia="仿宋_GB2312" w:cs="DengXian-Regular"/>
          <w:sz w:val="32"/>
          <w:szCs w:val="32"/>
        </w:rPr>
        <w:t>万元，主要包括办公费、印刷费、水费、电费、邮电费、差旅费、维修（护）费、工会经费、福利费、公务用车运行维护费、其他商品和服务支出、办公设备购置。</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6.6</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与年初预算持平；较2018年度增加</w:t>
      </w:r>
      <w:r>
        <w:rPr>
          <w:rFonts w:hint="eastAsia" w:ascii="仿宋_GB2312" w:hAnsi="Times New Roman" w:eastAsia="仿宋_GB2312" w:cs="DengXian-Regular"/>
          <w:sz w:val="32"/>
          <w:szCs w:val="32"/>
          <w:lang w:val="en-US" w:eastAsia="zh-CN"/>
        </w:rPr>
        <w:t>6.6</w:t>
      </w:r>
      <w:r>
        <w:rPr>
          <w:rFonts w:hint="eastAsia" w:ascii="仿宋_GB2312" w:hAnsi="Times New Roman" w:eastAsia="仿宋_GB2312" w:cs="DengXian-Regular"/>
          <w:sz w:val="32"/>
          <w:szCs w:val="32"/>
        </w:rPr>
        <w:t>万元，增长x%，主要是</w:t>
      </w:r>
      <w:r>
        <w:rPr>
          <w:rFonts w:hint="eastAsia" w:ascii="仿宋_GB2312" w:hAnsi="Times New Roman" w:eastAsia="仿宋_GB2312" w:cs="DengXian-Regular"/>
          <w:sz w:val="32"/>
          <w:szCs w:val="32"/>
          <w:lang w:eastAsia="zh-CN"/>
        </w:rPr>
        <w:t>增加了公务用车运行费</w:t>
      </w:r>
      <w:r>
        <w:rPr>
          <w:rFonts w:hint="eastAsia" w:ascii="仿宋_GB2312" w:hAnsi="Times New Roman" w:eastAsia="仿宋_GB2312" w:cs="DengXian-Regular"/>
          <w:sz w:val="32"/>
          <w:szCs w:val="32"/>
        </w:rPr>
        <w:t>。具体情况如下：</w:t>
      </w:r>
    </w:p>
    <w:p>
      <w:pPr>
        <w:adjustRightInd w:val="0"/>
        <w:snapToGrid w:val="0"/>
        <w:spacing w:after="0" w:line="580" w:lineRule="exact"/>
        <w:ind w:firstLine="643" w:firstLineChars="200"/>
        <w:rPr>
          <w:rFonts w:hint="default" w:ascii="仿宋_GB2312" w:eastAsia="仿宋_GB2312" w:cs="DengXian-Regular"/>
          <w:sz w:val="32"/>
          <w:szCs w:val="32"/>
          <w:lang w:val="en-US" w:eastAsia="zh-CN"/>
        </w:rPr>
      </w:pPr>
      <w:r>
        <w:rPr>
          <w:rFonts w:hint="eastAsia" w:ascii="楷体_GB2312" w:hAnsi="Times New Roman" w:eastAsia="楷体_GB2312" w:cs="DengXian-Bold"/>
          <w:b/>
          <w:bCs/>
          <w:sz w:val="32"/>
          <w:szCs w:val="32"/>
        </w:rPr>
        <w:t>（一）因公出国（境）费支出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w:t>
      </w:r>
      <w:r>
        <w:rPr>
          <w:rFonts w:hint="eastAsia" w:ascii="仿宋_GB2312" w:hAnsi="Times New Roman" w:eastAsia="仿宋_GB2312" w:cs="DengXian-Regular"/>
          <w:sz w:val="32"/>
          <w:szCs w:val="32"/>
          <w:lang w:eastAsia="zh-CN"/>
        </w:rPr>
        <w:t>。</w:t>
      </w:r>
      <w:r>
        <w:rPr>
          <w:rFonts w:hint="eastAsia" w:ascii="仿宋_GB2312" w:eastAsia="仿宋_GB2312" w:cs="DengXian-Regular"/>
          <w:sz w:val="32"/>
          <w:szCs w:val="32"/>
          <w:lang w:val="en-US" w:eastAsia="zh-CN"/>
        </w:rPr>
        <w:t>2019年度未发生此项经费支出。</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6.6</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本部门2019年度公务用车购置及运行维护费较预算</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6.6</w:t>
      </w:r>
      <w:r>
        <w:rPr>
          <w:rFonts w:hint="eastAsia" w:ascii="仿宋_GB2312" w:hAnsi="Times New Roman" w:eastAsia="仿宋_GB2312" w:cs="DengXian-Regular"/>
          <w:sz w:val="32"/>
          <w:szCs w:val="32"/>
        </w:rPr>
        <w:t>万元,主要是公务用车运行维护费。</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2019</w:t>
      </w:r>
      <w:r>
        <w:rPr>
          <w:rFonts w:hint="eastAsia" w:ascii="仿宋_GB2312" w:eastAsia="仿宋_GB2312" w:cs="DengXian-Regular"/>
          <w:sz w:val="32"/>
          <w:szCs w:val="32"/>
          <w:lang w:val="en-US" w:eastAsia="zh-CN"/>
        </w:rPr>
        <w:t>度未发生此项经费支出。</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辆。公车运行维护费支出较预算增加</w:t>
      </w:r>
      <w:r>
        <w:rPr>
          <w:rFonts w:hint="eastAsia" w:ascii="仿宋_GB2312" w:hAnsi="Times New Roman" w:eastAsia="仿宋_GB2312" w:cs="DengXian-Regular"/>
          <w:sz w:val="32"/>
          <w:szCs w:val="32"/>
          <w:lang w:val="en-US" w:eastAsia="zh-CN"/>
        </w:rPr>
        <w:t>6.6</w:t>
      </w:r>
      <w:r>
        <w:rPr>
          <w:rFonts w:hint="eastAsia" w:ascii="仿宋_GB2312" w:hAnsi="Times New Roman" w:eastAsia="仿宋_GB2312" w:cs="DengXian-Regular"/>
          <w:sz w:val="32"/>
          <w:szCs w:val="32"/>
        </w:rPr>
        <w:t>万元，较上年增加</w:t>
      </w:r>
      <w:r>
        <w:rPr>
          <w:rFonts w:hint="eastAsia" w:ascii="仿宋_GB2312" w:hAnsi="Times New Roman" w:eastAsia="仿宋_GB2312" w:cs="DengXian-Regular"/>
          <w:sz w:val="32"/>
          <w:szCs w:val="32"/>
          <w:lang w:val="en-US" w:eastAsia="zh-CN"/>
        </w:rPr>
        <w:t>6.6</w:t>
      </w:r>
      <w:r>
        <w:rPr>
          <w:rFonts w:hint="eastAsia" w:ascii="仿宋_GB2312" w:hAnsi="Times New Roman" w:eastAsia="仿宋_GB2312" w:cs="DengXian-Regular"/>
          <w:sz w:val="32"/>
          <w:szCs w:val="32"/>
        </w:rPr>
        <w:t>万元，</w:t>
      </w:r>
      <w:r>
        <w:rPr>
          <w:rFonts w:hint="eastAsia" w:ascii="仿宋_GB2312" w:eastAsia="仿宋_GB2312" w:cs="DengXian-Regular"/>
          <w:sz w:val="32"/>
          <w:szCs w:val="32"/>
          <w:lang w:val="en-US" w:eastAsia="zh-CN"/>
        </w:rPr>
        <w:t>2018年度未发生此项经费支出。</w:t>
      </w:r>
      <w:r>
        <w:rPr>
          <w:rFonts w:hint="eastAsia" w:ascii="仿宋_GB2312" w:hAnsi="Times New Roman" w:eastAsia="仿宋_GB2312" w:cs="DengXian-Regular"/>
          <w:sz w:val="32"/>
          <w:szCs w:val="32"/>
        </w:rPr>
        <w:t>主要是xxxxxx。</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w:t>
      </w:r>
      <w:r>
        <w:rPr>
          <w:rFonts w:hint="eastAsia" w:ascii="仿宋_GB2312" w:eastAsia="仿宋_GB2312" w:cs="DengXian-Regular"/>
          <w:sz w:val="32"/>
          <w:szCs w:val="32"/>
          <w:lang w:val="en-US" w:eastAsia="zh-CN"/>
        </w:rPr>
        <w:t>2019年度未发生此项经费支出。</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个，二级项目</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189.75</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25.08%</w:t>
      </w: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lang w:eastAsia="zh-CN"/>
        </w:rPr>
        <w:t>劳务派遣人员工资</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产品质量、计量检验检测经费</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、“检验检测大楼经费”</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个项目开展了部门评价，涉及一般公共预算支出</w:t>
      </w:r>
      <w:r>
        <w:rPr>
          <w:rFonts w:hint="eastAsia" w:ascii="仿宋_GB2312" w:hAnsi="仿宋_GB2312" w:eastAsia="仿宋_GB2312" w:cs="仿宋_GB2312"/>
          <w:sz w:val="32"/>
          <w:szCs w:val="32"/>
          <w:lang w:val="en-US" w:eastAsia="zh-CN"/>
        </w:rPr>
        <w:t>189.75</w:t>
      </w:r>
      <w:r>
        <w:rPr>
          <w:rFonts w:hint="eastAsia" w:ascii="仿宋_GB2312" w:hAnsi="仿宋_GB2312" w:eastAsia="仿宋_GB2312" w:cs="仿宋_GB2312"/>
          <w:sz w:val="32"/>
          <w:szCs w:val="32"/>
        </w:rPr>
        <w:t>万元，政府性基金预算支出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万元。从评价情况来看，</w:t>
      </w:r>
      <w:r>
        <w:rPr>
          <w:rFonts w:hint="eastAsia" w:ascii="仿宋_GB2312" w:eastAsia="仿宋_GB2312" w:cs="DengXian-Regular"/>
          <w:sz w:val="32"/>
          <w:szCs w:val="32"/>
          <w:lang w:val="en-US" w:eastAsia="zh-CN"/>
        </w:rPr>
        <w:t>评价结果为优秀的项目有3个，良好的项目有0个，一般的项目有0个</w:t>
      </w:r>
      <w:r>
        <w:rPr>
          <w:rFonts w:hint="eastAsia" w:ascii="仿宋_GB2312" w:hAnsi="仿宋_GB2312" w:eastAsia="仿宋_GB2312" w:cs="仿宋_GB2312"/>
          <w:sz w:val="32"/>
          <w:szCs w:val="32"/>
        </w:rPr>
        <w:t>。</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w:t>
      </w:r>
      <w:r>
        <w:rPr>
          <w:rFonts w:hint="eastAsia" w:ascii="仿宋_GB2312" w:hAnsi="仿宋_GB2312" w:eastAsia="仿宋_GB2312" w:cs="仿宋_GB2312"/>
          <w:sz w:val="32"/>
          <w:szCs w:val="32"/>
          <w:lang w:eastAsia="zh-CN"/>
        </w:rPr>
        <w:t>劳务派遣人员工资</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产品质量、计量检验检测经费</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、“检验检测大楼经费”</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个项目绩效自评结果。</w:t>
      </w:r>
    </w:p>
    <w:p>
      <w:pPr>
        <w:ind w:firstLine="640" w:firstLineChars="200"/>
        <w:rPr>
          <w:rFonts w:hint="eastAsia" w:ascii="仿宋_GB2312" w:hAnsi="Times New Roman" w:eastAsia="仿宋_GB2312" w:cs="Times New Roman"/>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）劳务派遣人员工资</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eastAsia="zh-CN"/>
        </w:rPr>
        <w:t>劳务派遣人员工资</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33.71</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33.71</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。项目绩效目标完成情况：按照年度制定目标，达到预期目标。发现的主要问题</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原因及下一步整改措施：</w:t>
      </w:r>
      <w:r>
        <w:rPr>
          <w:rFonts w:hint="eastAsia" w:ascii="仿宋_GB2312" w:eastAsia="仿宋_GB2312" w:cs="Times New Roman"/>
          <w:sz w:val="32"/>
          <w:szCs w:val="32"/>
          <w:lang w:eastAsia="zh-CN"/>
        </w:rPr>
        <w:t>坚持定期学习与培训制度，统一职工思想，增强进取意识、责任意识，提升劳务派遣人员业务水平和工作能力。</w:t>
      </w:r>
    </w:p>
    <w:p>
      <w:pPr>
        <w:ind w:firstLine="640" w:firstLineChars="200"/>
        <w:rPr>
          <w:rFonts w:hint="eastAsia" w:ascii="仿宋_GB2312" w:hAnsi="Times New Roman" w:eastAsia="仿宋_GB2312" w:cs="Times New Roman"/>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）产品质量、计量检验检测经费</w:t>
      </w:r>
      <w:r>
        <w:rPr>
          <w:rFonts w:hint="eastAsia" w:ascii="仿宋_GB2312" w:hAnsi="仿宋_GB2312" w:eastAsia="仿宋_GB2312" w:cs="仿宋_GB2312"/>
          <w:sz w:val="32"/>
          <w:szCs w:val="32"/>
        </w:rPr>
        <w:t>项目绩效自评综述：根据年初设定的绩效目标，</w:t>
      </w:r>
      <w:r>
        <w:rPr>
          <w:rFonts w:hint="eastAsia" w:ascii="仿宋_GB2312" w:hAnsi="仿宋_GB2312" w:eastAsia="仿宋_GB2312" w:cs="仿宋_GB2312"/>
          <w:sz w:val="32"/>
          <w:szCs w:val="32"/>
          <w:lang w:eastAsia="zh-CN"/>
        </w:rPr>
        <w:t>产品质量、计量检验检测经费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56.29</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56.29</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按照年度制定目标，达到预期目标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发现的主要问题</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原因及下一步整改措施：计量、质量监管人员业务和理论学习还有需要进步的空间，加强质量、计量基础建设，提升保障能力，强化计量、质量检测，优化计量服务。推进对乡镇企业产品质量的监管规范化建设。</w:t>
      </w:r>
    </w:p>
    <w:p>
      <w:pPr>
        <w:adjustRightInd w:val="0"/>
        <w:snapToGrid w:val="0"/>
        <w:spacing w:line="360" w:lineRule="auto"/>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检验检测大楼经费</w:t>
      </w:r>
      <w:r>
        <w:rPr>
          <w:rFonts w:hint="eastAsia" w:ascii="仿宋_GB2312" w:hAnsi="仿宋_GB2312" w:eastAsia="仿宋_GB2312" w:cs="仿宋_GB2312"/>
          <w:sz w:val="32"/>
          <w:szCs w:val="32"/>
        </w:rPr>
        <w:t>项目绩效自评综述</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eastAsia="zh-CN"/>
        </w:rPr>
        <w:t>检验检测大楼经费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按照年度制定目标，达到预期目标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发现的主要问题</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原因及下一步整改措施：进一步确保藁城区工业产品质量检验、计量器具检定、产品质量安全检测等质量技术业务工作正常开展。</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after="0" w:line="580" w:lineRule="exact"/>
        <w:ind w:firstLine="640" w:firstLineChars="200"/>
        <w:rPr>
          <w:rFonts w:hint="eastAsia" w:ascii="仿宋_GB2312" w:hAnsi="Times New Roman" w:eastAsia="仿宋_GB2312" w:cs="DengXian-Regular"/>
          <w:sz w:val="32"/>
          <w:szCs w:val="32"/>
          <w:highlight w:val="yellow"/>
        </w:rPr>
      </w:pPr>
      <w:r>
        <w:rPr>
          <w:rFonts w:hint="eastAsia" w:ascii="仿宋_GB2312" w:eastAsia="仿宋_GB2312" w:cs="DengXian-Regular"/>
          <w:sz w:val="32"/>
          <w:szCs w:val="32"/>
        </w:rPr>
        <w:t>本</w:t>
      </w:r>
      <w:r>
        <w:rPr>
          <w:rFonts w:hint="eastAsia" w:ascii="仿宋_GB2312" w:eastAsia="仿宋_GB2312" w:cs="DengXian-Regular"/>
          <w:sz w:val="32"/>
          <w:szCs w:val="32"/>
          <w:lang w:eastAsia="zh-CN"/>
        </w:rPr>
        <w:t>单位为事业单位，因此</w:t>
      </w:r>
      <w:r>
        <w:rPr>
          <w:rFonts w:hint="eastAsia" w:ascii="仿宋_GB2312" w:eastAsia="仿宋_GB2312" w:cs="DengXian-Regular"/>
          <w:sz w:val="32"/>
          <w:szCs w:val="32"/>
        </w:rPr>
        <w:t>201</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年度机关运行经费支出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。无此项经费列支。</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widowControl/>
        <w:spacing w:after="0" w:line="580" w:lineRule="exact"/>
        <w:ind w:firstLine="640" w:firstLineChars="200"/>
        <w:jc w:val="left"/>
        <w:rPr>
          <w:rFonts w:hint="eastAsia" w:ascii="楷体_GB2312" w:hAnsi="Times New Roman" w:eastAsia="楷体_GB2312" w:cs="DengXian-Bold"/>
          <w:b/>
          <w:bCs/>
          <w:sz w:val="32"/>
          <w:szCs w:val="32"/>
        </w:rPr>
      </w:pPr>
      <w:r>
        <w:rPr>
          <w:rFonts w:hint="eastAsia" w:ascii="仿宋_GB2312" w:eastAsia="仿宋_GB2312" w:cs="DengXian-Regular"/>
          <w:sz w:val="32"/>
          <w:szCs w:val="32"/>
        </w:rPr>
        <w:t>本部门2018年度政府采购支出总额</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与上年保持一致</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辆；</w:t>
      </w:r>
    </w:p>
    <w:p>
      <w:pPr>
        <w:ind w:firstLine="640" w:firstLineChars="200"/>
        <w:rPr>
          <w:rFonts w:hint="eastAsia" w:ascii="仿宋_GB2312" w:hAnsi="Times New Roman" w:eastAsia="仿宋_GB2312" w:cs="DengXian-Regular"/>
          <w:sz w:val="32"/>
          <w:szCs w:val="32"/>
          <w:lang w:eastAsia="zh-CN"/>
        </w:rPr>
      </w:pPr>
      <w:r>
        <w:rPr>
          <w:rFonts w:hint="eastAsia" w:ascii="仿宋_GB2312" w:eastAsia="仿宋_GB2312" w:cs="DengXian-Regular"/>
          <w:sz w:val="32"/>
          <w:szCs w:val="32"/>
          <w:lang w:eastAsia="zh-CN"/>
        </w:rPr>
        <w:t>本</w:t>
      </w:r>
      <w:r>
        <w:rPr>
          <w:rFonts w:hint="eastAsia" w:ascii="仿宋_GB2312" w:eastAsia="仿宋_GB2312" w:cs="DengXian-Regular"/>
          <w:sz w:val="32"/>
          <w:szCs w:val="32"/>
          <w:lang w:val="en-US" w:eastAsia="zh-CN"/>
        </w:rPr>
        <w:t>单位没有单价 50 万元以上大型设备 ，没有价值 100 万元以上大型设备</w:t>
      </w:r>
      <w:r>
        <w:rPr>
          <w:rFonts w:hint="eastAsia" w:asciiTheme="minorEastAsia" w:hAnsiTheme="minorEastAsia"/>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after="0" w:line="580" w:lineRule="exact"/>
        <w:ind w:firstLine="640" w:firstLineChars="200"/>
        <w:rPr>
          <w:rFonts w:ascii="仿宋_GB2312" w:eastAsia="仿宋_GB2312" w:cs="DengXian-Regular"/>
          <w:color w:val="auto"/>
          <w:sz w:val="32"/>
          <w:szCs w:val="32"/>
        </w:rPr>
      </w:pPr>
      <w:r>
        <w:rPr>
          <w:rFonts w:hint="eastAsia" w:ascii="仿宋_GB2312" w:hAnsi="Times New Roman" w:eastAsia="仿宋_GB2312" w:cs="DengXian-Regular"/>
          <w:sz w:val="32"/>
          <w:szCs w:val="32"/>
        </w:rPr>
        <w:t>1. 本部门2019年度</w:t>
      </w:r>
      <w:r>
        <w:rPr>
          <w:rFonts w:hint="eastAsia" w:ascii="仿宋_GB2312" w:eastAsia="仿宋_GB2312" w:cs="DengXian-Regular"/>
          <w:color w:val="auto"/>
          <w:sz w:val="32"/>
          <w:szCs w:val="32"/>
          <w:lang w:eastAsia="zh-CN"/>
        </w:rPr>
        <w:t>“三公”经费、</w:t>
      </w:r>
      <w:r>
        <w:rPr>
          <w:rFonts w:hint="eastAsia" w:ascii="仿宋_GB2312" w:eastAsia="仿宋_GB2312" w:cs="DengXian-Regular"/>
          <w:color w:val="auto"/>
          <w:sz w:val="32"/>
          <w:szCs w:val="32"/>
        </w:rPr>
        <w:t>国有资本经营预算拨款</w:t>
      </w:r>
      <w:r>
        <w:rPr>
          <w:rFonts w:hint="eastAsia" w:ascii="仿宋_GB2312" w:eastAsia="仿宋_GB2312" w:cs="DengXian-Regular"/>
          <w:color w:val="auto"/>
          <w:sz w:val="32"/>
          <w:szCs w:val="32"/>
          <w:lang w:eastAsia="zh-CN"/>
        </w:rPr>
        <w:t>、政府性基金预算和政府采购</w:t>
      </w:r>
      <w:r>
        <w:rPr>
          <w:rFonts w:hint="eastAsia" w:ascii="仿宋_GB2312" w:eastAsia="仿宋_GB2312" w:cs="DengXian-Regular"/>
          <w:color w:val="auto"/>
          <w:sz w:val="32"/>
          <w:szCs w:val="32"/>
        </w:rPr>
        <w:t>无收支及结转结余情况，故</w:t>
      </w:r>
      <w:r>
        <w:rPr>
          <w:rFonts w:hint="eastAsia" w:ascii="仿宋_GB2312" w:eastAsia="仿宋_GB2312" w:cs="DengXian-Regular"/>
          <w:color w:val="auto"/>
          <w:sz w:val="32"/>
          <w:szCs w:val="32"/>
          <w:lang w:eastAsia="zh-CN"/>
        </w:rPr>
        <w:t>三公”经费、</w:t>
      </w:r>
      <w:r>
        <w:rPr>
          <w:rFonts w:hint="eastAsia" w:ascii="仿宋_GB2312" w:eastAsia="仿宋_GB2312" w:cs="DengXian-Regular"/>
          <w:color w:val="auto"/>
          <w:sz w:val="32"/>
          <w:szCs w:val="32"/>
        </w:rPr>
        <w:t>国有资本经营预算拨款</w:t>
      </w:r>
      <w:r>
        <w:rPr>
          <w:rFonts w:hint="eastAsia" w:ascii="仿宋_GB2312" w:eastAsia="仿宋_GB2312" w:cs="DengXian-Regular"/>
          <w:color w:val="auto"/>
          <w:sz w:val="32"/>
          <w:szCs w:val="32"/>
          <w:lang w:eastAsia="zh-CN"/>
        </w:rPr>
        <w:t>、政府性基金预算和政府采购</w:t>
      </w:r>
      <w:r>
        <w:rPr>
          <w:rFonts w:hint="eastAsia" w:ascii="仿宋_GB2312" w:eastAsia="仿宋_GB2312" w:cs="DengXian-Regular"/>
          <w:color w:val="auto"/>
          <w:sz w:val="32"/>
          <w:szCs w:val="32"/>
        </w:rPr>
        <w:t>表以空表列示。</w:t>
      </w:r>
    </w:p>
    <w:p>
      <w:pPr>
        <w:adjustRightInd w:val="0"/>
        <w:snapToGrid w:val="0"/>
        <w:spacing w:line="580" w:lineRule="exact"/>
        <w:ind w:firstLine="640" w:firstLineChars="200"/>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rPr>
          <w:rFonts w:ascii="黑体" w:hAnsi="黑体" w:eastAsia="黑体" w:cs="黑体"/>
          <w:sz w:val="56"/>
          <w:szCs w:val="72"/>
        </w:rPr>
        <w:sectPr>
          <w:headerReference r:id="rId15" w:type="first"/>
          <w:footerReference r:id="rId17" w:type="first"/>
          <w:headerReference r:id="rId14" w:type="default"/>
          <w:footerReference r:id="rId16"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70528"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70528;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3212]" o:title="5%" focussize="0,0" r:id="rId23"/>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18"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sectPr>
      <w:headerReference r:id="rId20" w:type="first"/>
      <w:headerReference r:id="rId19" w:type="default"/>
      <w:footerReference r:id="rId21"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7A"/>
    <w:family w:val="modern"/>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MS-UIGothic,Bold">
    <w:altName w:val="Malgun Gothic"/>
    <w:panose1 w:val="00000000000000000000"/>
    <w:charset w:val="81"/>
    <w:family w:val="auto"/>
    <w:pitch w:val="default"/>
    <w:sig w:usb0="00000000" w:usb1="0000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281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8281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384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8384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486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486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588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8588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896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896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691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8691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793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8793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0768"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680768;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179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8179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5648"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75648;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4624"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74624;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6672"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76672;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7696"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7696;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9744"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79744;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8720"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78720;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attachedTemplate r:id="rId1"/>
  <w:documentProtection w:enforcement="0"/>
  <w:defaultTabStop w:val="420"/>
  <w:drawingGridVerticalSpacing w:val="156"/>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U4YTljNDk4MDg5NmUxZjZhZTBiMWFlYWU2Zjc0YWMifQ=="/>
  </w:docVars>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5B00A30"/>
    <w:rsid w:val="077B2712"/>
    <w:rsid w:val="0B011416"/>
    <w:rsid w:val="14903DD9"/>
    <w:rsid w:val="15010C4F"/>
    <w:rsid w:val="2F6848F6"/>
    <w:rsid w:val="31C2036A"/>
    <w:rsid w:val="320D02A5"/>
    <w:rsid w:val="348E566F"/>
    <w:rsid w:val="3A226944"/>
    <w:rsid w:val="3AEE6A48"/>
    <w:rsid w:val="3C1620AA"/>
    <w:rsid w:val="3D8F080F"/>
    <w:rsid w:val="44CE1FA4"/>
    <w:rsid w:val="487F73ED"/>
    <w:rsid w:val="49C36AA1"/>
    <w:rsid w:val="4A347EAE"/>
    <w:rsid w:val="52600405"/>
    <w:rsid w:val="529B4319"/>
    <w:rsid w:val="56501710"/>
    <w:rsid w:val="57773DD6"/>
    <w:rsid w:val="578B79AB"/>
    <w:rsid w:val="5A535AD3"/>
    <w:rsid w:val="5CCD3FD5"/>
    <w:rsid w:val="61FA5F9D"/>
    <w:rsid w:val="64CD6910"/>
    <w:rsid w:val="6789158D"/>
    <w:rsid w:val="67D81BA4"/>
    <w:rsid w:val="6AAF1C96"/>
    <w:rsid w:val="748F1571"/>
    <w:rsid w:val="749C1AB9"/>
    <w:rsid w:val="75681757"/>
    <w:rsid w:val="75A346A8"/>
    <w:rsid w:val="79B9382C"/>
    <w:rsid w:val="7B043B76"/>
    <w:rsid w:val="7C041A6A"/>
    <w:rsid w:val="7C0A2E9D"/>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autoRedefine/>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0" Type="http://schemas.openxmlformats.org/officeDocument/2006/relationships/fontTable" Target="fontTable.xml"/><Relationship Id="rId3" Type="http://schemas.openxmlformats.org/officeDocument/2006/relationships/header" Target="header1.xml"/><Relationship Id="rId29" Type="http://schemas.openxmlformats.org/officeDocument/2006/relationships/customXml" Target="../customXml/item2.xml"/><Relationship Id="rId28" Type="http://schemas.openxmlformats.org/officeDocument/2006/relationships/numbering" Target="numbering.xml"/><Relationship Id="rId27" Type="http://schemas.openxmlformats.org/officeDocument/2006/relationships/customXml" Target="../customXml/item1.xml"/><Relationship Id="rId26" Type="http://schemas.openxmlformats.org/officeDocument/2006/relationships/chart" Target="charts/chart3.xml"/><Relationship Id="rId25" Type="http://schemas.openxmlformats.org/officeDocument/2006/relationships/chart" Target="charts/chart2.xml"/><Relationship Id="rId24" Type="http://schemas.openxmlformats.org/officeDocument/2006/relationships/chart" Target="charts/chart1.xml"/><Relationship Id="rId23" Type="http://schemas.openxmlformats.org/officeDocument/2006/relationships/image" Target="media/image1.bmp"/><Relationship Id="rId22" Type="http://schemas.openxmlformats.org/officeDocument/2006/relationships/theme" Target="theme/theme1.xml"/><Relationship Id="rId21" Type="http://schemas.openxmlformats.org/officeDocument/2006/relationships/footer" Target="footer7.xml"/><Relationship Id="rId20" Type="http://schemas.openxmlformats.org/officeDocument/2006/relationships/header" Target="header12.xml"/><Relationship Id="rId2" Type="http://schemas.openxmlformats.org/officeDocument/2006/relationships/settings" Target="settings.xml"/><Relationship Id="rId19" Type="http://schemas.openxmlformats.org/officeDocument/2006/relationships/header" Target="header11.xml"/><Relationship Id="rId18" Type="http://schemas.openxmlformats.org/officeDocument/2006/relationships/header" Target="header10.xml"/><Relationship Id="rId17" Type="http://schemas.openxmlformats.org/officeDocument/2006/relationships/footer" Target="footer6.xml"/><Relationship Id="rId16" Type="http://schemas.openxmlformats.org/officeDocument/2006/relationships/footer" Target="footer5.xml"/><Relationship Id="rId15" Type="http://schemas.openxmlformats.org/officeDocument/2006/relationships/header" Target="header9.xml"/><Relationship Id="rId14" Type="http://schemas.openxmlformats.org/officeDocument/2006/relationships/header" Target="header8.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C:\Users\Administrator\AppData\Local\Temp\wps.Jg3344\Chart2%20in%20Wps.xlsx"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00764525993883792"/>
          <c:y val="0.19405743423954"/>
          <c:w val="0.929043702628608"/>
          <c:h val="0.755979575382962"/>
        </c:manualLayout>
      </c:layout>
      <c:pie3DChart>
        <c:varyColors val="1"/>
        <c:ser>
          <c:idx val="0"/>
          <c:order val="0"/>
          <c:tx>
            <c:strRef>
              <c:f>Sheet1!$B$1</c:f>
              <c:strCache>
                <c:ptCount val="1"/>
                <c:pt idx="0">
                  <c:v>销售额</c:v>
                </c:pt>
              </c:strCache>
            </c:strRef>
          </c:tx>
          <c:spPr>
            <a:scene3d>
              <a:camera prst="orthographicFront"/>
              <a:lightRig rig="threePt" dir="t"/>
            </a:scene3d>
            <a:sp3d contourW="9525"/>
          </c:spPr>
          <c:explosion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lightRig rig="threePt" dir="t"/>
              </a:scene3d>
              <a:sp3d contourW="9525"/>
            </c:spPr>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lightRig rig="threePt" dir="t"/>
              </a:scene3d>
              <a:sp3d contourW="9525"/>
            </c:spPr>
          </c:dPt>
          <c:dLbls>
            <c:dLbl>
              <c:idx val="0"/>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rPr>
                        <a:latin typeface="Times New Roman" panose="02020603050405020304" charset="0"/>
                        <a:cs typeface="Times New Roman" panose="02020603050405020304" charset="0"/>
                      </a:rPr>
                      <a:t>基本支出75%</a:t>
                    </a:r>
                    <a:endParaRPr>
                      <a:latin typeface="Times New Roman" panose="02020603050405020304" charset="0"/>
                      <a:cs typeface="Times New Roman" panose="02020603050405020304" charset="0"/>
                    </a:endParaRPr>
                  </a:p>
                </c:rich>
              </c:tx>
              <c:dLblPos val="ctr"/>
              <c:showLegendKey val="0"/>
              <c:showVal val="0"/>
              <c:showCatName val="1"/>
              <c:showSerName val="0"/>
              <c:showPercent val="1"/>
              <c:showBubbleSize val="0"/>
              <c:separator>
</c:separator>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rPr>
                        <a:latin typeface="Times New Roman" panose="02020603050405020304" charset="0"/>
                        <a:cs typeface="Times New Roman" panose="02020603050405020304" charset="0"/>
                      </a:rPr>
                      <a:t>项目支出25%</a:t>
                    </a:r>
                    <a:endParaRPr>
                      <a:latin typeface="Times New Roman" panose="02020603050405020304" charset="0"/>
                      <a:cs typeface="Times New Roman" panose="02020603050405020304" charset="0"/>
                    </a:endParaRPr>
                  </a:p>
                </c:rich>
              </c:tx>
              <c:dLblPos val="ctr"/>
              <c:showLegendKey val="0"/>
              <c:showVal val="0"/>
              <c:showCatName val="1"/>
              <c:showSerName val="0"/>
              <c:showPercent val="1"/>
              <c:showBubbleSize val="0"/>
              <c:separator>
</c:separator>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ctr"/>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基本支出</c:v>
                </c:pt>
                <c:pt idx="1">
                  <c:v>项目支出</c:v>
                </c:pt>
              </c:strCache>
            </c:strRef>
          </c:cat>
          <c:val>
            <c:numRef>
              <c:f>Sheet1!$B$2:$B$3</c:f>
              <c:numCache>
                <c:formatCode>General</c:formatCode>
                <c:ptCount val="2"/>
                <c:pt idx="0">
                  <c:v>74.92</c:v>
                </c:pt>
                <c:pt idx="1">
                  <c:v>25.08</c:v>
                </c:pt>
              </c:numCache>
            </c:numRef>
          </c:val>
        </c:ser>
        <c:dLbls>
          <c:showLegendKey val="0"/>
          <c:showVal val="0"/>
          <c:showCatName val="1"/>
          <c:showSerName val="0"/>
          <c:showPercent val="0"/>
          <c:showBubbleSize val="0"/>
        </c:dLbls>
      </c:pie3D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no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Sheet1!$A$2</c:f>
              <c:strCache>
                <c:ptCount val="1"/>
                <c:pt idx="0">
                  <c:v>2019年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a:solidFill>
                        <a:schemeClr val="tx1">
                          <a:lumMod val="35000"/>
                          <a:lumOff val="65000"/>
                        </a:schemeClr>
                      </a:solidFill>
                    </a:ln>
                    <a:effectLst/>
                  </c:spPr>
                </c15:leaderLines>
              </c:ext>
            </c:extLst>
          </c:dLbls>
          <c:cat>
            <c:strRef>
              <c:f>Sheet1!$B$1:$C$1</c:f>
              <c:strCache>
                <c:ptCount val="2"/>
                <c:pt idx="0">
                  <c:v>财政拨款收入</c:v>
                </c:pt>
                <c:pt idx="1">
                  <c:v>财政拨款支出</c:v>
                </c:pt>
              </c:strCache>
            </c:strRef>
          </c:cat>
          <c:val>
            <c:numRef>
              <c:f>Sheet1!$B$2:$C$2</c:f>
              <c:numCache>
                <c:formatCode>General</c:formatCode>
                <c:ptCount val="2"/>
                <c:pt idx="0">
                  <c:v>766.18</c:v>
                </c:pt>
                <c:pt idx="1">
                  <c:v>756.58</c:v>
                </c:pt>
              </c:numCache>
            </c:numRef>
          </c:val>
        </c:ser>
        <c:ser>
          <c:idx val="1"/>
          <c:order val="1"/>
          <c:tx>
            <c:strRef>
              <c:f>Sheet1!$A$3</c:f>
              <c:strCache>
                <c:ptCount val="1"/>
                <c:pt idx="0">
                  <c:v>2018年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a:solidFill>
                        <a:schemeClr val="tx1">
                          <a:lumMod val="35000"/>
                          <a:lumOff val="65000"/>
                        </a:schemeClr>
                      </a:solidFill>
                    </a:ln>
                    <a:effectLst/>
                  </c:spPr>
                </c15:leaderLines>
              </c:ext>
            </c:extLst>
          </c:dLbls>
          <c:cat>
            <c:strRef>
              <c:f>Sheet1!$B$1:$C$1</c:f>
              <c:strCache>
                <c:ptCount val="2"/>
                <c:pt idx="0">
                  <c:v>财政拨款收入</c:v>
                </c:pt>
                <c:pt idx="1">
                  <c:v>财政拨款支出</c:v>
                </c:pt>
              </c:strCache>
            </c:strRef>
          </c:cat>
          <c:val>
            <c:numRef>
              <c:f>Sheet1!$B$3:$C$3</c:f>
              <c:numCache>
                <c:formatCode>General</c:formatCode>
                <c:ptCount val="2"/>
                <c:pt idx="0">
                  <c:v>574.42</c:v>
                </c:pt>
                <c:pt idx="1">
                  <c:v>574.42</c:v>
                </c:pt>
              </c:numCache>
            </c:numRef>
          </c:val>
        </c:ser>
        <c:dLbls>
          <c:showLegendKey val="0"/>
          <c:showVal val="1"/>
          <c:showCatName val="0"/>
          <c:showSerName val="0"/>
          <c:showPercent val="0"/>
          <c:showBubbleSize val="0"/>
        </c:dLbls>
        <c:gapWidth val="355"/>
        <c:overlap val="-70"/>
        <c:axId val="313487976"/>
        <c:axId val="673757852"/>
      </c:barChart>
      <c:catAx>
        <c:axId val="313487976"/>
        <c:scaling>
          <c:orientation val="minMax"/>
        </c:scaling>
        <c:delete val="0"/>
        <c:axPos val="b"/>
        <c:majorTickMark val="none"/>
        <c:minorTickMark val="none"/>
        <c:tickLblPos val="nextTo"/>
        <c:spPr>
          <a:noFill/>
          <a:ln w="9525" cap="flat" cmpd="sng" algn="ctr">
            <a:solidFill>
              <a:schemeClr val="tx1"/>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73757852"/>
        <c:crosses val="autoZero"/>
        <c:auto val="1"/>
        <c:lblAlgn val="ctr"/>
        <c:lblOffset val="100"/>
        <c:noMultiLvlLbl val="0"/>
      </c:catAx>
      <c:valAx>
        <c:axId val="673757852"/>
        <c:scaling>
          <c:orientation val="minMax"/>
        </c:scaling>
        <c:delete val="0"/>
        <c:axPos val="l"/>
        <c:numFmt formatCode="General" sourceLinked="1"/>
        <c:majorTickMark val="in"/>
        <c:minorTickMark val="none"/>
        <c:tickLblPos val="nextTo"/>
        <c:spPr>
          <a:noFill/>
          <a:ln>
            <a:solidFill>
              <a:schemeClr val="tx1"/>
            </a:solid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13487976"/>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bg1"/>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652043596730245"/>
          <c:y val="0.00617156963587739"/>
          <c:w val="0.890517711171662"/>
          <c:h val="0.756305286977988"/>
        </c:manualLayout>
      </c:layout>
      <c:barChart>
        <c:barDir val="col"/>
        <c:grouping val="clustered"/>
        <c:varyColors val="0"/>
        <c:ser>
          <c:idx val="0"/>
          <c:order val="0"/>
          <c:tx>
            <c:strRef>
              <c:f>Sheet1!$A$2</c:f>
              <c:strCache>
                <c:ptCount val="1"/>
                <c:pt idx="0">
                  <c:v>2019年预算</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Sheet1!$B$1:$C$1</c:f>
              <c:strCache>
                <c:ptCount val="2"/>
                <c:pt idx="0">
                  <c:v>收入</c:v>
                </c:pt>
                <c:pt idx="1">
                  <c:v>支出</c:v>
                </c:pt>
              </c:strCache>
            </c:strRef>
          </c:cat>
          <c:val>
            <c:numRef>
              <c:f>Sheet1!$B$2:$C$2</c:f>
              <c:numCache>
                <c:formatCode>General</c:formatCode>
                <c:ptCount val="2"/>
                <c:pt idx="0">
                  <c:v>720.13</c:v>
                </c:pt>
                <c:pt idx="1">
                  <c:v>720.13</c:v>
                </c:pt>
              </c:numCache>
            </c:numRef>
          </c:val>
        </c:ser>
        <c:ser>
          <c:idx val="1"/>
          <c:order val="1"/>
          <c:tx>
            <c:strRef>
              <c:f>Sheet1!$A$3</c:f>
              <c:strCache>
                <c:ptCount val="1"/>
                <c:pt idx="0">
                  <c:v>2019年决算</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Sheet1!$B$1:$C$1</c:f>
              <c:strCache>
                <c:ptCount val="2"/>
                <c:pt idx="0">
                  <c:v>收入</c:v>
                </c:pt>
                <c:pt idx="1">
                  <c:v>支出</c:v>
                </c:pt>
              </c:strCache>
            </c:strRef>
          </c:cat>
          <c:val>
            <c:numRef>
              <c:f>Sheet1!$B$3:$C$3</c:f>
              <c:numCache>
                <c:formatCode>General</c:formatCode>
                <c:ptCount val="2"/>
                <c:pt idx="0">
                  <c:v>766.18</c:v>
                </c:pt>
                <c:pt idx="1">
                  <c:v>756.58</c:v>
                </c:pt>
              </c:numCache>
            </c:numRef>
          </c:val>
        </c:ser>
        <c:dLbls>
          <c:showLegendKey val="0"/>
          <c:showVal val="1"/>
          <c:showCatName val="0"/>
          <c:showSerName val="0"/>
          <c:showPercent val="0"/>
          <c:showBubbleSize val="0"/>
        </c:dLbls>
        <c:gapWidth val="355"/>
        <c:overlap val="-70"/>
        <c:axId val="541127657"/>
        <c:axId val="328762278"/>
      </c:barChart>
      <c:catAx>
        <c:axId val="541127657"/>
        <c:scaling>
          <c:orientation val="minMax"/>
        </c:scaling>
        <c:delete val="0"/>
        <c:axPos val="b"/>
        <c:majorTickMark val="none"/>
        <c:minorTickMark val="none"/>
        <c:tickLblPos val="nextTo"/>
        <c:spPr>
          <a:noFill/>
          <a:ln w="9525" cap="flat" cmpd="sng" algn="ctr">
            <a:solidFill>
              <a:schemeClr val="tx1"/>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28762278"/>
        <c:crosses val="autoZero"/>
        <c:auto val="1"/>
        <c:lblAlgn val="ctr"/>
        <c:lblOffset val="100"/>
        <c:noMultiLvlLbl val="0"/>
      </c:catAx>
      <c:valAx>
        <c:axId val="328762278"/>
        <c:scaling>
          <c:orientation val="minMax"/>
          <c:min val="500"/>
        </c:scaling>
        <c:delete val="0"/>
        <c:axPos val="l"/>
        <c:numFmt formatCode="General" sourceLinked="1"/>
        <c:majorTickMark val="in"/>
        <c:minorTickMark val="none"/>
        <c:tickLblPos val="nextTo"/>
        <c:spPr>
          <a:noFill/>
          <a:ln>
            <a:solidFill>
              <a:schemeClr val="tx1"/>
            </a:solid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41127657"/>
        <c:crosses val="autoZero"/>
        <c:crossBetween val="between"/>
        <c:majorUnit val="50"/>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no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0">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
  <cs:dataPoint3D>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tx1">
                <a:lumMod val="5000"/>
                <a:lumOff val="95000"/>
              </a:schemeClr>
            </a:gs>
            <a:gs pos="0">
              <a:schemeClr val="tx1">
                <a:lumMod val="25000"/>
                <a:lumOff val="75000"/>
              </a:schemeClr>
            </a:gs>
          </a:gsLst>
          <a:lin ang="5400000" scaled="0"/>
        </a:gradFill>
        <a:round/>
      </a:ln>
    </cs:spPr>
  </cs:gridlineMajor>
  <cs:gridlineMinor>
    <cs:lnRef idx="0"/>
    <cs:fillRef idx="0"/>
    <cs:effectRef idx="0"/>
    <cs:fontRef idx="minor">
      <a:schemeClr val="dk1"/>
    </cs:fontRef>
    <cs:spPr>
      <a:ln w="9525" cap="flat" cmpd="sng" algn="ctr">
        <a:gradFill>
          <a:gsLst>
            <a:gs pos="100000">
              <a:schemeClr val="tx1">
                <a:lumMod val="5000"/>
                <a:lumOff val="95000"/>
              </a:schemeClr>
            </a:gs>
            <a:gs pos="0">
              <a:schemeClr val="tx1">
                <a:lumMod val="25000"/>
                <a:lumOff val="75000"/>
              </a:schemeClr>
            </a:gs>
          </a:gsLst>
          <a:lin ang="5400000" scaled="0"/>
        </a:gra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10">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
  <cs:dataPoint3D>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tx1">
                <a:lumMod val="5000"/>
                <a:lumOff val="95000"/>
              </a:schemeClr>
            </a:gs>
            <a:gs pos="0">
              <a:schemeClr val="tx1">
                <a:lumMod val="25000"/>
                <a:lumOff val="75000"/>
              </a:schemeClr>
            </a:gs>
          </a:gsLst>
          <a:lin ang="5400000" scaled="0"/>
        </a:gradFill>
        <a:round/>
      </a:ln>
    </cs:spPr>
  </cs:gridlineMajor>
  <cs:gridlineMinor>
    <cs:lnRef idx="0"/>
    <cs:fillRef idx="0"/>
    <cs:effectRef idx="0"/>
    <cs:fontRef idx="minor">
      <a:schemeClr val="dk1"/>
    </cs:fontRef>
    <cs:spPr>
      <a:ln w="9525" cap="flat" cmpd="sng" algn="ctr">
        <a:gradFill>
          <a:gsLst>
            <a:gs pos="100000">
              <a:schemeClr val="tx1">
                <a:lumMod val="5000"/>
                <a:lumOff val="95000"/>
              </a:schemeClr>
            </a:gs>
            <a:gs pos="0">
              <a:schemeClr val="tx1">
                <a:lumMod val="25000"/>
                <a:lumOff val="75000"/>
              </a:schemeClr>
            </a:gs>
          </a:gsLst>
          <a:lin ang="5400000" scaled="0"/>
        </a:gra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345">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32</Pages>
  <Words>1662</Words>
  <Characters>9479</Characters>
  <Lines>78</Lines>
  <Paragraphs>22</Paragraphs>
  <TotalTime>8</TotalTime>
  <ScaleCrop>false</ScaleCrop>
  <LinksUpToDate>false</LinksUpToDate>
  <CharactersWithSpaces>11119</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2020-07-30T02:37:00Z</cp:lastPrinted>
  <dcterms:modified xsi:type="dcterms:W3CDTF">2024-02-23T05:47:51Z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49E603E78B7540F9BC52114A8C629C1E_12</vt:lpwstr>
  </property>
</Properties>
</file>