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color w:val="auto"/>
          <w:sz w:val="44"/>
          <w:szCs w:val="44"/>
          <w:lang w:val="en-US" w:eastAsia="zh-CN"/>
        </w:rPr>
        <w:t>石家庄市藁城区自然资源和规划局</w:t>
      </w: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sz w:val="32"/>
          <w:szCs w:val="32"/>
          <w:lang w:eastAsia="zh-CN"/>
        </w:rPr>
        <w:t>石家庄</w:t>
      </w:r>
      <w:r>
        <w:rPr>
          <w:rFonts w:hint="eastAsia" w:ascii="Times New Roman" w:hAnsi="Times New Roman" w:eastAsia="仿宋" w:cs="Times New Roman"/>
          <w:b w:val="0"/>
          <w:bCs w:val="0"/>
          <w:color w:val="auto"/>
          <w:sz w:val="32"/>
          <w:szCs w:val="32"/>
          <w:lang w:eastAsia="zh-CN"/>
        </w:rPr>
        <w:t>市</w:t>
      </w:r>
      <w:r>
        <w:rPr>
          <w:rFonts w:hint="eastAsia" w:ascii="Times New Roman" w:hAnsi="Times New Roman" w:eastAsia="仿宋" w:cs="Times New Roman"/>
          <w:b w:val="0"/>
          <w:bCs w:val="0"/>
          <w:color w:val="auto"/>
          <w:sz w:val="32"/>
          <w:szCs w:val="32"/>
          <w:lang w:val="en-US" w:eastAsia="zh-CN"/>
        </w:rPr>
        <w:t>藁城区自然资源和规划局</w:t>
      </w:r>
      <w:r>
        <w:rPr>
          <w:rFonts w:hint="eastAsia" w:ascii="Times New Roman" w:hAnsi="Times New Roman" w:eastAsia="仿宋" w:cs="Times New Roman"/>
          <w:sz w:val="32"/>
          <w:szCs w:val="32"/>
        </w:rPr>
        <w:t>2020年部门预算公开如下：</w:t>
      </w:r>
    </w:p>
    <w:p>
      <w:pPr>
        <w:ind w:firstLine="640"/>
        <w:rPr>
          <w:rFonts w:hint="default" w:ascii="黑体" w:hAnsi="黑体" w:eastAsia="黑体" w:cs="Times New Roman"/>
          <w:sz w:val="32"/>
          <w:szCs w:val="32"/>
          <w:lang w:val="en-US" w:eastAsia="zh-CN"/>
        </w:rPr>
      </w:pPr>
      <w:r>
        <w:rPr>
          <w:rFonts w:hint="eastAsia" w:ascii="黑体" w:hAnsi="黑体" w:eastAsia="黑体" w:cs="Times New Roman"/>
          <w:sz w:val="32"/>
          <w:szCs w:val="32"/>
        </w:rPr>
        <w:t>一、部门职责及机构设置情况</w:t>
      </w:r>
    </w:p>
    <w:p>
      <w:pPr>
        <w:ind w:firstLine="640"/>
        <w:rPr>
          <w:rFonts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、加紧对全区农村宅基地和农村集体建设用地的调查、确权及数据入库工作。</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、完成2万亩高标准基本农田建设任务，提高耕地质量等级增加产能，满足占补平衡的需要。</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、按省厅、市局要求的时限上报、盯办，为项目的早日开工建设提供保障。</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、编制20</w:t>
      </w:r>
      <w:r>
        <w:rPr>
          <w:rFonts w:hint="eastAsia" w:ascii="仿宋" w:hAnsi="仿宋" w:eastAsia="仿宋" w:cs="仿宋"/>
          <w:sz w:val="32"/>
          <w:szCs w:val="32"/>
          <w:lang w:val="en-US" w:eastAsia="zh-CN"/>
        </w:rPr>
        <w:t>20</w:t>
      </w:r>
      <w:r>
        <w:rPr>
          <w:rFonts w:hint="eastAsia" w:ascii="仿宋" w:hAnsi="仿宋" w:eastAsia="仿宋" w:cs="仿宋"/>
          <w:sz w:val="32"/>
          <w:szCs w:val="32"/>
        </w:rPr>
        <w:t>年土地收储计划，严格按计划收储土地，盘活城区存量土地，促进城市健康发展。</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、科学编制20</w:t>
      </w:r>
      <w:r>
        <w:rPr>
          <w:rFonts w:hint="eastAsia" w:ascii="仿宋" w:hAnsi="仿宋" w:eastAsia="仿宋" w:cs="仿宋"/>
          <w:sz w:val="32"/>
          <w:szCs w:val="32"/>
          <w:lang w:val="en-US" w:eastAsia="zh-CN"/>
        </w:rPr>
        <w:t>20</w:t>
      </w:r>
      <w:r>
        <w:rPr>
          <w:rFonts w:hint="eastAsia" w:ascii="仿宋" w:hAnsi="仿宋" w:eastAsia="仿宋" w:cs="仿宋"/>
          <w:sz w:val="32"/>
          <w:szCs w:val="32"/>
        </w:rPr>
        <w:t>年供地计划，加快国有建设用地供地力度。</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、对违法用地，严格按照“六个到位”的要求，坚决查处到位。</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、力争做到卫片执法监督检查“零约谈”、“零问责”的目标。</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rPr>
        <w:t>、严格执行关于维稳工作的各项规定，确保不发生各类非正常信访案件。</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val="en-US" w:eastAsia="zh-CN"/>
        </w:rPr>
        <w:t>9</w:t>
      </w:r>
      <w:r>
        <w:rPr>
          <w:rFonts w:hint="eastAsia" w:ascii="仿宋" w:hAnsi="仿宋" w:eastAsia="仿宋" w:cs="仿宋"/>
          <w:sz w:val="32"/>
          <w:szCs w:val="32"/>
        </w:rPr>
        <w:t>、严格规划管理，提高规划刚性。一是划定城市生态红线和开发边界，突出生态优先的城市发展底线，优化城乡空间资源要素配置，保护好城市生态安全格局，加强边界管控，合理控制城市发展规模。二是总规完成后启动控规的前期评估梳理和编制，与总规做到无缝衔接。</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val="en-US" w:eastAsia="zh-CN"/>
        </w:rPr>
        <w:t>10</w:t>
      </w:r>
      <w:r>
        <w:rPr>
          <w:rFonts w:hint="eastAsia" w:ascii="仿宋" w:hAnsi="仿宋" w:eastAsia="仿宋" w:cs="仿宋"/>
          <w:sz w:val="32"/>
          <w:szCs w:val="32"/>
        </w:rPr>
        <w:t>、加强规划指导，提升县城建设水平。进一步加强对规划执行情况的督导检查。加强对城乡规划法定程序、强制性内容执行情况的检查，强化城乡规划违法建设治理，完善违法建设查处长效机制，对新增城乡规划违法建设“零容忍”。</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val="en-US" w:eastAsia="zh-CN"/>
        </w:rPr>
        <w:t>11</w:t>
      </w:r>
      <w:r>
        <w:rPr>
          <w:rFonts w:hint="eastAsia" w:ascii="仿宋" w:hAnsi="仿宋" w:eastAsia="仿宋" w:cs="仿宋"/>
          <w:sz w:val="32"/>
          <w:szCs w:val="32"/>
        </w:rPr>
        <w:t>、负责林业及其生态环境建设、森林资源保护、国土绿化和林业产业发展的规定和方法，并组织实施监督和检查。</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val="en-US" w:eastAsia="zh-CN"/>
        </w:rPr>
        <w:t>12</w:t>
      </w:r>
      <w:r>
        <w:rPr>
          <w:rFonts w:hint="eastAsia" w:ascii="仿宋" w:hAnsi="仿宋" w:eastAsia="仿宋" w:cs="仿宋"/>
          <w:sz w:val="32"/>
          <w:szCs w:val="32"/>
        </w:rPr>
        <w:t>、负责组织指导全市林业及其生态建设的科技创新和技术示范推广，为林业生态发展和林产品生产提供公共支撑。</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val="en-US" w:eastAsia="zh-CN"/>
        </w:rPr>
        <w:t>13</w:t>
      </w:r>
      <w:r>
        <w:rPr>
          <w:rFonts w:hint="eastAsia" w:ascii="仿宋" w:hAnsi="仿宋" w:eastAsia="仿宋" w:cs="仿宋"/>
          <w:sz w:val="32"/>
          <w:szCs w:val="32"/>
        </w:rPr>
        <w:t>、负责苗木的标准化生产和基地建设。</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lang w:val="en-US" w:eastAsia="zh-CN"/>
        </w:rPr>
        <w:t>14</w:t>
      </w:r>
      <w:r>
        <w:rPr>
          <w:rFonts w:hint="eastAsia" w:ascii="仿宋" w:hAnsi="仿宋" w:eastAsia="仿宋" w:cs="仿宋"/>
          <w:sz w:val="32"/>
          <w:szCs w:val="32"/>
        </w:rPr>
        <w:t>、负责林业政务管理，依法依规履行机关日常管理工作。</w:t>
      </w: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6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24"/>
        <w:gridCol w:w="1303"/>
        <w:gridCol w:w="1248"/>
        <w:gridCol w:w="27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tblHeader/>
          <w:jc w:val="center"/>
        </w:trPr>
        <w:tc>
          <w:tcPr>
            <w:tcW w:w="4424" w:type="dxa"/>
            <w:vAlign w:val="center"/>
          </w:tcPr>
          <w:p>
            <w:pPr>
              <w:jc w:val="center"/>
              <w:rPr>
                <w:rFonts w:ascii="黑体" w:hAnsi="黑体" w:eastAsia="黑体"/>
                <w:b/>
                <w:sz w:val="24"/>
              </w:rPr>
            </w:pPr>
            <w:r>
              <w:rPr>
                <w:rFonts w:hint="eastAsia" w:ascii="黑体" w:hAnsi="黑体" w:eastAsia="黑体"/>
                <w:b/>
                <w:sz w:val="24"/>
              </w:rPr>
              <w:t>单位名称</w:t>
            </w:r>
          </w:p>
        </w:tc>
        <w:tc>
          <w:tcPr>
            <w:tcW w:w="1303" w:type="dxa"/>
            <w:vAlign w:val="center"/>
          </w:tcPr>
          <w:p>
            <w:pPr>
              <w:jc w:val="center"/>
              <w:rPr>
                <w:rFonts w:ascii="黑体" w:hAnsi="黑体" w:eastAsia="黑体"/>
                <w:b/>
                <w:sz w:val="24"/>
              </w:rPr>
            </w:pPr>
            <w:r>
              <w:rPr>
                <w:rFonts w:hint="eastAsia" w:ascii="黑体" w:hAnsi="黑体" w:eastAsia="黑体"/>
                <w:b/>
                <w:sz w:val="24"/>
              </w:rPr>
              <w:t>单位性质</w:t>
            </w:r>
          </w:p>
        </w:tc>
        <w:tc>
          <w:tcPr>
            <w:tcW w:w="1248" w:type="dxa"/>
            <w:vAlign w:val="center"/>
          </w:tcPr>
          <w:p>
            <w:pPr>
              <w:jc w:val="center"/>
              <w:rPr>
                <w:rFonts w:ascii="黑体" w:hAnsi="黑体" w:eastAsia="黑体"/>
                <w:b/>
                <w:sz w:val="24"/>
              </w:rPr>
            </w:pPr>
            <w:r>
              <w:rPr>
                <w:rFonts w:hint="eastAsia" w:ascii="黑体" w:hAnsi="黑体" w:eastAsia="黑体"/>
                <w:b/>
                <w:sz w:val="24"/>
              </w:rPr>
              <w:t>单位规格</w:t>
            </w:r>
          </w:p>
        </w:tc>
        <w:tc>
          <w:tcPr>
            <w:tcW w:w="2721" w:type="dxa"/>
            <w:vAlign w:val="center"/>
          </w:tcPr>
          <w:p>
            <w:pPr>
              <w:jc w:val="center"/>
              <w:rPr>
                <w:rFonts w:ascii="黑体" w:hAnsi="黑体" w:eastAsia="黑体"/>
                <w:b/>
                <w:sz w:val="24"/>
              </w:rPr>
            </w:pPr>
            <w:r>
              <w:rPr>
                <w:rFonts w:hint="eastAsia" w:ascii="黑体" w:hAnsi="黑体" w:eastAsia="黑体"/>
                <w:b/>
                <w:sz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jc w:val="center"/>
        </w:trPr>
        <w:tc>
          <w:tcPr>
            <w:tcW w:w="4424" w:type="dxa"/>
            <w:vAlign w:val="top"/>
          </w:tcPr>
          <w:p>
            <w:pPr>
              <w:autoSpaceDN w:val="0"/>
              <w:jc w:val="left"/>
              <w:textAlignment w:val="center"/>
              <w:rPr>
                <w:rFonts w:hint="eastAsia" w:ascii="宋体" w:hAnsi="宋体"/>
                <w:color w:val="000000"/>
                <w:sz w:val="18"/>
                <w:szCs w:val="18"/>
                <w:lang w:eastAsia="zh-CN"/>
              </w:rPr>
            </w:pPr>
            <w:r>
              <w:rPr>
                <w:rFonts w:hint="eastAsia" w:ascii="宋体" w:hAnsi="宋体"/>
                <w:color w:val="000000"/>
                <w:sz w:val="18"/>
                <w:szCs w:val="18"/>
              </w:rPr>
              <w:t>石家庄市藁城区</w:t>
            </w:r>
            <w:r>
              <w:rPr>
                <w:rFonts w:hint="eastAsia" w:ascii="宋体" w:hAnsi="宋体"/>
                <w:color w:val="000000"/>
                <w:sz w:val="18"/>
                <w:szCs w:val="18"/>
                <w:lang w:eastAsia="zh-CN"/>
              </w:rPr>
              <w:t>自然资源和规划局</w:t>
            </w:r>
          </w:p>
        </w:tc>
        <w:tc>
          <w:tcPr>
            <w:tcW w:w="1303" w:type="dxa"/>
            <w:vAlign w:val="top"/>
          </w:tcPr>
          <w:p>
            <w:pPr>
              <w:autoSpaceDN w:val="0"/>
              <w:ind w:left="0" w:leftChars="0" w:right="0" w:rightChars="0" w:firstLine="0" w:firstLineChars="0"/>
              <w:jc w:val="center"/>
              <w:textAlignment w:val="center"/>
              <w:rPr>
                <w:rFonts w:hint="eastAsia" w:ascii="宋体" w:hAnsi="宋体"/>
                <w:color w:val="000000"/>
                <w:sz w:val="18"/>
                <w:szCs w:val="18"/>
              </w:rPr>
            </w:pPr>
            <w:r>
              <w:rPr>
                <w:rFonts w:hint="eastAsia" w:ascii="宋体" w:hAnsi="宋体"/>
                <w:color w:val="000000"/>
                <w:sz w:val="18"/>
                <w:szCs w:val="18"/>
              </w:rPr>
              <w:t>行政</w:t>
            </w:r>
          </w:p>
        </w:tc>
        <w:tc>
          <w:tcPr>
            <w:tcW w:w="1248" w:type="dxa"/>
            <w:vAlign w:val="top"/>
          </w:tcPr>
          <w:p>
            <w:pPr>
              <w:autoSpaceDN w:val="0"/>
              <w:ind w:left="0" w:leftChars="0" w:right="0" w:rightChars="0" w:firstLine="0" w:firstLineChars="0"/>
              <w:jc w:val="center"/>
              <w:textAlignment w:val="center"/>
              <w:rPr>
                <w:rFonts w:hint="eastAsia" w:ascii="宋体" w:hAnsi="宋体"/>
                <w:color w:val="000000"/>
                <w:sz w:val="18"/>
                <w:szCs w:val="18"/>
              </w:rPr>
            </w:pPr>
            <w:r>
              <w:rPr>
                <w:rFonts w:hint="eastAsia" w:ascii="宋体" w:hAnsi="宋体"/>
                <w:color w:val="000000"/>
                <w:sz w:val="18"/>
                <w:szCs w:val="18"/>
              </w:rPr>
              <w:t>正科级</w:t>
            </w:r>
          </w:p>
        </w:tc>
        <w:tc>
          <w:tcPr>
            <w:tcW w:w="2721" w:type="dxa"/>
            <w:vAlign w:val="top"/>
          </w:tcPr>
          <w:p>
            <w:pPr>
              <w:autoSpaceDN w:val="0"/>
              <w:jc w:val="left"/>
              <w:textAlignment w:val="center"/>
              <w:rPr>
                <w:rFonts w:hint="eastAsia" w:ascii="宋体" w:hAnsi="宋体"/>
                <w:color w:val="000000"/>
                <w:sz w:val="18"/>
                <w:szCs w:val="18"/>
              </w:rPr>
            </w:pPr>
            <w:r>
              <w:rPr>
                <w:rFonts w:hint="eastAsia" w:ascii="宋体" w:hAnsi="宋体"/>
                <w:color w:val="000000"/>
                <w:sz w:val="18"/>
                <w:szCs w:val="18"/>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jc w:val="center"/>
        </w:trPr>
        <w:tc>
          <w:tcPr>
            <w:tcW w:w="4424" w:type="dxa"/>
            <w:vAlign w:val="center"/>
          </w:tcPr>
          <w:p>
            <w:pPr>
              <w:autoSpaceDN w:val="0"/>
              <w:jc w:val="left"/>
              <w:textAlignment w:val="center"/>
              <w:rPr>
                <w:rFonts w:hint="eastAsia" w:ascii="宋体" w:hAnsi="宋体"/>
                <w:color w:val="000000"/>
                <w:sz w:val="18"/>
                <w:szCs w:val="18"/>
              </w:rPr>
            </w:pPr>
            <w:r>
              <w:rPr>
                <w:rFonts w:ascii="宋体" w:hAnsi="宋体"/>
                <w:color w:val="000000"/>
                <w:sz w:val="18"/>
                <w:szCs w:val="18"/>
              </w:rPr>
              <w:t>石家庄市藁城区不动产登记中心</w:t>
            </w:r>
          </w:p>
        </w:tc>
        <w:tc>
          <w:tcPr>
            <w:tcW w:w="1303" w:type="dxa"/>
            <w:vAlign w:val="top"/>
          </w:tcPr>
          <w:p>
            <w:pPr>
              <w:autoSpaceDN w:val="0"/>
              <w:ind w:left="0" w:leftChars="0" w:right="0" w:rightChars="0" w:firstLine="0" w:firstLineChars="0"/>
              <w:jc w:val="center"/>
              <w:textAlignment w:val="center"/>
              <w:rPr>
                <w:rFonts w:hint="eastAsia" w:ascii="宋体" w:hAnsi="宋体"/>
                <w:color w:val="000000"/>
                <w:sz w:val="18"/>
                <w:szCs w:val="18"/>
              </w:rPr>
            </w:pPr>
            <w:r>
              <w:rPr>
                <w:rFonts w:hint="eastAsia" w:ascii="宋体" w:hAnsi="宋体"/>
                <w:color w:val="000000"/>
                <w:sz w:val="18"/>
                <w:szCs w:val="18"/>
              </w:rPr>
              <w:t>事业</w:t>
            </w:r>
          </w:p>
        </w:tc>
        <w:tc>
          <w:tcPr>
            <w:tcW w:w="1248" w:type="dxa"/>
            <w:vAlign w:val="top"/>
          </w:tcPr>
          <w:p>
            <w:pPr>
              <w:autoSpaceDN w:val="0"/>
              <w:ind w:left="0" w:leftChars="0" w:right="0" w:rightChars="0" w:firstLine="0" w:firstLineChars="0"/>
              <w:jc w:val="center"/>
              <w:textAlignment w:val="center"/>
              <w:rPr>
                <w:rFonts w:hint="eastAsia" w:ascii="宋体" w:hAnsi="宋体"/>
                <w:color w:val="000000"/>
                <w:sz w:val="18"/>
                <w:szCs w:val="18"/>
              </w:rPr>
            </w:pPr>
            <w:r>
              <w:rPr>
                <w:rFonts w:hint="eastAsia" w:ascii="宋体" w:hAnsi="宋体"/>
                <w:color w:val="000000"/>
                <w:sz w:val="18"/>
                <w:szCs w:val="18"/>
              </w:rPr>
              <w:t>副科级</w:t>
            </w:r>
          </w:p>
        </w:tc>
        <w:tc>
          <w:tcPr>
            <w:tcW w:w="2721" w:type="dxa"/>
            <w:vAlign w:val="top"/>
          </w:tcPr>
          <w:p>
            <w:pPr>
              <w:autoSpaceDN w:val="0"/>
              <w:jc w:val="left"/>
              <w:textAlignment w:val="center"/>
              <w:rPr>
                <w:rFonts w:hint="eastAsia" w:ascii="宋体" w:hAnsi="宋体"/>
                <w:color w:val="000000"/>
                <w:sz w:val="18"/>
                <w:szCs w:val="18"/>
              </w:rPr>
            </w:pPr>
            <w:r>
              <w:rPr>
                <w:rFonts w:hint="eastAsia" w:ascii="宋体" w:hAnsi="宋体"/>
                <w:color w:val="000000"/>
                <w:sz w:val="18"/>
                <w:szCs w:val="1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jc w:val="center"/>
        </w:trPr>
        <w:tc>
          <w:tcPr>
            <w:tcW w:w="4424" w:type="dxa"/>
            <w:vAlign w:val="top"/>
          </w:tcPr>
          <w:p>
            <w:pPr>
              <w:jc w:val="left"/>
              <w:rPr>
                <w:rFonts w:hint="eastAsia" w:ascii="宋体" w:hAnsi="宋体"/>
                <w:sz w:val="18"/>
              </w:rPr>
            </w:pPr>
            <w:r>
              <w:rPr>
                <w:rFonts w:hint="eastAsia" w:ascii="宋体" w:hAnsi="宋体"/>
                <w:sz w:val="18"/>
              </w:rPr>
              <w:t>石家庄市藁城区建设用地服务中心</w:t>
            </w:r>
          </w:p>
        </w:tc>
        <w:tc>
          <w:tcPr>
            <w:tcW w:w="1303" w:type="dxa"/>
            <w:vAlign w:val="top"/>
          </w:tcPr>
          <w:p>
            <w:pPr>
              <w:ind w:left="0" w:leftChars="0" w:right="0" w:rightChars="0" w:firstLine="0" w:firstLineChars="0"/>
              <w:jc w:val="center"/>
              <w:rPr>
                <w:rFonts w:hint="eastAsia" w:ascii="宋体" w:hAnsi="宋体"/>
                <w:sz w:val="18"/>
              </w:rPr>
            </w:pPr>
            <w:r>
              <w:rPr>
                <w:rFonts w:hint="eastAsia" w:ascii="宋体" w:hAnsi="宋体"/>
                <w:sz w:val="18"/>
              </w:rPr>
              <w:t>事业</w:t>
            </w:r>
          </w:p>
        </w:tc>
        <w:tc>
          <w:tcPr>
            <w:tcW w:w="1248" w:type="dxa"/>
            <w:vAlign w:val="top"/>
          </w:tcPr>
          <w:p>
            <w:pPr>
              <w:ind w:left="0" w:leftChars="0" w:right="0" w:rightChars="0" w:firstLine="0" w:firstLineChars="0"/>
              <w:jc w:val="center"/>
              <w:rPr>
                <w:rFonts w:hint="eastAsia" w:ascii="宋体" w:hAnsi="宋体"/>
                <w:sz w:val="18"/>
              </w:rPr>
            </w:pPr>
            <w:r>
              <w:rPr>
                <w:rFonts w:hint="eastAsia" w:ascii="宋体" w:hAnsi="宋体"/>
                <w:sz w:val="18"/>
              </w:rPr>
              <w:t>股级</w:t>
            </w:r>
          </w:p>
        </w:tc>
        <w:tc>
          <w:tcPr>
            <w:tcW w:w="2721" w:type="dxa"/>
            <w:vAlign w:val="top"/>
          </w:tcPr>
          <w:p>
            <w:pPr>
              <w:jc w:val="left"/>
              <w:rPr>
                <w:rFonts w:hint="eastAsia" w:ascii="宋体" w:hAnsi="宋体"/>
                <w:sz w:val="18"/>
              </w:rPr>
            </w:pPr>
            <w:r>
              <w:rPr>
                <w:rFonts w:hint="eastAsia" w:ascii="宋体" w:hAnsi="宋体"/>
                <w:sz w:val="1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jc w:val="center"/>
        </w:trPr>
        <w:tc>
          <w:tcPr>
            <w:tcW w:w="4424" w:type="dxa"/>
            <w:vAlign w:val="top"/>
          </w:tcPr>
          <w:p>
            <w:pPr>
              <w:jc w:val="left"/>
              <w:rPr>
                <w:rFonts w:hint="eastAsia" w:ascii="宋体" w:hAnsi="宋体"/>
                <w:sz w:val="18"/>
              </w:rPr>
            </w:pPr>
            <w:r>
              <w:rPr>
                <w:rFonts w:hint="eastAsia" w:ascii="宋体" w:hAnsi="宋体"/>
                <w:sz w:val="18"/>
                <w:lang w:val="en-US" w:eastAsia="zh-CN"/>
              </w:rPr>
              <w:t>石家庄市藁城区林业工作站</w:t>
            </w:r>
          </w:p>
        </w:tc>
        <w:tc>
          <w:tcPr>
            <w:tcW w:w="1303" w:type="dxa"/>
            <w:vAlign w:val="top"/>
          </w:tcPr>
          <w:p>
            <w:pPr>
              <w:ind w:left="0" w:leftChars="0" w:right="0" w:rightChars="0" w:firstLine="0" w:firstLineChars="0"/>
              <w:jc w:val="center"/>
              <w:rPr>
                <w:rFonts w:hint="eastAsia" w:ascii="宋体" w:hAnsi="宋体" w:eastAsia="宋体"/>
                <w:sz w:val="18"/>
                <w:lang w:eastAsia="zh-CN"/>
              </w:rPr>
            </w:pPr>
            <w:r>
              <w:rPr>
                <w:rFonts w:hint="eastAsia" w:ascii="宋体" w:hAnsi="宋体"/>
                <w:sz w:val="18"/>
                <w:lang w:eastAsia="zh-CN"/>
              </w:rPr>
              <w:t>事业</w:t>
            </w:r>
          </w:p>
        </w:tc>
        <w:tc>
          <w:tcPr>
            <w:tcW w:w="1248" w:type="dxa"/>
            <w:vAlign w:val="top"/>
          </w:tcPr>
          <w:p>
            <w:pPr>
              <w:ind w:left="0" w:leftChars="0" w:right="0" w:rightChars="0" w:firstLine="0" w:firstLineChars="0"/>
              <w:jc w:val="center"/>
              <w:rPr>
                <w:rFonts w:hint="eastAsia" w:ascii="宋体" w:hAnsi="宋体" w:eastAsia="宋体"/>
                <w:sz w:val="18"/>
                <w:highlight w:val="red"/>
                <w:lang w:eastAsia="zh-CN"/>
              </w:rPr>
            </w:pPr>
            <w:r>
              <w:rPr>
                <w:rFonts w:hint="eastAsia" w:ascii="宋体" w:hAnsi="宋体"/>
                <w:sz w:val="18"/>
                <w:highlight w:val="none"/>
                <w:lang w:eastAsia="zh-CN"/>
              </w:rPr>
              <w:t>副科级</w:t>
            </w:r>
          </w:p>
        </w:tc>
        <w:tc>
          <w:tcPr>
            <w:tcW w:w="2721" w:type="dxa"/>
            <w:vAlign w:val="top"/>
          </w:tcPr>
          <w:p>
            <w:pPr>
              <w:jc w:val="left"/>
              <w:rPr>
                <w:rFonts w:hint="eastAsia" w:ascii="宋体" w:hAnsi="宋体"/>
                <w:sz w:val="18"/>
              </w:rPr>
            </w:pPr>
            <w:r>
              <w:rPr>
                <w:rFonts w:hint="eastAsia" w:ascii="宋体" w:hAnsi="宋体"/>
                <w:sz w:val="1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jc w:val="center"/>
        </w:trPr>
        <w:tc>
          <w:tcPr>
            <w:tcW w:w="4424" w:type="dxa"/>
            <w:vAlign w:val="top"/>
          </w:tcPr>
          <w:p>
            <w:pPr>
              <w:jc w:val="left"/>
              <w:rPr>
                <w:rFonts w:ascii="宋体" w:hAnsi="宋体"/>
                <w:sz w:val="18"/>
              </w:rPr>
            </w:pPr>
            <w:r>
              <w:rPr>
                <w:rFonts w:hint="eastAsia" w:ascii="宋体" w:hAnsi="宋体"/>
                <w:sz w:val="18"/>
              </w:rPr>
              <w:t>石家庄市藁城区储备中心</w:t>
            </w:r>
          </w:p>
        </w:tc>
        <w:tc>
          <w:tcPr>
            <w:tcW w:w="1303" w:type="dxa"/>
            <w:vAlign w:val="top"/>
          </w:tcPr>
          <w:p>
            <w:pPr>
              <w:ind w:left="0" w:leftChars="0" w:right="0" w:rightChars="0" w:firstLine="0" w:firstLineChars="0"/>
              <w:jc w:val="center"/>
              <w:rPr>
                <w:rFonts w:hint="eastAsia" w:ascii="宋体" w:hAnsi="宋体"/>
                <w:sz w:val="18"/>
              </w:rPr>
            </w:pPr>
            <w:r>
              <w:rPr>
                <w:rFonts w:hint="eastAsia" w:ascii="宋体" w:hAnsi="宋体"/>
                <w:sz w:val="18"/>
              </w:rPr>
              <w:t>事业</w:t>
            </w:r>
          </w:p>
        </w:tc>
        <w:tc>
          <w:tcPr>
            <w:tcW w:w="1248" w:type="dxa"/>
            <w:vAlign w:val="top"/>
          </w:tcPr>
          <w:p>
            <w:pPr>
              <w:ind w:left="0" w:leftChars="0" w:right="0" w:rightChars="0" w:firstLine="0" w:firstLineChars="0"/>
              <w:jc w:val="center"/>
              <w:rPr>
                <w:rFonts w:hint="eastAsia" w:ascii="宋体" w:hAnsi="宋体"/>
                <w:sz w:val="18"/>
              </w:rPr>
            </w:pPr>
            <w:r>
              <w:rPr>
                <w:rFonts w:hint="eastAsia" w:ascii="宋体" w:hAnsi="宋体"/>
                <w:sz w:val="18"/>
              </w:rPr>
              <w:t>正科级</w:t>
            </w:r>
          </w:p>
        </w:tc>
        <w:tc>
          <w:tcPr>
            <w:tcW w:w="2721" w:type="dxa"/>
            <w:vAlign w:val="top"/>
          </w:tcPr>
          <w:p>
            <w:pPr>
              <w:jc w:val="left"/>
              <w:rPr>
                <w:rFonts w:hint="eastAsia" w:ascii="宋体" w:hAnsi="宋体"/>
                <w:sz w:val="18"/>
              </w:rPr>
            </w:pPr>
            <w:r>
              <w:rPr>
                <w:rFonts w:hint="eastAsia" w:ascii="宋体" w:hAnsi="宋体"/>
                <w:sz w:val="18"/>
              </w:rPr>
              <w:t>财政性资金</w:t>
            </w:r>
            <w:r>
              <w:rPr>
                <w:rFonts w:hint="eastAsia" w:ascii="宋体" w:hAnsi="宋体"/>
                <w:sz w:val="18"/>
                <w:lang w:eastAsia="zh-CN"/>
              </w:rPr>
              <w:t>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jc w:val="center"/>
        </w:trPr>
        <w:tc>
          <w:tcPr>
            <w:tcW w:w="4424" w:type="dxa"/>
            <w:vAlign w:val="top"/>
          </w:tcPr>
          <w:p>
            <w:pPr>
              <w:jc w:val="left"/>
              <w:rPr>
                <w:rFonts w:ascii="宋体" w:hAnsi="宋体"/>
                <w:sz w:val="18"/>
              </w:rPr>
            </w:pPr>
            <w:r>
              <w:rPr>
                <w:rFonts w:hint="eastAsia" w:ascii="宋体" w:hAnsi="宋体"/>
                <w:sz w:val="18"/>
              </w:rPr>
              <w:t>石家庄市藁城区矿产资源管理所</w:t>
            </w:r>
          </w:p>
        </w:tc>
        <w:tc>
          <w:tcPr>
            <w:tcW w:w="1303" w:type="dxa"/>
            <w:vAlign w:val="top"/>
          </w:tcPr>
          <w:p>
            <w:pPr>
              <w:ind w:left="0" w:leftChars="0" w:right="0" w:rightChars="0" w:firstLine="0" w:firstLineChars="0"/>
              <w:jc w:val="center"/>
              <w:rPr>
                <w:rFonts w:hint="eastAsia" w:ascii="宋体" w:hAnsi="宋体"/>
                <w:sz w:val="18"/>
              </w:rPr>
            </w:pPr>
            <w:r>
              <w:rPr>
                <w:rFonts w:hint="eastAsia" w:ascii="宋体" w:hAnsi="宋体"/>
                <w:sz w:val="18"/>
              </w:rPr>
              <w:t>事业</w:t>
            </w:r>
          </w:p>
        </w:tc>
        <w:tc>
          <w:tcPr>
            <w:tcW w:w="1248" w:type="dxa"/>
            <w:vAlign w:val="top"/>
          </w:tcPr>
          <w:p>
            <w:pPr>
              <w:ind w:left="0" w:leftChars="0" w:right="0" w:rightChars="0" w:firstLine="0" w:firstLineChars="0"/>
              <w:jc w:val="center"/>
              <w:rPr>
                <w:rFonts w:hint="eastAsia" w:ascii="宋体" w:hAnsi="宋体"/>
                <w:sz w:val="18"/>
              </w:rPr>
            </w:pPr>
            <w:r>
              <w:rPr>
                <w:rFonts w:hint="eastAsia" w:ascii="宋体" w:hAnsi="宋体"/>
                <w:sz w:val="18"/>
              </w:rPr>
              <w:t>股级</w:t>
            </w:r>
          </w:p>
        </w:tc>
        <w:tc>
          <w:tcPr>
            <w:tcW w:w="2721" w:type="dxa"/>
            <w:vAlign w:val="top"/>
          </w:tcPr>
          <w:p>
            <w:pPr>
              <w:jc w:val="left"/>
              <w:rPr>
                <w:rFonts w:hint="eastAsia" w:ascii="宋体" w:hAnsi="宋体"/>
                <w:sz w:val="18"/>
              </w:rPr>
            </w:pPr>
            <w:r>
              <w:rPr>
                <w:rFonts w:hint="eastAsia" w:ascii="宋体" w:hAnsi="宋体"/>
                <w:sz w:val="18"/>
              </w:rPr>
              <w:t>财政性资金</w:t>
            </w:r>
            <w:r>
              <w:rPr>
                <w:rFonts w:hint="eastAsia" w:ascii="宋体" w:hAnsi="宋体"/>
                <w:sz w:val="18"/>
                <w:lang w:eastAsia="zh-CN"/>
              </w:rPr>
              <w:t>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jc w:val="center"/>
        </w:trPr>
        <w:tc>
          <w:tcPr>
            <w:tcW w:w="4424" w:type="dxa"/>
            <w:vAlign w:val="top"/>
          </w:tcPr>
          <w:p>
            <w:pPr>
              <w:jc w:val="left"/>
              <w:rPr>
                <w:rFonts w:ascii="宋体" w:hAnsi="宋体"/>
                <w:sz w:val="18"/>
              </w:rPr>
            </w:pPr>
            <w:r>
              <w:rPr>
                <w:rFonts w:hint="eastAsia" w:ascii="宋体" w:hAnsi="宋体"/>
                <w:sz w:val="18"/>
              </w:rPr>
              <w:t>石家庄市藁城区土地整理中心</w:t>
            </w:r>
          </w:p>
        </w:tc>
        <w:tc>
          <w:tcPr>
            <w:tcW w:w="1303" w:type="dxa"/>
            <w:vAlign w:val="top"/>
          </w:tcPr>
          <w:p>
            <w:pPr>
              <w:ind w:left="0" w:leftChars="0" w:right="0" w:rightChars="0" w:firstLine="0" w:firstLineChars="0"/>
              <w:jc w:val="center"/>
              <w:rPr>
                <w:rFonts w:hint="eastAsia" w:ascii="宋体" w:hAnsi="宋体"/>
                <w:sz w:val="18"/>
              </w:rPr>
            </w:pPr>
            <w:r>
              <w:rPr>
                <w:rFonts w:hint="eastAsia" w:ascii="宋体" w:hAnsi="宋体"/>
                <w:sz w:val="18"/>
              </w:rPr>
              <w:t>事业</w:t>
            </w:r>
          </w:p>
        </w:tc>
        <w:tc>
          <w:tcPr>
            <w:tcW w:w="1248" w:type="dxa"/>
            <w:vAlign w:val="top"/>
          </w:tcPr>
          <w:p>
            <w:pPr>
              <w:ind w:left="0" w:leftChars="0" w:right="0" w:rightChars="0" w:firstLine="0" w:firstLineChars="0"/>
              <w:jc w:val="center"/>
              <w:rPr>
                <w:rFonts w:hint="eastAsia" w:ascii="宋体" w:hAnsi="宋体"/>
                <w:sz w:val="18"/>
              </w:rPr>
            </w:pPr>
            <w:r>
              <w:rPr>
                <w:rFonts w:hint="eastAsia" w:ascii="宋体" w:hAnsi="宋体"/>
                <w:sz w:val="18"/>
              </w:rPr>
              <w:t>股级</w:t>
            </w:r>
          </w:p>
        </w:tc>
        <w:tc>
          <w:tcPr>
            <w:tcW w:w="2721" w:type="dxa"/>
            <w:vAlign w:val="top"/>
          </w:tcPr>
          <w:p>
            <w:pPr>
              <w:jc w:val="left"/>
              <w:rPr>
                <w:rFonts w:hint="eastAsia" w:ascii="宋体" w:hAnsi="宋体"/>
                <w:sz w:val="18"/>
              </w:rPr>
            </w:pPr>
            <w:r>
              <w:rPr>
                <w:rFonts w:hint="eastAsia" w:ascii="宋体" w:hAnsi="宋体"/>
                <w:sz w:val="18"/>
              </w:rPr>
              <w:t>财政性资金</w:t>
            </w:r>
            <w:r>
              <w:rPr>
                <w:rFonts w:hint="eastAsia" w:ascii="宋体" w:hAnsi="宋体"/>
                <w:sz w:val="18"/>
                <w:lang w:eastAsia="zh-CN"/>
              </w:rPr>
              <w:t>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jc w:val="center"/>
        </w:trPr>
        <w:tc>
          <w:tcPr>
            <w:tcW w:w="4424" w:type="dxa"/>
            <w:vAlign w:val="top"/>
          </w:tcPr>
          <w:p>
            <w:pPr>
              <w:jc w:val="left"/>
              <w:rPr>
                <w:rFonts w:ascii="宋体" w:hAnsi="宋体"/>
                <w:sz w:val="18"/>
              </w:rPr>
            </w:pPr>
            <w:r>
              <w:rPr>
                <w:rFonts w:hint="eastAsia" w:ascii="宋体" w:hAnsi="宋体"/>
                <w:sz w:val="18"/>
              </w:rPr>
              <w:t>石家庄市藁城区国土资源管理所</w:t>
            </w:r>
          </w:p>
        </w:tc>
        <w:tc>
          <w:tcPr>
            <w:tcW w:w="1303" w:type="dxa"/>
            <w:vAlign w:val="top"/>
          </w:tcPr>
          <w:p>
            <w:pPr>
              <w:ind w:left="0" w:leftChars="0" w:right="0" w:rightChars="0" w:firstLine="0" w:firstLineChars="0"/>
              <w:jc w:val="center"/>
              <w:rPr>
                <w:rFonts w:hint="eastAsia" w:ascii="宋体" w:hAnsi="宋体"/>
                <w:sz w:val="18"/>
              </w:rPr>
            </w:pPr>
            <w:r>
              <w:rPr>
                <w:rFonts w:hint="eastAsia" w:ascii="宋体" w:hAnsi="宋体"/>
                <w:sz w:val="18"/>
              </w:rPr>
              <w:t>事业</w:t>
            </w:r>
          </w:p>
        </w:tc>
        <w:tc>
          <w:tcPr>
            <w:tcW w:w="1248" w:type="dxa"/>
            <w:vAlign w:val="top"/>
          </w:tcPr>
          <w:p>
            <w:pPr>
              <w:ind w:left="0" w:leftChars="0" w:right="0" w:rightChars="0" w:firstLine="0" w:firstLineChars="0"/>
              <w:jc w:val="center"/>
              <w:rPr>
                <w:rFonts w:hint="eastAsia" w:ascii="宋体" w:hAnsi="宋体"/>
                <w:sz w:val="18"/>
              </w:rPr>
            </w:pPr>
            <w:r>
              <w:rPr>
                <w:rFonts w:hint="eastAsia" w:ascii="宋体" w:hAnsi="宋体"/>
                <w:sz w:val="18"/>
              </w:rPr>
              <w:t>股级</w:t>
            </w:r>
          </w:p>
        </w:tc>
        <w:tc>
          <w:tcPr>
            <w:tcW w:w="2721" w:type="dxa"/>
            <w:vAlign w:val="top"/>
          </w:tcPr>
          <w:p>
            <w:pPr>
              <w:jc w:val="left"/>
              <w:rPr>
                <w:rFonts w:hint="eastAsia" w:ascii="宋体" w:hAnsi="宋体" w:eastAsia="宋体"/>
                <w:sz w:val="18"/>
                <w:lang w:eastAsia="zh-CN"/>
              </w:rPr>
            </w:pPr>
            <w:r>
              <w:rPr>
                <w:rFonts w:hint="eastAsia" w:ascii="宋体" w:hAnsi="宋体"/>
                <w:sz w:val="18"/>
              </w:rPr>
              <w:t>财政性资金</w:t>
            </w:r>
            <w:r>
              <w:rPr>
                <w:rFonts w:hint="eastAsia" w:ascii="宋体" w:hAnsi="宋体"/>
                <w:sz w:val="18"/>
                <w:lang w:eastAsia="zh-CN"/>
              </w:rPr>
              <w:t>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jc w:val="center"/>
        </w:trPr>
        <w:tc>
          <w:tcPr>
            <w:tcW w:w="4424" w:type="dxa"/>
            <w:vAlign w:val="top"/>
          </w:tcPr>
          <w:p>
            <w:pPr>
              <w:jc w:val="left"/>
              <w:rPr>
                <w:rFonts w:hint="eastAsia" w:ascii="宋体" w:hAnsi="宋体" w:eastAsia="宋体"/>
                <w:sz w:val="18"/>
                <w:lang w:eastAsia="zh-CN"/>
              </w:rPr>
            </w:pPr>
            <w:r>
              <w:rPr>
                <w:rFonts w:hint="eastAsia" w:ascii="宋体" w:hAnsi="宋体"/>
                <w:sz w:val="18"/>
                <w:lang w:eastAsia="zh-CN"/>
              </w:rPr>
              <w:t>藁城区苗圃场</w:t>
            </w:r>
          </w:p>
        </w:tc>
        <w:tc>
          <w:tcPr>
            <w:tcW w:w="1303" w:type="dxa"/>
            <w:vAlign w:val="top"/>
          </w:tcPr>
          <w:p>
            <w:pPr>
              <w:ind w:left="0" w:leftChars="0" w:right="0" w:rightChars="0" w:firstLine="0" w:firstLineChars="0"/>
              <w:jc w:val="center"/>
              <w:rPr>
                <w:rFonts w:hint="eastAsia" w:ascii="宋体" w:hAnsi="宋体" w:eastAsia="宋体"/>
                <w:sz w:val="18"/>
                <w:lang w:eastAsia="zh-CN"/>
              </w:rPr>
            </w:pPr>
            <w:r>
              <w:rPr>
                <w:rFonts w:hint="eastAsia" w:ascii="宋体" w:hAnsi="宋体"/>
                <w:sz w:val="18"/>
                <w:lang w:eastAsia="zh-CN"/>
              </w:rPr>
              <w:t>事业</w:t>
            </w:r>
          </w:p>
        </w:tc>
        <w:tc>
          <w:tcPr>
            <w:tcW w:w="1248" w:type="dxa"/>
            <w:vAlign w:val="top"/>
          </w:tcPr>
          <w:p>
            <w:pPr>
              <w:ind w:left="0" w:leftChars="0" w:right="0" w:rightChars="0" w:firstLine="0" w:firstLineChars="0"/>
              <w:jc w:val="center"/>
              <w:rPr>
                <w:rFonts w:hint="default" w:ascii="宋体" w:hAnsi="宋体" w:eastAsia="宋体"/>
                <w:sz w:val="18"/>
                <w:lang w:val="en-US" w:eastAsia="zh-CN"/>
              </w:rPr>
            </w:pPr>
            <w:r>
              <w:rPr>
                <w:rFonts w:hint="eastAsia" w:ascii="宋体" w:hAnsi="宋体"/>
                <w:sz w:val="18"/>
                <w:lang w:val="en-US" w:eastAsia="zh-CN"/>
              </w:rPr>
              <w:t>股级</w:t>
            </w:r>
          </w:p>
        </w:tc>
        <w:tc>
          <w:tcPr>
            <w:tcW w:w="2721" w:type="dxa"/>
            <w:vAlign w:val="top"/>
          </w:tcPr>
          <w:p>
            <w:pPr>
              <w:jc w:val="left"/>
              <w:rPr>
                <w:rFonts w:hint="eastAsia" w:ascii="宋体" w:hAnsi="宋体"/>
                <w:sz w:val="18"/>
              </w:rPr>
            </w:pPr>
            <w:r>
              <w:rPr>
                <w:rFonts w:hint="eastAsia" w:ascii="宋体" w:hAnsi="宋体"/>
                <w:sz w:val="18"/>
              </w:rPr>
              <w:t>财政性资金</w:t>
            </w:r>
            <w:r>
              <w:rPr>
                <w:rFonts w:hint="eastAsia" w:ascii="宋体" w:hAnsi="宋体"/>
                <w:sz w:val="18"/>
                <w:lang w:eastAsia="zh-CN"/>
              </w:rPr>
              <w:t>零补助</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11633.28</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1258.37</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政府性</w:t>
      </w:r>
      <w:r>
        <w:rPr>
          <w:rFonts w:hint="eastAsia" w:ascii="Times New Roman" w:hAnsi="Times New Roman" w:eastAsia="仿宋" w:cs="Times New Roman"/>
          <w:sz w:val="32"/>
          <w:szCs w:val="32"/>
        </w:rPr>
        <w:t>基金预算收入</w:t>
      </w:r>
      <w:r>
        <w:rPr>
          <w:rFonts w:hint="eastAsia" w:ascii="Times New Roman" w:hAnsi="Times New Roman" w:eastAsia="仿宋" w:cs="Times New Roman"/>
          <w:sz w:val="32"/>
          <w:szCs w:val="32"/>
          <w:lang w:val="en-US" w:eastAsia="zh-CN"/>
        </w:rPr>
        <w:t>10374.91</w:t>
      </w:r>
      <w:r>
        <w:rPr>
          <w:rFonts w:hint="eastAsia" w:ascii="Times New Roman" w:hAnsi="Times New Roman" w:eastAsia="仿宋" w:cs="Times New Roman"/>
          <w:sz w:val="32"/>
          <w:szCs w:val="32"/>
        </w:rPr>
        <w:t>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w:t>
      </w:r>
      <w:r>
        <w:rPr>
          <w:rFonts w:hint="eastAsia" w:ascii="Times New Roman" w:hAnsi="Times New Roman" w:eastAsia="仿宋" w:cs="Times New Roman"/>
          <w:color w:val="auto"/>
          <w:sz w:val="32"/>
          <w:szCs w:val="32"/>
        </w:rPr>
        <w:t>映</w:t>
      </w:r>
      <w:r>
        <w:rPr>
          <w:rFonts w:hint="eastAsia" w:ascii="Times New Roman" w:hAnsi="Times New Roman" w:eastAsia="仿宋" w:cs="Times New Roman"/>
          <w:color w:val="auto"/>
          <w:sz w:val="32"/>
          <w:szCs w:val="32"/>
          <w:lang w:val="en-US" w:eastAsia="zh-CN"/>
        </w:rPr>
        <w:t>石家庄市藁城区自然资源和规划局</w:t>
      </w:r>
      <w:r>
        <w:rPr>
          <w:rFonts w:hint="eastAsia" w:ascii="Times New Roman" w:hAnsi="Times New Roman" w:eastAsia="仿宋" w:cs="Times New Roman"/>
          <w:sz w:val="32"/>
          <w:szCs w:val="32"/>
        </w:rPr>
        <w:t>预算中支出预算的总体情况。2020年部门支出预算为</w:t>
      </w:r>
      <w:r>
        <w:rPr>
          <w:rFonts w:hint="eastAsia" w:ascii="Times New Roman" w:hAnsi="Times New Roman" w:eastAsia="仿宋" w:cs="Times New Roman"/>
          <w:sz w:val="32"/>
          <w:szCs w:val="32"/>
          <w:lang w:val="en-US" w:eastAsia="zh-CN"/>
        </w:rPr>
        <w:t>11633.28</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885.87</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814.44</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71.43</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10747.41</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占地补</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3630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青苗费</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2400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事业单位人员</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1050</w:t>
      </w:r>
      <w:r>
        <w:rPr>
          <w:rFonts w:hint="eastAsia" w:ascii="Times New Roman" w:hAnsi="Times New Roman" w:eastAsia="仿宋" w:cs="Times New Roman"/>
          <w:sz w:val="32"/>
          <w:szCs w:val="32"/>
        </w:rPr>
        <w:t>万元，其他支出</w:t>
      </w:r>
      <w:r>
        <w:rPr>
          <w:rFonts w:hint="eastAsia" w:ascii="Times New Roman" w:hAnsi="Times New Roman" w:eastAsia="仿宋" w:cs="Times New Roman"/>
          <w:sz w:val="32"/>
          <w:szCs w:val="32"/>
          <w:lang w:val="en-US" w:eastAsia="zh-CN"/>
        </w:rPr>
        <w:t>3667.41</w:t>
      </w:r>
      <w:r>
        <w:rPr>
          <w:rFonts w:hint="eastAsia" w:ascii="Times New Roman" w:hAnsi="Times New Roman" w:eastAsia="仿宋" w:cs="Times New Roman"/>
          <w:sz w:val="32"/>
          <w:szCs w:val="32"/>
        </w:rPr>
        <w:t>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w:t>
      </w:r>
      <w:r>
        <w:rPr>
          <w:rFonts w:hint="eastAsia" w:ascii="Times New Roman" w:hAnsi="Times New Roman" w:eastAsia="仿宋" w:cs="Times New Roman"/>
          <w:color w:val="000000"/>
          <w:sz w:val="32"/>
          <w:szCs w:val="32"/>
          <w:highlight w:val="none"/>
        </w:rPr>
        <w:t>门预算收支安排</w:t>
      </w:r>
      <w:r>
        <w:rPr>
          <w:rFonts w:hint="eastAsia" w:ascii="Times New Roman" w:hAnsi="Times New Roman" w:eastAsia="仿宋" w:cs="Times New Roman"/>
          <w:sz w:val="32"/>
          <w:szCs w:val="32"/>
          <w:highlight w:val="none"/>
          <w:lang w:val="en-US" w:eastAsia="zh-CN"/>
        </w:rPr>
        <w:t>11633.28</w:t>
      </w:r>
      <w:r>
        <w:rPr>
          <w:rFonts w:hint="eastAsia" w:ascii="Times New Roman" w:hAnsi="Times New Roman" w:eastAsia="仿宋" w:cs="Times New Roman"/>
          <w:color w:val="000000"/>
          <w:sz w:val="32"/>
          <w:szCs w:val="32"/>
          <w:highlight w:val="none"/>
        </w:rPr>
        <w:t>万元，</w:t>
      </w:r>
      <w:r>
        <w:rPr>
          <w:rFonts w:hint="eastAsia" w:ascii="Times New Roman" w:hAnsi="Times New Roman" w:eastAsia="仿宋" w:cs="Times New Roman"/>
          <w:sz w:val="32"/>
          <w:szCs w:val="32"/>
          <w:highlight w:val="none"/>
        </w:rPr>
        <w:t>较2019年</w:t>
      </w:r>
      <w:r>
        <w:rPr>
          <w:rFonts w:hint="eastAsia" w:ascii="Times New Roman" w:hAnsi="Times New Roman" w:eastAsia="仿宋" w:cs="Times New Roman"/>
          <w:sz w:val="32"/>
          <w:szCs w:val="32"/>
          <w:highlight w:val="none"/>
          <w:lang w:eastAsia="zh-CN"/>
        </w:rPr>
        <w:t>减少</w:t>
      </w:r>
      <w:r>
        <w:rPr>
          <w:rFonts w:hint="eastAsia" w:ascii="Times New Roman" w:hAnsi="Times New Roman" w:eastAsia="仿宋" w:cs="Times New Roman"/>
          <w:sz w:val="32"/>
          <w:szCs w:val="32"/>
          <w:highlight w:val="none"/>
          <w:lang w:val="en-US" w:eastAsia="zh-CN"/>
        </w:rPr>
        <w:t>3926.23</w:t>
      </w:r>
      <w:r>
        <w:rPr>
          <w:rFonts w:hint="eastAsia" w:ascii="Times New Roman" w:hAnsi="Times New Roman" w:eastAsia="仿宋" w:cs="Times New Roman"/>
          <w:sz w:val="32"/>
          <w:szCs w:val="32"/>
          <w:highlight w:val="none"/>
        </w:rPr>
        <w:t>万元，其中：基本支出减少</w:t>
      </w:r>
      <w:r>
        <w:rPr>
          <w:rFonts w:hint="eastAsia" w:ascii="Times New Roman" w:hAnsi="Times New Roman" w:eastAsia="仿宋" w:cs="Times New Roman"/>
          <w:sz w:val="32"/>
          <w:szCs w:val="32"/>
          <w:highlight w:val="none"/>
          <w:lang w:val="en-US" w:eastAsia="zh-CN"/>
        </w:rPr>
        <w:t>462.88</w:t>
      </w:r>
      <w:r>
        <w:rPr>
          <w:rFonts w:hint="eastAsia" w:ascii="Times New Roman" w:hAnsi="Times New Roman" w:eastAsia="仿宋" w:cs="Times New Roman"/>
          <w:sz w:val="32"/>
          <w:szCs w:val="32"/>
          <w:highlight w:val="none"/>
        </w:rPr>
        <w:t>万元，主要是人员减少，相应减少人员经费和日常公用经费；项目支出</w:t>
      </w:r>
      <w:r>
        <w:rPr>
          <w:rFonts w:hint="eastAsia" w:ascii="Times New Roman" w:hAnsi="Times New Roman" w:eastAsia="仿宋" w:cs="Times New Roman"/>
          <w:sz w:val="32"/>
          <w:szCs w:val="32"/>
          <w:highlight w:val="none"/>
          <w:lang w:eastAsia="zh-CN"/>
        </w:rPr>
        <w:t>减少</w:t>
      </w:r>
      <w:r>
        <w:rPr>
          <w:rFonts w:hint="eastAsia" w:ascii="Times New Roman" w:hAnsi="Times New Roman" w:eastAsia="仿宋" w:cs="Times New Roman"/>
          <w:sz w:val="32"/>
          <w:szCs w:val="32"/>
          <w:highlight w:val="none"/>
          <w:lang w:val="en-US" w:eastAsia="zh-CN"/>
        </w:rPr>
        <w:t>3463.36</w:t>
      </w:r>
      <w:r>
        <w:rPr>
          <w:rFonts w:hint="eastAsia" w:ascii="Times New Roman" w:hAnsi="Times New Roman" w:eastAsia="仿宋" w:cs="Times New Roman"/>
          <w:sz w:val="32"/>
          <w:szCs w:val="32"/>
          <w:highlight w:val="none"/>
        </w:rPr>
        <w:t>万元，主要是</w:t>
      </w:r>
      <w:r>
        <w:rPr>
          <w:rFonts w:hint="eastAsia" w:ascii="Times New Roman" w:hAnsi="Times New Roman" w:eastAsia="仿宋" w:cs="Times New Roman"/>
          <w:sz w:val="32"/>
          <w:szCs w:val="32"/>
          <w:highlight w:val="none"/>
          <w:lang w:eastAsia="zh-CN"/>
        </w:rPr>
        <w:t>：林业绿化带占地补、青苗补减少</w:t>
      </w:r>
      <w:r>
        <w:rPr>
          <w:rFonts w:hint="eastAsia" w:ascii="Times New Roman" w:hAnsi="Times New Roman" w:eastAsia="仿宋" w:cs="Times New Roman"/>
          <w:sz w:val="32"/>
          <w:szCs w:val="32"/>
          <w:highlight w:val="none"/>
        </w:rPr>
        <w:t>。</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hint="eastAsia" w:ascii="黑体" w:hAnsi="黑体" w:eastAsia="仿宋" w:cs="Times New Roman"/>
          <w:sz w:val="32"/>
          <w:szCs w:val="32"/>
          <w:lang w:eastAsia="zh-CN"/>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885.87</w:t>
      </w:r>
      <w:r>
        <w:rPr>
          <w:rFonts w:hint="eastAsia" w:ascii="Times New Roman" w:hAnsi="Times New Roman" w:eastAsia="仿宋" w:cs="Times New Roman"/>
          <w:sz w:val="32"/>
          <w:szCs w:val="32"/>
        </w:rPr>
        <w:t>万元，</w:t>
      </w:r>
      <w:r>
        <w:rPr>
          <w:rFonts w:hint="eastAsia" w:ascii="仿宋" w:hAnsi="仿宋" w:eastAsia="仿宋" w:cs="Times New Roman"/>
          <w:sz w:val="32"/>
          <w:szCs w:val="32"/>
        </w:rPr>
        <w:t>主要用于保证机关正常运转的办公费、邮电费、会议费、福利费、专用材料及一般设备购置费、办公用房水电费、办公用房取暖费、日常维修费、办公楼物业管理费、公务车运行维护费等支出</w:t>
      </w:r>
      <w:r>
        <w:rPr>
          <w:rFonts w:hint="eastAsia" w:ascii="仿宋" w:hAnsi="仿宋" w:eastAsia="仿宋" w:cs="Times New Roman"/>
          <w:sz w:val="32"/>
          <w:szCs w:val="32"/>
          <w:lang w:eastAsia="zh-CN"/>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13.2</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与上年持平，无增减变化；公务用车购置及运维费</w:t>
      </w:r>
      <w:r>
        <w:rPr>
          <w:rFonts w:hint="eastAsia" w:ascii="Times New Roman" w:hAnsi="Times New Roman" w:eastAsia="仿宋" w:cs="Times New Roman"/>
          <w:sz w:val="32"/>
          <w:szCs w:val="32"/>
          <w:lang w:val="en-US" w:eastAsia="zh-CN"/>
        </w:rPr>
        <w:t>13.2</w:t>
      </w:r>
      <w:r>
        <w:rPr>
          <w:rFonts w:hint="eastAsia" w:ascii="Times New Roman" w:hAnsi="Times New Roman" w:eastAsia="仿宋" w:cs="Times New Roman"/>
          <w:sz w:val="32"/>
          <w:szCs w:val="32"/>
        </w:rPr>
        <w:t>万元（其中：公务用车购置费0万元，</w:t>
      </w:r>
      <w:r>
        <w:rPr>
          <w:rFonts w:hint="eastAsia" w:ascii="Times New Roman" w:hAnsi="Times New Roman" w:eastAsia="仿宋" w:cs="Times New Roman"/>
          <w:sz w:val="32"/>
          <w:szCs w:val="32"/>
          <w:lang w:val="en-US" w:eastAsia="zh-CN"/>
        </w:rPr>
        <w:t>与上年持平，无增减变化；</w:t>
      </w:r>
      <w:r>
        <w:rPr>
          <w:rFonts w:hint="eastAsia" w:ascii="Times New Roman" w:hAnsi="Times New Roman" w:eastAsia="仿宋" w:cs="Times New Roman"/>
          <w:sz w:val="32"/>
          <w:szCs w:val="32"/>
        </w:rPr>
        <w:t>公务用车运行维护费</w:t>
      </w:r>
      <w:r>
        <w:rPr>
          <w:rFonts w:hint="eastAsia" w:ascii="Times New Roman" w:hAnsi="Times New Roman" w:eastAsia="仿宋" w:cs="Times New Roman"/>
          <w:sz w:val="32"/>
          <w:szCs w:val="32"/>
          <w:lang w:val="en-US" w:eastAsia="zh-CN"/>
        </w:rPr>
        <w:t>13.2</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比上年增加13.2万元，主要原因为新增公务用车预算</w:t>
      </w:r>
      <w:r>
        <w:rPr>
          <w:rFonts w:hint="eastAsia" w:ascii="Times New Roman" w:hAnsi="Times New Roman" w:eastAsia="仿宋" w:cs="Times New Roman"/>
          <w:sz w:val="32"/>
          <w:szCs w:val="32"/>
        </w:rPr>
        <w:t>)；公务接待费</w:t>
      </w:r>
      <w:r>
        <w:rPr>
          <w:rFonts w:hint="eastAsia" w:ascii="Times New Roman" w:hAnsi="Times New Roman" w:eastAsia="仿宋" w:cs="Times New Roman"/>
          <w:sz w:val="32"/>
          <w:szCs w:val="32"/>
          <w:lang w:val="en-US" w:eastAsia="zh-CN"/>
        </w:rPr>
        <w:t>0万元，与上年持平，无增减变化</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hint="eastAsia" w:ascii="Times New Roman" w:hAnsi="Times New Roman" w:eastAsia="方正仿宋_GBK" w:cs="Times New Roman"/>
          <w:sz w:val="32"/>
          <w:szCs w:val="32"/>
          <w:lang w:val="en-US" w:eastAsia="zh-CN"/>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numPr>
          <w:ilvl w:val="0"/>
          <w:numId w:val="0"/>
        </w:numPr>
        <w:ind w:firstLine="640" w:firstLineChars="200"/>
        <w:rPr>
          <w:rFonts w:hint="eastAsia" w:ascii="Times New Roman" w:hAnsi="Times New Roman" w:eastAsia="方正仿宋_GBK" w:cs="Times New Roman"/>
          <w:b/>
          <w:sz w:val="32"/>
          <w:szCs w:val="32"/>
        </w:rPr>
      </w:pPr>
      <w:r>
        <w:rPr>
          <w:rFonts w:hint="eastAsia" w:ascii="仿宋" w:hAnsi="仿宋" w:eastAsia="仿宋" w:cs="仿宋"/>
          <w:sz w:val="32"/>
          <w:szCs w:val="32"/>
          <w:lang w:val="en-US" w:eastAsia="zh-CN"/>
        </w:rPr>
        <w:t>围绕区域发展，强化规划编制，落实重大民生工程、公益性设施等项目指标的分配落实。聚集保障发展，优化土地供应，完成编制《2020年土地供应计划》，完成基本农田调查摸底和基本农田储备区划定工作的数据收集、整理、上报。管建并举，保护资源，提升土地执法规范化水平，加大动态巡查力度，严肃查处违法用地案件。以民为本，服务民生，全面提高办事效率和服务水平，实行首问首办负责制，一次性告知制度，实现“一个窗口”服务和管理。加强林业管理，高标准、高质量完成全年绿化任务，认真落实上级经济林验收工作，抓好林政资源保护。加强作风建设，积极进取，奋发有为，</w:t>
      </w:r>
      <w:r>
        <w:rPr>
          <w:rFonts w:hint="eastAsia" w:ascii="仿宋" w:hAnsi="仿宋" w:eastAsia="仿宋" w:cs="仿宋"/>
          <w:color w:val="auto"/>
          <w:sz w:val="32"/>
          <w:szCs w:val="32"/>
          <w:lang w:val="en-US" w:eastAsia="zh-CN"/>
        </w:rPr>
        <w:t>为我区经济社会发展作出应有的贡献</w:t>
      </w:r>
      <w:r>
        <w:rPr>
          <w:rFonts w:hint="eastAsia" w:ascii="仿宋" w:hAnsi="仿宋" w:eastAsia="仿宋" w:cs="仿宋"/>
          <w:sz w:val="32"/>
          <w:szCs w:val="32"/>
          <w:lang w:val="en-US" w:eastAsia="zh-CN"/>
        </w:rPr>
        <w:t>。</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一、完成2020年是国土空间规划编制，实现国土空间规划全覆盖</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完成全域国土空间编制、乡镇国土空间编制、村庄布局专项规划、藁城区试点村规划、高铁高速沿线村庄规划编制，完成藁城区土地利用总体规划（2010-2020年）调整，做好南部片区城市设计提升、兴华路两侧城市设计、中心城区城中村改造城市设计，把藁城区的发展纳入到石家庄市国土空间规划中落实实施。</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绩效指标：规划编制实际完成数量占全年计划完成量的90%以上，通过专家评审率达到90%以上。</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二、强化更新土地调查工作，不断夯实“以图管地”工作基础，推进城乡一体化管理。</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完成对我区土地调查数据的更新汇总工作，对宅基地、集体建设用地进行土地确权，完成农村所有权补充调查项目，继续做好第三次土地调查及耕地质量分等定级，对第一次全国海洋经济调查进行汇总上报。</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土地变更调查成果，按要求上报省厅备案，农村宅基地、集体建设用地使用权发证占年度工作比率为90%以上，农村所有权补充项目要数据完整规范，满足不动产发证的需要，将最新的耕地质量分等定级调查评价成果落实到土地利用现状图上，2020年6月30日，全面完成第三次土地调查项目，及时完整掌握涉海单位信息，涉海单位统计调查完成占年计划95%以上。</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三、掌握全区永久基本农田利用现状，规范有序划定永久基本农田储备区</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绩效目标：以2017年土地变更调查、耕地质量调查监测与评价等成果为基础，结全第三次土地调查，对本区永久基本农田划定成果进行汇总，对本区永久基本农田划定成果进行储备区划定。</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绩效指标：通过省厅验收的比率为100%，坚持最严格的耕地保护制度和最严格的节约用地制度，确保永久基本农田数量不减少，质量提升，布局稳定。</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四、建设不动产交易互联网平台，完善更新不动产登记数据成果</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绩效目标：将房产交易、税收、不动产登记窗口合并为“一窗受理”的综合窗口，实现信息共享，对不动产数据成果，系统安全运行进行维护更新。</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绩效指标：减少房产交易、税收、不动产登记办事环节，优化办事程序，提高办事效率，不动产数据系统高水平、高性能运行，便民服务进一步加强，提高受益群众满意度。</w:t>
      </w:r>
    </w:p>
    <w:p>
      <w:pPr>
        <w:numPr>
          <w:ilvl w:val="0"/>
          <w:numId w:val="0"/>
        </w:numPr>
        <w:ind w:firstLine="960" w:firstLineChars="3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五、提升土地规划执法水平，加大动态巡查力度</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绩效目标：保障执法人员的正常开展工作，提升执法素质和水平，依法严肃查处违法用地案件。</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绩效指标：强化批后管理，加大执法力度，明确职责，加大动态力度，坚持以横向到边，纵向到底的工作标准，遏制违法建设的发生，办结案件数量占立案案件总数的90%以上。</w:t>
      </w:r>
    </w:p>
    <w:p>
      <w:pPr>
        <w:numPr>
          <w:ilvl w:val="0"/>
          <w:numId w:val="0"/>
        </w:numPr>
        <w:ind w:firstLine="960" w:firstLineChars="3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六、加强林业管理，高标准完成绿化任务</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绩效目标：对石黄高速、京港澳、国省道、三环路、高铁、汪洋沟、周汉河两侧进行林带建设，打造绿色通行廊道</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绩效指标：完成造林绿化面积99717亩，造林面积合格率在95%以上，改善全区生态环境，提高全区绿化水平，保障全区林业事业健康科学持续发展。</w:t>
      </w:r>
    </w:p>
    <w:p>
      <w:pPr>
        <w:numPr>
          <w:ilvl w:val="0"/>
          <w:numId w:val="0"/>
        </w:numPr>
        <w:ind w:firstLine="960" w:firstLineChars="3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七、抓好林政资源保护，做好义务植树及农村绿化工作。</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绩效目标：集中参加义务植树活动，对京港澳高速景观林带进行全面管护，确保景观林带完整，提升景观效果。</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绩效指标：完成义务植树面积200余亩，京港澳高速景观林管护面积1168亩，种植树木的成活率在90%以上，森林合格抚育面积占完成面积的95%以上。</w:t>
      </w:r>
    </w:p>
    <w:p>
      <w:pPr>
        <w:numPr>
          <w:ilvl w:val="0"/>
          <w:numId w:val="0"/>
        </w:numPr>
        <w:ind w:firstLine="960" w:firstLineChars="3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八、加强政务管理，提高服务水平</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绩效目标：加强机关和下属事业单位的自身建设和综合管理水平，确保机关工作高效正常运转，有力保障各项工作的顺利开展。</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绩效指标：保障机关及下属事业单位的工作正常运行，综合业务管理工作和事务管理工作完成率均达到90%以上进一步增强国土资源管理能力。</w:t>
      </w:r>
    </w:p>
    <w:p>
      <w:pPr>
        <w:numPr>
          <w:ilvl w:val="0"/>
          <w:numId w:val="1"/>
        </w:numPr>
        <w:autoSpaceDE w:val="0"/>
        <w:autoSpaceDN w:val="0"/>
        <w:adjustRightInd w:val="0"/>
        <w:ind w:left="198" w:leftChars="0" w:firstLine="19" w:firstLineChars="6"/>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工作保障措施</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一、强化用地服务。加大跑办、盯办力度，确保完成全部已批指标的供地工作，全力保障省、市重点项目和民生工程用地。</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二、科学编制2020年供地计划，加快国有建设用地供地力度。</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三、编制2020年土地收储计划，严格按计划收储土地，盘活城区存量土地，促进城市健康发展。</w:t>
      </w:r>
    </w:p>
    <w:p>
      <w:pPr>
        <w:numPr>
          <w:ilvl w:val="0"/>
          <w:numId w:val="0"/>
        </w:numPr>
        <w:ind w:firstLine="640" w:firstLineChars="200"/>
        <w:rPr>
          <w:rFonts w:hint="eastAsia" w:ascii="仿宋" w:hAnsi="仿宋" w:eastAsia="仿宋" w:cs="仿宋"/>
          <w:sz w:val="32"/>
          <w:szCs w:val="32"/>
          <w:lang w:val="en-GB" w:eastAsia="zh-CN"/>
        </w:rPr>
      </w:pPr>
      <w:r>
        <w:rPr>
          <w:rFonts w:hint="eastAsia" w:ascii="仿宋" w:hAnsi="仿宋" w:eastAsia="仿宋" w:cs="仿宋"/>
          <w:sz w:val="32"/>
          <w:szCs w:val="32"/>
          <w:lang w:val="en-US" w:eastAsia="zh-CN"/>
        </w:rPr>
        <w:t>四、深入节约集约。严格执行国家规定的项目用地标准，按照土地利用总体规划的要求，从严进行建设用地预审</w:t>
      </w:r>
      <w:r>
        <w:rPr>
          <w:rFonts w:hint="eastAsia" w:ascii="仿宋" w:hAnsi="仿宋" w:eastAsia="仿宋" w:cs="仿宋"/>
          <w:sz w:val="32"/>
          <w:szCs w:val="32"/>
          <w:lang w:val="en-GB" w:eastAsia="zh-CN"/>
        </w:rPr>
        <w:t>。提前介入，从项目用地选址着手，对照项目用地标准和规划用途严格审查，引导项目控制用地规模、合法用地，提高节约集约用地水平。</w:t>
      </w:r>
    </w:p>
    <w:p>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GB" w:eastAsia="zh-CN"/>
        </w:rPr>
        <w:t>五、</w:t>
      </w:r>
      <w:r>
        <w:rPr>
          <w:rFonts w:hint="eastAsia" w:ascii="仿宋" w:hAnsi="仿宋" w:eastAsia="仿宋" w:cs="仿宋"/>
          <w:sz w:val="32"/>
          <w:szCs w:val="32"/>
          <w:lang w:val="en-US" w:eastAsia="zh-CN"/>
        </w:rPr>
        <w:t>巩固查处违法用地成果。将违法用地发现在初始，解决在萌芽机制常态化、制度化。遏制增量、解决存量。出台管理办法，报区委、区政府通过后落实，组织乡镇综合执法。合力打击违法用地行为。</w:t>
      </w:r>
    </w:p>
    <w:p>
      <w:pPr>
        <w:numPr>
          <w:ilvl w:val="0"/>
          <w:numId w:val="0"/>
        </w:numPr>
        <w:autoSpaceDE w:val="0"/>
        <w:autoSpaceDN w:val="0"/>
        <w:adjustRightInd w:val="0"/>
        <w:ind w:leftChars="6"/>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numPr>
          <w:ilvl w:val="0"/>
          <w:numId w:val="2"/>
        </w:numPr>
        <w:autoSpaceDE w:val="0"/>
        <w:autoSpaceDN w:val="0"/>
        <w:adjustRightInd w:val="0"/>
        <w:ind w:left="198" w:firstLine="640" w:firstLineChars="200"/>
        <w:jc w:val="left"/>
        <w:rPr>
          <w:rFonts w:hint="eastAsia" w:ascii="Times New Roman" w:hAnsi="Times New Roman" w:eastAsia="方正仿宋_GBK" w:cs="Times New Roman"/>
          <w:b/>
          <w:color w:val="auto"/>
          <w:sz w:val="32"/>
          <w:szCs w:val="32"/>
          <w:lang w:eastAsia="zh-CN"/>
        </w:rPr>
      </w:pPr>
      <w:r>
        <w:rPr>
          <w:rFonts w:hint="eastAsia" w:ascii="Times New Roman" w:hAnsi="Times New Roman" w:eastAsia="方正仿宋_GBK" w:cs="Times New Roman"/>
          <w:b/>
          <w:color w:val="auto"/>
          <w:sz w:val="32"/>
          <w:szCs w:val="32"/>
        </w:rPr>
        <w:t xml:space="preserve"> 预算项目绩效目标</w:t>
      </w:r>
    </w:p>
    <w:p>
      <w:pPr>
        <w:ind w:firstLine="560" w:firstLineChars="200"/>
        <w:jc w:val="left"/>
        <w:outlineLvl w:val="1"/>
        <w:rPr>
          <w:rFonts w:hAnsi="宋体"/>
          <w:b/>
          <w:sz w:val="28"/>
        </w:rPr>
      </w:pPr>
      <w:r>
        <w:rPr>
          <w:rFonts w:hint="eastAsia" w:ascii="方正仿宋_GBK" w:eastAsia="方正仿宋_GBK"/>
          <w:b/>
          <w:sz w:val="28"/>
        </w:rPr>
        <w:t>1、11个乡镇过渡期规划费绩效目标表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735831"/>
      <w:r>
        <w:rPr>
          <w:rFonts w:hint="eastAsia" w:ascii="方正仿宋_GBK" w:eastAsia="方正仿宋_GBK"/>
          <w:b/>
          <w:sz w:val="28"/>
        </w:rPr>
        <w:instrText xml:space="preserve">1、11个乡镇过渡期规划费绩效目标表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324-0601-JBN-I4ID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个乡镇过渡期规划费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编制完成藁城区张家庄镇等</w:t>
            </w:r>
            <w:r>
              <w:rPr>
                <w:rFonts w:ascii="方正书宋_GBK" w:eastAsia="方正书宋_GBK"/>
              </w:rPr>
              <w:t>11</w:t>
            </w:r>
            <w:r>
              <w:rPr>
                <w:rFonts w:hint="eastAsia" w:ascii="方正书宋_GBK" w:eastAsia="方正书宋_GBK"/>
              </w:rPr>
              <w:t>个乡镇过渡期规划及控制性详细规划，落实</w:t>
            </w:r>
            <w:r>
              <w:rPr>
                <w:rFonts w:ascii="方正书宋_GBK" w:eastAsia="方正书宋_GBK"/>
              </w:rPr>
              <w:t>2020</w:t>
            </w:r>
            <w:r>
              <w:rPr>
                <w:rFonts w:hint="eastAsia" w:ascii="方正书宋_GBK" w:eastAsia="方正书宋_GBK"/>
              </w:rPr>
              <w:t>年底前能落地实施的公益性设施、重大民生工程、基础设施项目、重点产业项目，支持我区乡镇发展、推动解决当前重点项目落地难的问题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、积极推动张家庄乡镇、九门乡等</w:t>
            </w:r>
            <w:r>
              <w:rPr>
                <w:rFonts w:ascii="方正书宋_GBK" w:eastAsia="方正书宋_GBK"/>
              </w:rPr>
              <w:t>11</w:t>
            </w:r>
            <w:r>
              <w:rPr>
                <w:rFonts w:hint="eastAsia" w:ascii="方正书宋_GBK" w:eastAsia="方正书宋_GBK"/>
              </w:rPr>
              <w:t>乡镇的公益性设施、重大民生工程、基础设施项目、重点产业项目的落地实施。支持乡镇发展。</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完成规划项目占总项目比率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完成规划设计项目占全年总项目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规划项目完成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规划编制完成率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规划编制实际完成数量占全年计划完成量的比例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规划方案完成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专家评审通过率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通过专家评审的数量占全年规划编制数量的比例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按计划完成规划编制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按规划设计要求完成专项项目</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规划成果图</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规划成果图</w:t>
            </w:r>
          </w:p>
        </w:tc>
      </w:tr>
    </w:tbl>
    <w:p>
      <w:pPr>
        <w:spacing w:line="300" w:lineRule="exact"/>
        <w:ind w:firstLine="420" w:firstLineChars="200"/>
        <w:jc w:val="left"/>
        <w:sectPr>
          <w:footerReference r:id="rId3" w:type="default"/>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2、2018年京港澳高速公路两侧绿化带及环城林带建设项目2020年占地补绩效目标表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29735832"/>
      <w:r>
        <w:rPr>
          <w:rFonts w:hint="eastAsia" w:ascii="方正仿宋_GBK" w:eastAsia="方正仿宋_GBK"/>
          <w:b/>
          <w:sz w:val="28"/>
        </w:rPr>
        <w:instrText xml:space="preserve">2、2018年京港澳高速公路两侧绿化带及环城林带建设项目2020年占地补绩效目标表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324-0801-JBN-8DZB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年京港澳高速公路两侧绿化带及环城林带建设项目</w:t>
            </w:r>
            <w:r>
              <w:rPr>
                <w:rFonts w:ascii="方正书宋_GBK" w:eastAsia="方正书宋_GBK"/>
              </w:rPr>
              <w:t>2020</w:t>
            </w:r>
            <w:r>
              <w:rPr>
                <w:rFonts w:hint="eastAsia" w:ascii="方正书宋_GBK" w:eastAsia="方正书宋_GBK"/>
              </w:rPr>
              <w:t>年占地补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1830.00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年京港澳高速两侧</w:t>
            </w:r>
            <w:r>
              <w:rPr>
                <w:rFonts w:ascii="方正书宋_GBK" w:eastAsia="方正书宋_GBK"/>
              </w:rPr>
              <w:t>500</w:t>
            </w:r>
            <w:r>
              <w:rPr>
                <w:rFonts w:hint="eastAsia" w:ascii="方正书宋_GBK" w:eastAsia="方正书宋_GBK"/>
              </w:rPr>
              <w:t>米林带建设，造林</w:t>
            </w:r>
            <w:r>
              <w:rPr>
                <w:rFonts w:ascii="方正书宋_GBK" w:eastAsia="方正书宋_GBK"/>
              </w:rPr>
              <w:t>3.05</w:t>
            </w:r>
            <w:r>
              <w:rPr>
                <w:rFonts w:hint="eastAsia" w:ascii="方正书宋_GBK" w:eastAsia="方正书宋_GBK"/>
              </w:rPr>
              <w:t>万亩，每亩每年本级财政补贴</w:t>
            </w:r>
            <w:r>
              <w:rPr>
                <w:rFonts w:ascii="方正书宋_GBK" w:eastAsia="方正书宋_GBK"/>
              </w:rPr>
              <w:t>600</w:t>
            </w:r>
            <w:r>
              <w:rPr>
                <w:rFonts w:hint="eastAsia" w:ascii="方正书宋_GBK" w:eastAsia="方正书宋_GBK"/>
              </w:rPr>
              <w:t>元，共需资金</w:t>
            </w:r>
            <w:r>
              <w:rPr>
                <w:rFonts w:ascii="方正书宋_GBK" w:eastAsia="方正书宋_GBK"/>
              </w:rPr>
              <w:t>1830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、对京港澳高速两侧进行林带建设，打造通道两侧绿色通行廊道。</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造林绿化面积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京港澳高速两侧及环城林带绿化面积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30500</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林相完整率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道路两侧绿化林带树木林相占总绿化带树木的比率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保存面积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保存道路两侧不低于</w:t>
            </w:r>
            <w:r>
              <w:rPr>
                <w:rFonts w:ascii="方正书宋_GBK" w:eastAsia="方正书宋_GBK"/>
              </w:rPr>
              <w:t>50</w:t>
            </w:r>
            <w:r>
              <w:rPr>
                <w:rFonts w:hint="eastAsia" w:ascii="方正书宋_GBK" w:eastAsia="方正书宋_GBK"/>
              </w:rPr>
              <w:t>米宽绿化林带面积不减少</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50</w:t>
            </w:r>
            <w:r>
              <w:rPr>
                <w:rFonts w:hint="eastAsia" w:ascii="方正书宋_GBK" w:eastAsia="方正书宋_GBK"/>
              </w:rPr>
              <w:t>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改善生态环境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改善全区生态环境，对全区经济发展提供生态保障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提高全区绿化水平，保障全区林业事业健康科学持续发展</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3、2019年高速、高铁、国省公路两侧500米绿化带建设工程2019年占地补绩效目标表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29735833"/>
      <w:r>
        <w:rPr>
          <w:rFonts w:hint="eastAsia" w:ascii="方正仿宋_GBK" w:eastAsia="方正仿宋_GBK"/>
          <w:b/>
          <w:sz w:val="28"/>
        </w:rPr>
        <w:instrText xml:space="preserve">3、2019年高速、高铁、国省公路两侧500米绿化带建设工程2019年占地补绩效目标表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324-0801-JBN-XABD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年高速、高铁、国省公路两侧</w:t>
            </w:r>
            <w:r>
              <w:rPr>
                <w:rFonts w:ascii="方正书宋_GBK" w:eastAsia="方正书宋_GBK"/>
              </w:rPr>
              <w:t>500</w:t>
            </w:r>
            <w:r>
              <w:rPr>
                <w:rFonts w:hint="eastAsia" w:ascii="方正书宋_GBK" w:eastAsia="方正书宋_GBK"/>
              </w:rPr>
              <w:t>米绿化带建设工程</w:t>
            </w:r>
            <w:r>
              <w:rPr>
                <w:rFonts w:ascii="方正书宋_GBK" w:eastAsia="方正书宋_GBK"/>
              </w:rPr>
              <w:t>2019</w:t>
            </w:r>
            <w:r>
              <w:rPr>
                <w:rFonts w:hint="eastAsia" w:ascii="方正书宋_GBK" w:eastAsia="方正书宋_GBK"/>
              </w:rPr>
              <w:t>年占地补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1800.00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年京石、石济高铁、黄石高速、定魏线两侧</w:t>
            </w:r>
            <w:r>
              <w:rPr>
                <w:rFonts w:ascii="方正书宋_GBK" w:eastAsia="方正书宋_GBK"/>
              </w:rPr>
              <w:t>500</w:t>
            </w:r>
            <w:r>
              <w:rPr>
                <w:rFonts w:hint="eastAsia" w:ascii="方正书宋_GBK" w:eastAsia="方正书宋_GBK"/>
              </w:rPr>
              <w:t>米绿化带建设工程，造林</w:t>
            </w:r>
            <w:r>
              <w:rPr>
                <w:rFonts w:ascii="方正书宋_GBK" w:eastAsia="方正书宋_GBK"/>
              </w:rPr>
              <w:t>2</w:t>
            </w:r>
            <w:r>
              <w:rPr>
                <w:rFonts w:hint="eastAsia" w:ascii="方正书宋_GBK" w:eastAsia="方正书宋_GBK"/>
              </w:rPr>
              <w:t>万亩，每亩补贴</w:t>
            </w:r>
            <w:r>
              <w:rPr>
                <w:rFonts w:ascii="方正书宋_GBK" w:eastAsia="方正书宋_GBK"/>
              </w:rPr>
              <w:t>1500</w:t>
            </w:r>
            <w:r>
              <w:rPr>
                <w:rFonts w:hint="eastAsia" w:ascii="方正书宋_GBK" w:eastAsia="方正书宋_GBK"/>
              </w:rPr>
              <w:t>元，上级补贴</w:t>
            </w:r>
            <w:r>
              <w:rPr>
                <w:rFonts w:ascii="方正书宋_GBK" w:eastAsia="方正书宋_GBK"/>
              </w:rPr>
              <w:t>600</w:t>
            </w:r>
            <w:r>
              <w:rPr>
                <w:rFonts w:hint="eastAsia" w:ascii="方正书宋_GBK" w:eastAsia="方正书宋_GBK"/>
              </w:rPr>
              <w:t>元，本级补贴</w:t>
            </w:r>
            <w:r>
              <w:rPr>
                <w:rFonts w:ascii="方正书宋_GBK" w:eastAsia="方正书宋_GBK"/>
              </w:rPr>
              <w:t>900</w:t>
            </w:r>
            <w:r>
              <w:rPr>
                <w:rFonts w:hint="eastAsia" w:ascii="方正书宋_GBK" w:eastAsia="方正书宋_GBK"/>
              </w:rPr>
              <w:t>元。共计</w:t>
            </w:r>
            <w:r>
              <w:rPr>
                <w:rFonts w:ascii="方正书宋_GBK" w:eastAsia="方正书宋_GBK"/>
              </w:rPr>
              <w:t>1800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2019</w:t>
            </w:r>
            <w:r>
              <w:rPr>
                <w:rFonts w:hint="eastAsia" w:ascii="方正书宋_GBK" w:eastAsia="方正书宋_GBK"/>
              </w:rPr>
              <w:t>年京石、石济高铁、黄石高速、定魏线对两侧进行林带建设，打造通道两侧绿色通行廊道。</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造林绿化面积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京港澳高速两侧及环城林带造林面积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万亩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保存面积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保存道路两侧不低于宽绿化林带面积不减少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造林合格面积完成率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造林合格面积占完成造林面积的比率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改善生态环境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改善全区生态环境，对全区经济发展提供生态保障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提高全区绿化水平，保障全区林业事业健康科学持续发展</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4、2019年高速、高铁、国省公路两侧500米绿化带建设工程青苗费绩效目标表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29735834"/>
      <w:r>
        <w:rPr>
          <w:rFonts w:hint="eastAsia" w:ascii="方正仿宋_GBK" w:eastAsia="方正仿宋_GBK"/>
          <w:b/>
          <w:sz w:val="28"/>
        </w:rPr>
        <w:instrText xml:space="preserve">4、2019年高速、高铁、国省公路两侧500米绿化带建设工程青苗费绩效目标表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324-0801-JBN-G5MZ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年高速、高铁、国省公路两侧</w:t>
            </w:r>
            <w:r>
              <w:rPr>
                <w:rFonts w:ascii="方正书宋_GBK" w:eastAsia="方正书宋_GBK"/>
              </w:rPr>
              <w:t>500</w:t>
            </w:r>
            <w:r>
              <w:rPr>
                <w:rFonts w:hint="eastAsia" w:ascii="方正书宋_GBK" w:eastAsia="方正书宋_GBK"/>
              </w:rPr>
              <w:t>米绿化带建设工程青苗费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2400.00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高速、高铁、国省公路两侧</w:t>
            </w:r>
            <w:r>
              <w:rPr>
                <w:rFonts w:ascii="方正书宋_GBK" w:eastAsia="方正书宋_GBK"/>
              </w:rPr>
              <w:t>500</w:t>
            </w:r>
            <w:r>
              <w:rPr>
                <w:rFonts w:hint="eastAsia" w:ascii="方正书宋_GBK" w:eastAsia="方正书宋_GBK"/>
              </w:rPr>
              <w:t>米绿化带建设中发生的青苗补贴资金，造林使用农户土地</w:t>
            </w:r>
            <w:r>
              <w:rPr>
                <w:rFonts w:ascii="方正书宋_GBK" w:eastAsia="方正书宋_GBK"/>
              </w:rPr>
              <w:t>20000</w:t>
            </w:r>
            <w:r>
              <w:rPr>
                <w:rFonts w:hint="eastAsia" w:ascii="方正书宋_GBK" w:eastAsia="方正书宋_GBK"/>
              </w:rPr>
              <w:t>亩，每亩补贴标准</w:t>
            </w:r>
            <w:r>
              <w:rPr>
                <w:rFonts w:ascii="方正书宋_GBK" w:eastAsia="方正书宋_GBK"/>
              </w:rPr>
              <w:t>1200</w:t>
            </w:r>
            <w:r>
              <w:rPr>
                <w:rFonts w:hint="eastAsia" w:ascii="方正书宋_GBK" w:eastAsia="方正书宋_GBK"/>
              </w:rPr>
              <w:t>元，为一次性补贴，共需资金</w:t>
            </w:r>
            <w:r>
              <w:rPr>
                <w:rFonts w:ascii="方正书宋_GBK" w:eastAsia="方正书宋_GBK"/>
              </w:rPr>
              <w:t>2400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、石家庄市环城林带藁城段建设</w:t>
            </w:r>
            <w:r>
              <w:rPr>
                <w:rFonts w:ascii="方正书宋_GBK" w:eastAsia="方正书宋_GBK"/>
              </w:rPr>
              <w:t>500</w:t>
            </w:r>
            <w:r>
              <w:rPr>
                <w:rFonts w:hint="eastAsia" w:ascii="方正书宋_GBK" w:eastAsia="方正书宋_GBK"/>
              </w:rPr>
              <w:t>米宽生态景观林带，绿化宽度</w:t>
            </w:r>
            <w:r>
              <w:rPr>
                <w:rFonts w:ascii="方正书宋_GBK" w:eastAsia="方正书宋_GBK"/>
              </w:rPr>
              <w:t>1000</w:t>
            </w:r>
            <w:r>
              <w:rPr>
                <w:rFonts w:hint="eastAsia" w:ascii="方正书宋_GBK" w:eastAsia="方正书宋_GBK"/>
              </w:rPr>
              <w:t>米，绿化面积</w:t>
            </w:r>
            <w:r>
              <w:rPr>
                <w:rFonts w:ascii="方正书宋_GBK" w:eastAsia="方正书宋_GBK"/>
              </w:rPr>
              <w:t>20000</w:t>
            </w:r>
            <w:r>
              <w:rPr>
                <w:rFonts w:hint="eastAsia" w:ascii="方正书宋_GBK" w:eastAsia="方正书宋_GBK"/>
              </w:rPr>
              <w:t>亩。</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造林绿化面积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京港澳高速两侧及环城林带绿化面积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30500</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林相完整率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道路两侧绿化林带树木林相占总绿化带树木的比率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保存面积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保存道路两侧不低于</w:t>
            </w:r>
            <w:r>
              <w:rPr>
                <w:rFonts w:ascii="方正书宋_GBK" w:eastAsia="方正书宋_GBK"/>
              </w:rPr>
              <w:t>50</w:t>
            </w:r>
            <w:r>
              <w:rPr>
                <w:rFonts w:hint="eastAsia" w:ascii="方正书宋_GBK" w:eastAsia="方正书宋_GBK"/>
              </w:rPr>
              <w:t>米宽绿化林带面积不减少</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50</w:t>
            </w:r>
            <w:r>
              <w:rPr>
                <w:rFonts w:hint="eastAsia" w:ascii="方正书宋_GBK" w:eastAsia="方正书宋_GBK"/>
              </w:rPr>
              <w:t>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改善生态环境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改善全区生态环境，对全区经济发展提供生态保障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提高全区绿化水平，保障全区林业事业健康科学持续发展</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5、2020年藁城区控制性详细规划动态维护绩效目标表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29735835"/>
      <w:r>
        <w:rPr>
          <w:rFonts w:hint="eastAsia" w:ascii="方正仿宋_GBK" w:eastAsia="方正仿宋_GBK"/>
          <w:b/>
          <w:sz w:val="28"/>
        </w:rPr>
        <w:instrText xml:space="preserve">5、2020年藁城区控制性详细规划动态维护绩效目标表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324-0601-YBN-ZH09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年藁城区控制性详细规划动态维护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由于新版石家庄国土空间规划审批的不确定性，我区仍需按照现行的控制性详细规划审批项目。随着城市建设需要，部分地块开发时序有所调整，原规划与现实发展出现了一定的不适应性，结合重点项目建设，需要适时对控规进行动态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、随着城市建设需要，部分地块开发时序有所调整，对控规进行动态维护，实现城市布局更合理。</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完成规划项目占总项目比率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完成规划设计项目占全年总项目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规划项目完成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规划编制完成率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规划编制实际完成数量占全年计划完成量的比例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规划方案完成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专家评审通过率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通过专家评审的数量占全年规划编制数量的比例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按计划完成规划编制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按规划设计要求完成专项项目</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维护达标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规划成果图</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6、补充耕地核查工作经费绩效目标表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29735836"/>
      <w:r>
        <w:rPr>
          <w:rFonts w:hint="eastAsia" w:ascii="方正仿宋_GBK" w:eastAsia="方正仿宋_GBK"/>
          <w:b/>
          <w:sz w:val="28"/>
        </w:rPr>
        <w:instrText xml:space="preserve">6、补充耕地核查工作经费绩效目标表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324-0113-YBN-C37S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补充耕地核查工作经费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对南董镇第二个镇西洼村等二个村高标准农田建设项目、岗上镇等</w:t>
            </w:r>
            <w:r>
              <w:rPr>
                <w:rFonts w:ascii="方正书宋_GBK" w:eastAsia="方正书宋_GBK"/>
              </w:rPr>
              <w:t>2</w:t>
            </w:r>
            <w:r>
              <w:rPr>
                <w:rFonts w:hint="eastAsia" w:ascii="方正书宋_GBK" w:eastAsia="方正书宋_GBK"/>
              </w:rPr>
              <w:t>个乡镇小丰村等</w:t>
            </w:r>
            <w:r>
              <w:rPr>
                <w:rFonts w:ascii="方正书宋_GBK" w:eastAsia="方正书宋_GBK"/>
              </w:rPr>
              <w:t>4</w:t>
            </w:r>
            <w:r>
              <w:rPr>
                <w:rFonts w:hint="eastAsia" w:ascii="方正书宋_GBK" w:eastAsia="方正书宋_GBK"/>
              </w:rPr>
              <w:t>个村土地整治项目、九门回族乡等</w:t>
            </w:r>
            <w:r>
              <w:rPr>
                <w:rFonts w:ascii="方正书宋_GBK" w:eastAsia="方正书宋_GBK"/>
              </w:rPr>
              <w:t>2</w:t>
            </w:r>
            <w:r>
              <w:rPr>
                <w:rFonts w:hint="eastAsia" w:ascii="方正书宋_GBK" w:eastAsia="方正书宋_GBK"/>
              </w:rPr>
              <w:t>个乡镇周辛庄村等</w:t>
            </w:r>
            <w:r>
              <w:rPr>
                <w:rFonts w:ascii="方正书宋_GBK" w:eastAsia="方正书宋_GBK"/>
              </w:rPr>
              <w:t>7</w:t>
            </w:r>
            <w:r>
              <w:rPr>
                <w:rFonts w:hint="eastAsia" w:ascii="方正书宋_GBK" w:eastAsia="方正书宋_GBK"/>
              </w:rPr>
              <w:t>个村土地整治项目、</w:t>
            </w:r>
            <w:r>
              <w:rPr>
                <w:rFonts w:ascii="方正书宋_GBK" w:eastAsia="方正书宋_GBK"/>
              </w:rPr>
              <w:t>2018</w:t>
            </w:r>
            <w:r>
              <w:rPr>
                <w:rFonts w:hint="eastAsia" w:ascii="方正书宋_GBK" w:eastAsia="方正书宋_GBK"/>
              </w:rPr>
              <w:t>年三个自主开发共六个项目的新增耕地情况进行实地核查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、全面完成石家庄市藁城区开展储备补充耕地核查工作，完成石家庄市藁城区开展储备补充耕地核查数据汇总分析工作</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项目区补充耕地面积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利用储备补充耕地核查软件，对项目区补充耕地的面积进行实地调查</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3.45Km2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市级下发核查项目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质量成果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满足市局、省厅和国家的质量要求</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3.45Km2</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《自然资源部办公厅关于开展储备补充耕地核查（第二批）的通知》（自然资办函</w:t>
            </w:r>
            <w:r>
              <w:rPr>
                <w:rFonts w:ascii="方正书宋_GBK" w:eastAsia="方正书宋_GBK"/>
              </w:rPr>
              <w:t>[2019]1244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全面完成开展储备补充耕地核查工作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完成石家庄市藁城区开展储备补充耕地核查工作及数据汇总分析工作</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2019717</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《自然资源部办公厅关于开展储备补充耕地核查（第二批）的通知》（自然资办函</w:t>
            </w:r>
            <w:r>
              <w:rPr>
                <w:rFonts w:ascii="方正书宋_GBK" w:eastAsia="方正书宋_GBK"/>
              </w:rPr>
              <w:t>[2019]1244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核查补充耕地面积及土地利用现状，确保耕地的有效利用，对补充耕地情况进行分类汇总，为补充耕地的信息化管理提供支撑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开展此项工作为社会经济发展起到支撑作用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核查准确无误</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《中华人民共和国土地管理法》</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7、不动产登记中心与房管处合租租金及办公经费绩效目标表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29735837"/>
      <w:r>
        <w:rPr>
          <w:rFonts w:hint="eastAsia" w:ascii="方正仿宋_GBK" w:eastAsia="方正仿宋_GBK"/>
          <w:b/>
          <w:sz w:val="28"/>
        </w:rPr>
        <w:instrText xml:space="preserve">7、不动产登记中心与房管处合租租金及办公经费绩效目标表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324-0115-JBN-VY3S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不动产登记中心与房管处合租租金及办公经费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279.00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279.00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不动产登记中心、房管处、建投公司合租房租</w:t>
            </w:r>
            <w:r>
              <w:rPr>
                <w:rFonts w:ascii="方正书宋_GBK" w:eastAsia="方正书宋_GBK"/>
              </w:rPr>
              <w:t>260</w:t>
            </w:r>
            <w:r>
              <w:rPr>
                <w:rFonts w:hint="eastAsia" w:ascii="方正书宋_GBK" w:eastAsia="方正书宋_GBK"/>
              </w:rPr>
              <w:t>万元，日常水、电、取暖费、保洁费等</w:t>
            </w:r>
            <w:r>
              <w:rPr>
                <w:rFonts w:ascii="方正书宋_GBK" w:eastAsia="方正书宋_GBK"/>
              </w:rPr>
              <w:t>19</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、改善办公条件，办便群众办理业务，提高工作效率。</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保障工作需要情况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租用办公（业务）用房所带来的保障工作需要提升情况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办公环境改善，群众办事方便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解决办公用房面积（平方米）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租用房屋所解决的办公用房面积</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2255.62</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租房合同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通过问卷调查，满意和较满意的受益对象占全部调研对象的比例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调查表</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8、不动产交易登记互联网综合平台建设资金绩效目标表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29735838"/>
      <w:r>
        <w:rPr>
          <w:rFonts w:hint="eastAsia" w:ascii="方正仿宋_GBK" w:eastAsia="方正仿宋_GBK"/>
          <w:b/>
          <w:sz w:val="28"/>
        </w:rPr>
        <w:instrText xml:space="preserve">8、不动产交易登记互联网综合平台建设资金绩效目标表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324-0115-JBN-SPUB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不动产交易登记互联网综合平台建设资金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以房产交易、税费收缴、不动产登记所需的申请材料为基础，统一设置咨询台，将房产交易、税收、不动产登记窗口合并为</w:t>
            </w:r>
            <w:r>
              <w:rPr>
                <w:rFonts w:hint="cs" w:ascii="方正书宋_GBK" w:eastAsia="方正书宋_GBK"/>
              </w:rPr>
              <w:t>“</w:t>
            </w:r>
            <w:r>
              <w:rPr>
                <w:rFonts w:hint="eastAsia" w:ascii="方正书宋_GBK" w:eastAsia="方正书宋_GBK"/>
              </w:rPr>
              <w:t>一窗受理</w:t>
            </w:r>
            <w:r>
              <w:rPr>
                <w:rFonts w:hint="cs" w:ascii="方正书宋_GBK" w:eastAsia="方正书宋_GBK"/>
              </w:rPr>
              <w:t>”</w:t>
            </w:r>
            <w:r>
              <w:rPr>
                <w:rFonts w:hint="eastAsia" w:ascii="方正书宋_GBK" w:eastAsia="方正书宋_GBK"/>
              </w:rPr>
              <w:t>的综合窗口，实现信息共享</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、促进房产交易、税费缴纳、不动产登记联办业务创新，减少房产交易、税收、不动产登记办事环节，优化办事程序，提高办事效率。</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业务处理及时性</w:t>
            </w:r>
            <w:r>
              <w:rPr>
                <w:rFonts w:ascii="方正书宋_GBK" w:eastAsia="方正书宋_GBK"/>
              </w:rPr>
              <w:t>(</w:t>
            </w:r>
            <w:r>
              <w:rPr>
                <w:rFonts w:hint="eastAsia" w:ascii="方正书宋_GBK" w:eastAsia="方正书宋_GBK"/>
              </w:rPr>
              <w:t>％</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及时处理业务数占总处理数的比率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工作登记台账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数据共享率（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共享的数据容量占全部数据容量的比率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数据联网办公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受益群体满意度（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受益群体调查中，满意和较满意的人数占全部调查人数的比率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调查表</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9、不动产数据成果更新完善及登记系统维护费用绩效目标表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29735839"/>
      <w:r>
        <w:rPr>
          <w:rFonts w:hint="eastAsia" w:ascii="方正仿宋_GBK" w:eastAsia="方正仿宋_GBK"/>
          <w:b/>
          <w:sz w:val="28"/>
        </w:rPr>
        <w:instrText xml:space="preserve">9、不动产数据成果更新完善及登记系统维护费用绩效目标表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324-0115-JBN-9VNT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不动产数据成果更新完善及登记系统维护费用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保障新的数据成果顺利入库、已入库的数据成果，登记系统安全运行，现申请不动产登记数据成果更新完善及登记系统维护费用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2020</w:t>
            </w:r>
            <w:r>
              <w:rPr>
                <w:rFonts w:hint="eastAsia" w:ascii="方正书宋_GBK" w:eastAsia="方正书宋_GBK"/>
              </w:rPr>
              <w:t>年度不动产登记数据成果的更新完善</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成果质量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系统高水平、高性能运行；数据及时完善</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数据完善、系统稳定</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SJ</w:t>
            </w:r>
            <w:r>
              <w:rPr>
                <w:rFonts w:hint="eastAsia" w:ascii="方正书宋_GBK" w:eastAsia="方正书宋_GBK"/>
              </w:rPr>
              <w:t>／</w:t>
            </w:r>
            <w:r>
              <w:rPr>
                <w:rFonts w:ascii="方正书宋_GBK" w:eastAsia="方正书宋_GBK"/>
              </w:rPr>
              <w:t>T-11463-2013-</w:t>
            </w:r>
            <w:r>
              <w:rPr>
                <w:rFonts w:hint="eastAsia" w:ascii="方正书宋_GBK" w:eastAsia="方正书宋_GBK"/>
              </w:rPr>
              <w:t>软件研发成本度量规范》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完成的最后时间</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本项目合用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对藁城社会发展起到积极影响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项目的实施为社会创造一定的效益，便民服务进一步加强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保障能力得到提升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SJ</w:t>
            </w:r>
            <w:r>
              <w:rPr>
                <w:rFonts w:hint="eastAsia" w:ascii="方正书宋_GBK" w:eastAsia="方正书宋_GBK"/>
              </w:rPr>
              <w:t>／</w:t>
            </w:r>
            <w:r>
              <w:rPr>
                <w:rFonts w:ascii="方正书宋_GBK" w:eastAsia="方正书宋_GBK"/>
              </w:rPr>
              <w:t>T-11463-2013-</w:t>
            </w:r>
            <w:r>
              <w:rPr>
                <w:rFonts w:hint="eastAsia" w:ascii="方正书宋_GBK" w:eastAsia="方正书宋_GBK"/>
              </w:rPr>
              <w:t>软件研发成本度量规范》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不动产登记中心满意度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SJ</w:t>
            </w:r>
            <w:r>
              <w:rPr>
                <w:rFonts w:hint="eastAsia" w:ascii="方正书宋_GBK" w:eastAsia="方正书宋_GBK"/>
              </w:rPr>
              <w:t>／</w:t>
            </w:r>
            <w:r>
              <w:rPr>
                <w:rFonts w:ascii="方正书宋_GBK" w:eastAsia="方正书宋_GBK"/>
              </w:rPr>
              <w:t>T-11463-2013-</w:t>
            </w:r>
            <w:r>
              <w:rPr>
                <w:rFonts w:hint="eastAsia" w:ascii="方正书宋_GBK" w:eastAsia="方正书宋_GBK"/>
              </w:rPr>
              <w:t>软件研发成本度量规范》</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10、不动产数据整合尾款绩效目标表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29735840"/>
      <w:r>
        <w:rPr>
          <w:rFonts w:hint="eastAsia" w:ascii="方正仿宋_GBK" w:eastAsia="方正仿宋_GBK"/>
          <w:b/>
          <w:sz w:val="28"/>
        </w:rPr>
        <w:instrText xml:space="preserve">10、不动产数据整合尾款绩效目标表</w:instrText>
      </w:r>
      <w:bookmarkEnd w:id="1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324-0115-JQN-AZHP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不动产数据整合尾款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w:t>
            </w:r>
            <w:r>
              <w:rPr>
                <w:rFonts w:ascii="方正书宋_GBK" w:eastAsia="方正书宋_GBK"/>
              </w:rPr>
              <w:t>,</w:t>
            </w:r>
            <w:r>
              <w:rPr>
                <w:rFonts w:hint="eastAsia" w:ascii="方正书宋_GBK" w:eastAsia="方正书宋_GBK"/>
              </w:rPr>
              <w:t>继续藁城区不动产登记数据整合</w:t>
            </w:r>
            <w:r>
              <w:rPr>
                <w:rFonts w:ascii="方正书宋_GBK" w:eastAsia="方正书宋_GBK"/>
              </w:rPr>
              <w:t>,</w:t>
            </w:r>
            <w:r>
              <w:rPr>
                <w:rFonts w:hint="eastAsia" w:ascii="方正书宋_GBK" w:eastAsia="方正书宋_GBK"/>
              </w:rPr>
              <w:t>针对集体土地所有权、国有建设用地使用权、房产登记等原不动产登记数据，对其空间数据要素、数据格式、属性内容等进行清理整合，完善不动产数据库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、集体土地所有权、国有建设用地使用权、房产登记，空间数据要素、数据格式、属性内容，不动产登记数据库标准的数据分层及属性标准等要求的不动产登记信息数据库</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系统验收合格率（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系统验收合格的模块占系统总模块的比率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系统出故障时间占总运行时间的比率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数据共享率（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共享的数据容量占全部数据容量的比率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数据合同</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11、城中村改造城市设计绩效目标表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29735841"/>
      <w:r>
        <w:rPr>
          <w:rFonts w:hint="eastAsia" w:ascii="方正仿宋_GBK" w:eastAsia="方正仿宋_GBK"/>
          <w:b/>
          <w:sz w:val="28"/>
        </w:rPr>
        <w:instrText xml:space="preserve">11、城中村改造城市设计绩效目标表</w:instrText>
      </w:r>
      <w:bookmarkEnd w:id="1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324-0601-YBN-ED0A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城中村改造城市设计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按照省市文件要求，编制中心城区城中村城市设计，统筹协调各城中村更新利益，把控公共配套、绿地等底线控制，所需资金</w:t>
            </w:r>
            <w:r>
              <w:rPr>
                <w:rFonts w:ascii="方正书宋_GBK" w:eastAsia="方正书宋_GBK"/>
              </w:rPr>
              <w:t>300</w:t>
            </w:r>
            <w:r>
              <w:rPr>
                <w:rFonts w:hint="eastAsia" w:ascii="方正书宋_GBK" w:eastAsia="方正书宋_GBK"/>
              </w:rPr>
              <w:t>万元，</w:t>
            </w:r>
            <w:r>
              <w:rPr>
                <w:rFonts w:ascii="方正书宋_GBK" w:eastAsia="方正书宋_GBK"/>
              </w:rPr>
              <w:t>2020</w:t>
            </w:r>
            <w:r>
              <w:rPr>
                <w:rFonts w:hint="eastAsia" w:ascii="方正书宋_GBK" w:eastAsia="方正书宋_GBK"/>
              </w:rPr>
              <w:t>年列入启动资金</w:t>
            </w:r>
            <w:r>
              <w:rPr>
                <w:rFonts w:ascii="方正书宋_GBK" w:eastAsia="方正书宋_GBK"/>
              </w:rPr>
              <w:t>20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、统筹协调各城中村更新利益，把控公共配套、绿地等底线控制，提升藁城城市品质，打造现代城市风貌。</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完成规划项目占总项目比率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完成规划设计项目占全年总项目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规划项目完成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规划编制完成率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规划编制实际完成数量占全年计划完成量的比例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规划方案完成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专家评审通过率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通过专家评审的数量占全年规划编制数量的比例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按计划完成规划编制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按规划设计要求完成专项项目</w:t>
            </w:r>
          </w:p>
        </w:tc>
        <w:tc>
          <w:tcPr>
            <w:tcW w:w="1276" w:type="dxa"/>
            <w:shd w:val="clear" w:color="auto" w:fill="auto"/>
            <w:vAlign w:val="center"/>
          </w:tcPr>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规划成果图</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12、第三次全国土地调查耕地质量分等定级专项调查资金绩效目标表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29735842"/>
      <w:r>
        <w:rPr>
          <w:rFonts w:hint="eastAsia" w:ascii="方正仿宋_GBK" w:eastAsia="方正仿宋_GBK"/>
          <w:b/>
          <w:sz w:val="28"/>
        </w:rPr>
        <w:instrText xml:space="preserve">12、第三次全国土地调查耕地质量分等定级专项调查资金绩效目标表</w:instrText>
      </w:r>
      <w:bookmarkEnd w:id="1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324-0108-YBN-GR4B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第三次全国土地调查耕地质量分等定级专项调查资金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40.37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40.37</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在已有耕地等别调查评价工作的基础上，规范耕地分等参数体系，补充调查耕地分等基础数据，全面更新评价耕地等别，建立耕地分等定级专项数据库，将最新的耕地质量分等定级调查评价成果落到土地利用现状图上。总需资金</w:t>
            </w:r>
            <w:r>
              <w:rPr>
                <w:rFonts w:ascii="方正书宋_GBK" w:eastAsia="方正书宋_GBK"/>
              </w:rPr>
              <w:t>40.37</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、完成补充耕地指标、提高耕地质量，将最新的耕地质量分等定级调查评价成果落到土地利用现状图上。</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耕地质量等别评定完成率（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完成的耕地质量等别评定占合同约定比率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省厅、石市国土局下发新数据使用文件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耕地质量等别验收合格率（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完成的耕地质量等别验收合格占合同约定比率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上报省厅质检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耕地质量等别数据准确率（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总量平衡准确数据的数量占报备数据总量的比率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省厅、石市国土局下发新数据使用文件</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13、耕地质量年度更新评价定级资金（2017-2019年）绩效目标表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29735843"/>
      <w:r>
        <w:rPr>
          <w:rFonts w:hint="eastAsia" w:ascii="方正仿宋_GBK" w:eastAsia="方正仿宋_GBK"/>
          <w:b/>
          <w:sz w:val="28"/>
        </w:rPr>
        <w:instrText xml:space="preserve">13、耕地质量年度更新评价定级资金（2017-2019年）绩效目标表</w:instrText>
      </w:r>
      <w:bookmarkEnd w:id="1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324-0108-YBN-P3LC</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耕地质量年度更新评价定级资金（</w:t>
            </w:r>
            <w:r>
              <w:rPr>
                <w:rFonts w:ascii="方正书宋_GBK" w:eastAsia="方正书宋_GBK"/>
              </w:rPr>
              <w:t>2017-2019</w:t>
            </w:r>
            <w:r>
              <w:rPr>
                <w:rFonts w:hint="eastAsia" w:ascii="方正书宋_GBK" w:eastAsia="方正书宋_GBK"/>
              </w:rPr>
              <w:t>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19.00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、将所有项目等别评定及变化情况、减少耕地和非项目实施新增耕地质量等别情况进行上图入库、汇总分析，形成全省耕地质量等别年度更新评价成果。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、对监测样点的主导因素和相关监测指标进行调查分析，评价耕地质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、完成补充耕地指标、提高耕地质量，完成全省耕地质量等别年度更新评价成果、年度耕地质量等别监测评价成果、耕地质量定级报告。</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耕地质量等别评定完成率（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完成的耕地质量等别评定占合同约定比率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石市国土局下发使用新数据文件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耕地质量等别验收合格率（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完成的耕地质量等别验收合格占合同约定比率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上报省厅质检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耕地质量等别数据准确率（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总量平衡准确数据的数量占报备数据总量的比率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石市国土局下发使用新数据文件</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14、国土资源管理经费（基金）绩效目标表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29735844"/>
      <w:r>
        <w:rPr>
          <w:rFonts w:hint="eastAsia" w:ascii="方正仿宋_GBK" w:eastAsia="方正仿宋_GBK"/>
          <w:b/>
          <w:sz w:val="28"/>
        </w:rPr>
        <w:instrText xml:space="preserve">14、国土资源管理经费（基金）绩效目标表</w:instrText>
      </w:r>
      <w:bookmarkEnd w:id="1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324-0702-JBN-TLDQ</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国土资源管理经费（基金）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142.00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用于律师费、宣传费、空调维护费、局及下属事业单位日常办公费用，不动产登记继承公证费。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、保障局机关和下属事业单位各项工作正常运行，进一步提高增强国土资源管理能力</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综合业务管理工作完成情况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日常巡查维修及时率（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有记录的巡查维修到场次数占规定巡查维修到场次数的比率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业务保障能力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保障相关业务、工作等开展的情况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机关工作正常运转</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15、国土资源管理经费（一般预算）绩效目标表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29735845"/>
      <w:r>
        <w:rPr>
          <w:rFonts w:hint="eastAsia" w:ascii="方正仿宋_GBK" w:eastAsia="方正仿宋_GBK"/>
          <w:b/>
          <w:sz w:val="28"/>
        </w:rPr>
        <w:instrText xml:space="preserve">15、国土资源管理经费（一般预算）绩效目标表</w:instrText>
      </w:r>
      <w:bookmarkEnd w:id="1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324-0702-JBN-ZQ7C</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国土资源管理经费（一般预算）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用于局机关及下属事业单位日常办公及维修。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、保障国土资源管理各项工作正常运行，进一步增强国土资源管理能力。</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综合业务管理工作完成情况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日常巡查维修及时率（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有记录的巡查维修到场次数占规定巡查维修到场次数的比率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业务保障能力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保障相关业务、工作等开展的情况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机关工作正常运转</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16、京港澳高速景观林带管护费绩效目标表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9" w:name="_Toc29735846"/>
      <w:r>
        <w:rPr>
          <w:rFonts w:hint="eastAsia" w:ascii="方正仿宋_GBK" w:eastAsia="方正仿宋_GBK"/>
          <w:b/>
          <w:sz w:val="28"/>
        </w:rPr>
        <w:instrText xml:space="preserve">16、京港澳高速景观林带管护费绩效目标表</w:instrText>
      </w:r>
      <w:bookmarkEnd w:id="1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324-0802-JBN-K4LL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京港澳高速景观林带管护费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63.76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63.76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对京港澳高速景观林带进行全面管护，管护面积</w:t>
            </w:r>
            <w:r>
              <w:rPr>
                <w:rFonts w:ascii="方正书宋_GBK" w:eastAsia="方正书宋_GBK"/>
              </w:rPr>
              <w:t>1168</w:t>
            </w:r>
            <w:r>
              <w:rPr>
                <w:rFonts w:hint="eastAsia" w:ascii="方正书宋_GBK" w:eastAsia="方正书宋_GBK"/>
              </w:rPr>
              <w:t>亩。京港澳高速景观林，造林面积</w:t>
            </w:r>
            <w:r>
              <w:rPr>
                <w:rFonts w:ascii="方正书宋_GBK" w:eastAsia="方正书宋_GBK"/>
              </w:rPr>
              <w:t>1168</w:t>
            </w:r>
            <w:r>
              <w:rPr>
                <w:rFonts w:hint="eastAsia" w:ascii="方正书宋_GBK" w:eastAsia="方正书宋_GBK"/>
              </w:rPr>
              <w:t>亩，每亩每年养护费</w:t>
            </w:r>
            <w:r>
              <w:rPr>
                <w:rFonts w:ascii="方正书宋_GBK" w:eastAsia="方正书宋_GBK"/>
              </w:rPr>
              <w:t>420</w:t>
            </w:r>
            <w:r>
              <w:rPr>
                <w:rFonts w:hint="eastAsia" w:ascii="方正书宋_GBK" w:eastAsia="方正书宋_GBK"/>
              </w:rPr>
              <w:t>元，共需资金</w:t>
            </w:r>
            <w:r>
              <w:rPr>
                <w:rFonts w:ascii="方正书宋_GBK" w:eastAsia="方正书宋_GBK"/>
              </w:rPr>
              <w:t>63.76</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、对京港澳高速两侧景观林带进行全面管护，确保景观林带完整，提升景观效果。</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保存面积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京港澳高速两侧景观林带不少于</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管护面积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京港澳高速景观林带管护面积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1168</w:t>
            </w:r>
            <w:r>
              <w:rPr>
                <w:rFonts w:hint="eastAsia" w:ascii="方正书宋_GBK" w:eastAsia="方正书宋_GBK"/>
              </w:rPr>
              <w:t>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森林抚育质量合格率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森林合格抚育面积占森防抚育完成面积的比率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改善生态环境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改善全区生态环境，对全区经济发展提供生态保障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提高全区绿化水平，保障全区林业事业健康科学持续发展</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17、京港澳高速绿化带占地补绩效目标表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0" w:name="_Toc29735847"/>
      <w:r>
        <w:rPr>
          <w:rFonts w:hint="eastAsia" w:ascii="方正仿宋_GBK" w:eastAsia="方正仿宋_GBK"/>
          <w:b/>
          <w:sz w:val="28"/>
        </w:rPr>
        <w:instrText xml:space="preserve">17、京港澳高速绿化带占地补绩效目标表</w:instrText>
      </w:r>
      <w:bookmarkEnd w:id="2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324-0801-JBN-GMNK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京港澳高速绿化带占地补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368.10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368.10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京港澳高速两侧</w:t>
            </w:r>
            <w:r>
              <w:rPr>
                <w:rFonts w:ascii="方正书宋_GBK" w:eastAsia="方正书宋_GBK"/>
              </w:rPr>
              <w:t>50</w:t>
            </w:r>
            <w:r>
              <w:rPr>
                <w:rFonts w:hint="eastAsia" w:ascii="方正书宋_GBK" w:eastAsia="方正书宋_GBK"/>
              </w:rPr>
              <w:t>米绿化带建设，造林面积</w:t>
            </w:r>
            <w:r>
              <w:rPr>
                <w:rFonts w:ascii="方正书宋_GBK" w:eastAsia="方正书宋_GBK"/>
              </w:rPr>
              <w:t>0.551</w:t>
            </w:r>
            <w:r>
              <w:rPr>
                <w:rFonts w:hint="eastAsia" w:ascii="方正书宋_GBK" w:eastAsia="方正书宋_GBK"/>
              </w:rPr>
              <w:t>万亩。其中景观林</w:t>
            </w:r>
            <w:r>
              <w:rPr>
                <w:rFonts w:ascii="方正书宋_GBK" w:eastAsia="方正书宋_GBK"/>
              </w:rPr>
              <w:t>0.125</w:t>
            </w:r>
            <w:r>
              <w:rPr>
                <w:rFonts w:hint="eastAsia" w:ascii="方正书宋_GBK" w:eastAsia="方正书宋_GBK"/>
              </w:rPr>
              <w:t>万亩，每亩每年本级财政补贴</w:t>
            </w:r>
            <w:r>
              <w:rPr>
                <w:rFonts w:ascii="方正书宋_GBK" w:eastAsia="方正书宋_GBK"/>
              </w:rPr>
              <w:t>900</w:t>
            </w:r>
            <w:r>
              <w:rPr>
                <w:rFonts w:hint="eastAsia" w:ascii="方正书宋_GBK" w:eastAsia="方正书宋_GBK"/>
              </w:rPr>
              <w:t>元；生态林</w:t>
            </w:r>
            <w:r>
              <w:rPr>
                <w:rFonts w:ascii="方正书宋_GBK" w:eastAsia="方正书宋_GBK"/>
              </w:rPr>
              <w:t>0.426</w:t>
            </w:r>
            <w:r>
              <w:rPr>
                <w:rFonts w:hint="eastAsia" w:ascii="方正书宋_GBK" w:eastAsia="方正书宋_GBK"/>
              </w:rPr>
              <w:t>万亩，每亩每年本级财政补贴</w:t>
            </w:r>
            <w:r>
              <w:rPr>
                <w:rFonts w:ascii="方正书宋_GBK" w:eastAsia="方正书宋_GBK"/>
              </w:rPr>
              <w:t>600</w:t>
            </w:r>
            <w:r>
              <w:rPr>
                <w:rFonts w:hint="eastAsia" w:ascii="方正书宋_GBK" w:eastAsia="方正书宋_GBK"/>
              </w:rPr>
              <w:t>元，共需资金</w:t>
            </w:r>
            <w:r>
              <w:rPr>
                <w:rFonts w:ascii="方正书宋_GBK" w:eastAsia="方正书宋_GBK"/>
              </w:rPr>
              <w:t>368.1</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、对京港澳高速两侧进行林带建设，打造通道两侧绿色通行廊道。</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京港澳高速两侧造林面积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5510</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造林合格面积完成率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造林合格面积占完成造林面积的比率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保存面积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保存道路两侧不低于</w:t>
            </w:r>
            <w:r>
              <w:rPr>
                <w:rFonts w:ascii="方正书宋_GBK" w:eastAsia="方正书宋_GBK"/>
              </w:rPr>
              <w:t>50</w:t>
            </w:r>
            <w:r>
              <w:rPr>
                <w:rFonts w:hint="eastAsia" w:ascii="方正书宋_GBK" w:eastAsia="方正书宋_GBK"/>
              </w:rPr>
              <w:t>米宽绿化林带面积不减少</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50</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改善生态环境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改善全区生态环境，对全区经济发展提供生态保障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提高全区绿化水平，保障全区林业事业健康科学持续发展</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18、京石高铁绿化带占地补绩效目标表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1" w:name="_Toc29735848"/>
      <w:r>
        <w:rPr>
          <w:rFonts w:hint="eastAsia" w:ascii="方正仿宋_GBK" w:eastAsia="方正仿宋_GBK"/>
          <w:b/>
          <w:sz w:val="28"/>
        </w:rPr>
        <w:instrText xml:space="preserve">18、京石高铁绿化带占地补绩效目标表</w:instrText>
      </w:r>
      <w:bookmarkEnd w:id="2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324-0801-JBN-OO69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京石高铁绿化带占地补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136.68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136.68</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京石高铁两侧</w:t>
            </w:r>
            <w:r>
              <w:rPr>
                <w:rFonts w:ascii="方正书宋_GBK" w:eastAsia="方正书宋_GBK"/>
              </w:rPr>
              <w:t>50</w:t>
            </w:r>
            <w:r>
              <w:rPr>
                <w:rFonts w:hint="eastAsia" w:ascii="方正书宋_GBK" w:eastAsia="方正书宋_GBK"/>
              </w:rPr>
              <w:t>米绿化带，造林面积</w:t>
            </w:r>
            <w:r>
              <w:rPr>
                <w:rFonts w:ascii="方正书宋_GBK" w:eastAsia="方正书宋_GBK"/>
              </w:rPr>
              <w:t>0.2278</w:t>
            </w:r>
            <w:r>
              <w:rPr>
                <w:rFonts w:hint="eastAsia" w:ascii="方正书宋_GBK" w:eastAsia="方正书宋_GBK"/>
              </w:rPr>
              <w:t>万亩，每亩每年本级财政补助</w:t>
            </w:r>
            <w:r>
              <w:rPr>
                <w:rFonts w:ascii="方正书宋_GBK" w:eastAsia="方正书宋_GBK"/>
              </w:rPr>
              <w:t>600</w:t>
            </w:r>
            <w:r>
              <w:rPr>
                <w:rFonts w:hint="eastAsia" w:ascii="方正书宋_GBK" w:eastAsia="方正书宋_GBK"/>
              </w:rPr>
              <w:t>元，共需资金</w:t>
            </w:r>
            <w:r>
              <w:rPr>
                <w:rFonts w:ascii="方正书宋_GBK" w:eastAsia="方正书宋_GBK"/>
              </w:rPr>
              <w:t>136.68</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、对京石高铁两侧进行林带建设，打造通道两侧绿色通行廊道。</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造林绿化面积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京港澳高速两侧及环城林带绿化面积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30500</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林相完整率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道路两侧绿化林带树木林相占总绿化带树木的比率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保存面积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保存道路两侧不低于</w:t>
            </w:r>
            <w:r>
              <w:rPr>
                <w:rFonts w:ascii="方正书宋_GBK" w:eastAsia="方正书宋_GBK"/>
              </w:rPr>
              <w:t>50</w:t>
            </w:r>
            <w:r>
              <w:rPr>
                <w:rFonts w:hint="eastAsia" w:ascii="方正书宋_GBK" w:eastAsia="方正书宋_GBK"/>
              </w:rPr>
              <w:t>米宽绿化林带面积不减少</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50</w:t>
            </w:r>
            <w:r>
              <w:rPr>
                <w:rFonts w:hint="eastAsia" w:ascii="方正书宋_GBK" w:eastAsia="方正书宋_GBK"/>
              </w:rPr>
              <w:t>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改善生态环境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改善全区生态环境，对全区经济发展提供生态保障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提高全区绿化水平，保障全区林业事业健康科学持续发展</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19、劳务派遣人员工资绩效目标表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2" w:name="_Toc29735849"/>
      <w:r>
        <w:rPr>
          <w:rFonts w:hint="eastAsia" w:ascii="方正仿宋_GBK" w:eastAsia="方正仿宋_GBK"/>
          <w:b/>
          <w:sz w:val="28"/>
        </w:rPr>
        <w:instrText xml:space="preserve">19、劳务派遣人员工资绩效目标表</w:instrText>
      </w:r>
      <w:bookmarkEnd w:id="2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324-0701-JBN-5HKY</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劳务派遣人员工资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用于劳务派遣人员的工资、保险、差旅费、下乡补助、中介管理费等基本支出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、保障劳务派遣人员的利益，增强国土资源工作管理水平。</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劳务派遣人员工资基金审核完成率（</w:t>
            </w:r>
            <w:r>
              <w:rPr>
                <w:rFonts w:ascii="方正书宋_GBK" w:eastAsia="方正书宋_GBK"/>
              </w:rPr>
              <w:t>100%</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工资基金审核单位数与应审核单位数之间的比率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核定工资表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劳务派遣人员社会保障费缴纳完成率（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已缴纳社会保障费占应缴纳社会保障费的比率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社保缴费基数表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劳务派遣人员满意度（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调查中满意和较满意的劳务派遣人员数占全部调查劳务派遣人员数的比率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调查表</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20、林业病虫害控制绩效目标表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3" w:name="_Toc29735850"/>
      <w:r>
        <w:rPr>
          <w:rFonts w:hint="eastAsia" w:ascii="方正仿宋_GBK" w:eastAsia="方正仿宋_GBK"/>
          <w:b/>
          <w:sz w:val="28"/>
        </w:rPr>
        <w:instrText xml:space="preserve">20、林业病虫害控制绩效目标表</w:instrText>
      </w:r>
      <w:bookmarkEnd w:id="2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324-1003-JBN-1BFK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林业病虫害控制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全区完成美国白蛾和乡村林业有害地面和生物防治</w:t>
            </w:r>
            <w:r>
              <w:rPr>
                <w:rFonts w:ascii="方正书宋_GBK" w:eastAsia="方正书宋_GBK"/>
              </w:rPr>
              <w:t>5000</w:t>
            </w:r>
            <w:r>
              <w:rPr>
                <w:rFonts w:hint="eastAsia" w:ascii="方正书宋_GBK" w:eastAsia="方正书宋_GBK"/>
              </w:rPr>
              <w:t>亩。用于林业病虫害防治过程中产生的人工、机械、药品费用，所需资金</w:t>
            </w:r>
            <w:r>
              <w:rPr>
                <w:rFonts w:ascii="方正书宋_GBK" w:eastAsia="方正书宋_GBK"/>
              </w:rPr>
              <w:t>13.5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、完成全区美国白蛾和乡村林业有害生物地面和生物防治，有效控制林业有害生物的发生危害，成灾率控制</w:t>
            </w:r>
            <w:r>
              <w:rPr>
                <w:rFonts w:ascii="方正书宋_GBK" w:eastAsia="方正书宋_GBK"/>
              </w:rPr>
              <w:t>4‰</w:t>
            </w:r>
            <w:r>
              <w:rPr>
                <w:rFonts w:hint="eastAsia" w:ascii="方正书宋_GBK" w:eastAsia="方正书宋_GBK"/>
              </w:rPr>
              <w:t>以下，无公害防治达到</w:t>
            </w:r>
            <w:r>
              <w:rPr>
                <w:rFonts w:ascii="方正书宋_GBK" w:eastAsia="方正书宋_GBK"/>
              </w:rPr>
              <w:t>85%</w:t>
            </w:r>
            <w:r>
              <w:rPr>
                <w:rFonts w:hint="eastAsia" w:ascii="方正书宋_GBK" w:eastAsia="方正书宋_GBK"/>
              </w:rPr>
              <w:t>以上；加强林业有害生物防治、检疫有关法规、条例宣传和落实。</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林业有害生物的防治、检疫工作完成率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产地检疫工作完成面积占计划的比例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病虫害预测预报准确率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林业有害生物预测发生面积与实际发生面积比例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林业有害生物成灾控制率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全区林业有害生物灾害发生面积与全市森林面积的比率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21、全国第三次土地调查项目绩效目标表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4" w:name="_Toc29735851"/>
      <w:r>
        <w:rPr>
          <w:rFonts w:hint="eastAsia" w:ascii="方正仿宋_GBK" w:eastAsia="方正仿宋_GBK"/>
          <w:b/>
          <w:sz w:val="28"/>
        </w:rPr>
        <w:instrText xml:space="preserve">21、全国第三次土地调查项目绩效目标表</w:instrText>
      </w:r>
      <w:bookmarkEnd w:id="2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324-0107-JBN-19F0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全国第三次土地调查项目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第三次土地调查主要内容包括：土地利用现状调查、土地权属调查、专项用地调查与评价、土地利用数据库建设和成果汇总。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2018</w:t>
            </w:r>
            <w:r>
              <w:rPr>
                <w:rFonts w:hint="eastAsia" w:ascii="方正书宋_GBK" w:eastAsia="方正书宋_GBK"/>
              </w:rPr>
              <w:t>年</w:t>
            </w:r>
            <w:r>
              <w:rPr>
                <w:rFonts w:ascii="方正书宋_GBK" w:eastAsia="方正书宋_GBK"/>
              </w:rPr>
              <w:t>4</w:t>
            </w:r>
            <w:r>
              <w:rPr>
                <w:rFonts w:hint="eastAsia" w:ascii="方正书宋_GBK" w:eastAsia="方正书宋_GBK"/>
              </w:rPr>
              <w:t>月至</w:t>
            </w:r>
            <w:r>
              <w:rPr>
                <w:rFonts w:ascii="方正书宋_GBK" w:eastAsia="方正书宋_GBK"/>
              </w:rPr>
              <w:t>2018</w:t>
            </w:r>
            <w:r>
              <w:rPr>
                <w:rFonts w:hint="eastAsia" w:ascii="方正书宋_GBK" w:eastAsia="方正书宋_GBK"/>
              </w:rPr>
              <w:t>年</w:t>
            </w:r>
            <w:r>
              <w:rPr>
                <w:rFonts w:ascii="方正书宋_GBK" w:eastAsia="方正书宋_GBK"/>
              </w:rPr>
              <w:t>8</w:t>
            </w:r>
            <w:r>
              <w:rPr>
                <w:rFonts w:hint="eastAsia" w:ascii="方正书宋_GBK" w:eastAsia="方正书宋_GBK"/>
              </w:rPr>
              <w:t>月，完成资料收集，组织人员培训，遴选调查队伍，开展调查宣传，启动实地调查等。</w:t>
            </w:r>
            <w:r>
              <w:rPr>
                <w:rFonts w:ascii="方正书宋_GBK" w:eastAsia="方正书宋_GBK"/>
              </w:rPr>
              <w:t>2018</w:t>
            </w:r>
            <w:r>
              <w:rPr>
                <w:rFonts w:hint="eastAsia" w:ascii="方正书宋_GBK" w:eastAsia="方正书宋_GBK"/>
              </w:rPr>
              <w:t>年</w:t>
            </w:r>
            <w:r>
              <w:rPr>
                <w:rFonts w:ascii="方正书宋_GBK" w:eastAsia="方正书宋_GBK"/>
              </w:rPr>
              <w:t>9</w:t>
            </w:r>
            <w:r>
              <w:rPr>
                <w:rFonts w:hint="eastAsia" w:ascii="方正书宋_GBK" w:eastAsia="方正书宋_GBK"/>
              </w:rPr>
              <w:t>月至</w:t>
            </w:r>
            <w:r>
              <w:rPr>
                <w:rFonts w:ascii="方正书宋_GBK" w:eastAsia="方正书宋_GBK"/>
              </w:rPr>
              <w:t>2019</w:t>
            </w:r>
            <w:r>
              <w:rPr>
                <w:rFonts w:hint="eastAsia" w:ascii="方正书宋_GBK" w:eastAsia="方正书宋_GBK"/>
              </w:rPr>
              <w:t>年</w:t>
            </w:r>
            <w:r>
              <w:rPr>
                <w:rFonts w:ascii="方正书宋_GBK" w:eastAsia="方正书宋_GBK"/>
              </w:rPr>
              <w:t>6</w:t>
            </w:r>
            <w:r>
              <w:rPr>
                <w:rFonts w:hint="eastAsia" w:ascii="方正书宋_GBK" w:eastAsia="方正书宋_GBK"/>
              </w:rPr>
              <w:t>月，组织开展实地调查和数据库建设。</w:t>
            </w:r>
            <w:r>
              <w:rPr>
                <w:rFonts w:ascii="方正书宋_GBK" w:eastAsia="方正书宋_GBK"/>
              </w:rPr>
              <w:t>2019</w:t>
            </w:r>
            <w:r>
              <w:rPr>
                <w:rFonts w:hint="eastAsia" w:ascii="方正书宋_GBK" w:eastAsia="方正书宋_GBK"/>
              </w:rPr>
              <w:t>年下半年，完成调查成果整理、数据更新、成果汇交，汇总形成我区第三次全国土地调查基本数据</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土地利用现状调查内业</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利用二调成果套合正射影像，逐图斑核实地类、精度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758Km2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二调成果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土地权属调查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所有村庄集体土地所有权权属调查</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226</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二调成果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全面完成全国第三次土地调查项目</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w:t>
            </w:r>
            <w:r>
              <w:rPr>
                <w:rFonts w:ascii="方正书宋_GBK" w:eastAsia="方正书宋_GBK"/>
              </w:rPr>
              <w:t>30</w:t>
            </w:r>
            <w:r>
              <w:rPr>
                <w:rFonts w:hint="eastAsia" w:ascii="方正书宋_GBK" w:eastAsia="方正书宋_GBK"/>
              </w:rPr>
              <w:t>号</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《河北省第三次全国土地调查实施方案》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质量成果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满足市局、省厅和国家的质量要求</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758Km2</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二调成果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第三次土地调查带来的社会效益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开展此项工作为社会经济发展起到支撑作用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全面清查最新土地利用状况，掌握真实土地基础数据，并对调查成果实行信息化网络化管理，健全并完善土地调查监测、统计、登记制度，实现土地资源信息社会化服务，为国土空间规划提供数据支撑</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《中华人民共和国土地管理法》</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22、全国土地变更调查与遥感监测资金（2019年度）绩效目标表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5" w:name="_Toc29735852"/>
      <w:r>
        <w:rPr>
          <w:rFonts w:hint="eastAsia" w:ascii="方正仿宋_GBK" w:eastAsia="方正仿宋_GBK"/>
          <w:b/>
          <w:sz w:val="28"/>
        </w:rPr>
        <w:instrText xml:space="preserve">22、全国土地变更调查与遥感监测资金（2019年度）绩效目标表</w:instrText>
      </w:r>
      <w:bookmarkEnd w:id="2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324-0107-YBN-GF3V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全国土地变更调查与遥感监测资金（</w:t>
            </w:r>
            <w:r>
              <w:rPr>
                <w:rFonts w:ascii="方正书宋_GBK" w:eastAsia="方正书宋_GBK"/>
              </w:rPr>
              <w:t>2019</w:t>
            </w:r>
            <w:r>
              <w:rPr>
                <w:rFonts w:hint="eastAsia" w:ascii="方正书宋_GBK" w:eastAsia="方正书宋_GBK"/>
              </w:rPr>
              <w:t>年度）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全面掌握我区</w:t>
            </w:r>
            <w:r>
              <w:rPr>
                <w:rFonts w:ascii="方正书宋_GBK" w:eastAsia="方正书宋_GBK"/>
              </w:rPr>
              <w:t>2018</w:t>
            </w:r>
            <w:r>
              <w:rPr>
                <w:rFonts w:hint="eastAsia" w:ascii="方正书宋_GBK" w:eastAsia="方正书宋_GBK"/>
              </w:rPr>
              <w:t>年度土地利用变化情况，持续更新我区土地调查成果，有力支撑自然资源</w:t>
            </w:r>
            <w:r>
              <w:rPr>
                <w:rFonts w:hint="cs" w:ascii="方正书宋_GBK" w:eastAsia="方正书宋_GBK"/>
              </w:rPr>
              <w:t>“</w:t>
            </w:r>
            <w:r>
              <w:rPr>
                <w:rFonts w:hint="eastAsia" w:ascii="方正书宋_GBK" w:eastAsia="方正书宋_GBK"/>
              </w:rPr>
              <w:t>一张图</w:t>
            </w:r>
            <w:r>
              <w:rPr>
                <w:rFonts w:hint="cs" w:ascii="方正书宋_GBK" w:eastAsia="方正书宋_GBK"/>
              </w:rPr>
              <w:t>”</w:t>
            </w:r>
            <w:r>
              <w:rPr>
                <w:rFonts w:hint="eastAsia" w:ascii="方正书宋_GBK" w:eastAsia="方正书宋_GBK"/>
              </w:rPr>
              <w:t>和综合监管平台平稳运行，不断夯实</w:t>
            </w:r>
            <w:r>
              <w:rPr>
                <w:rFonts w:hint="cs" w:ascii="方正书宋_GBK" w:eastAsia="方正书宋_GBK"/>
              </w:rPr>
              <w:t>“</w:t>
            </w:r>
            <w:r>
              <w:rPr>
                <w:rFonts w:hint="eastAsia" w:ascii="方正书宋_GBK" w:eastAsia="方正书宋_GBK"/>
              </w:rPr>
              <w:t>以图管地</w:t>
            </w:r>
            <w:r>
              <w:rPr>
                <w:rFonts w:hint="cs" w:ascii="方正书宋_GBK" w:eastAsia="方正书宋_GBK"/>
              </w:rPr>
              <w:t>”</w:t>
            </w:r>
            <w:r>
              <w:rPr>
                <w:rFonts w:hint="eastAsia" w:ascii="方正书宋_GBK" w:eastAsia="方正书宋_GBK"/>
              </w:rPr>
              <w:t>工作基础，加快推进国家治理体系和治理能力现代化。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、开展</w:t>
            </w:r>
            <w:r>
              <w:rPr>
                <w:rFonts w:ascii="方正书宋_GBK" w:eastAsia="方正书宋_GBK"/>
              </w:rPr>
              <w:t>2018</w:t>
            </w:r>
            <w:r>
              <w:rPr>
                <w:rFonts w:hint="eastAsia" w:ascii="方正书宋_GBK" w:eastAsia="方正书宋_GBK"/>
              </w:rPr>
              <w:t>年度我区城镇地籍调查数据更新汇总工作，全面掌握我区城市、建制镇和村庄内部土地利用状况基础信息，推进城乡一体化管理，支撑农村土地管理制度改革。开展区土地利用和管理情况评价分析，提升土地参与</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按要求上报省厅备案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完工量占总工程量的百分率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综合利用率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土地变更调查的利用、使用情况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省厅下发文件使用新数据</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23、三环路绿化带占地补绩效目标表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6" w:name="_Toc29735853"/>
      <w:r>
        <w:rPr>
          <w:rFonts w:hint="eastAsia" w:ascii="方正仿宋_GBK" w:eastAsia="方正仿宋_GBK"/>
          <w:b/>
          <w:sz w:val="28"/>
        </w:rPr>
        <w:instrText xml:space="preserve">23、三环路绿化带占地补绩效目标表</w:instrText>
      </w:r>
      <w:bookmarkEnd w:id="2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324-0801-JBN-P186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三环路绿化带占地补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7.78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7.78</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三环路两侧</w:t>
            </w:r>
            <w:r>
              <w:rPr>
                <w:rFonts w:ascii="方正书宋_GBK" w:eastAsia="方正书宋_GBK"/>
              </w:rPr>
              <w:t>50</w:t>
            </w:r>
            <w:r>
              <w:rPr>
                <w:rFonts w:hint="eastAsia" w:ascii="方正书宋_GBK" w:eastAsia="方正书宋_GBK"/>
              </w:rPr>
              <w:t>米林带建设，造林</w:t>
            </w:r>
            <w:r>
              <w:rPr>
                <w:rFonts w:ascii="方正书宋_GBK" w:eastAsia="方正书宋_GBK"/>
              </w:rPr>
              <w:t>389</w:t>
            </w:r>
            <w:r>
              <w:rPr>
                <w:rFonts w:hint="eastAsia" w:ascii="方正书宋_GBK" w:eastAsia="方正书宋_GBK"/>
              </w:rPr>
              <w:t>亩，每亩每年本级财政补贴</w:t>
            </w:r>
            <w:r>
              <w:rPr>
                <w:rFonts w:ascii="方正书宋_GBK" w:eastAsia="方正书宋_GBK"/>
              </w:rPr>
              <w:t>200</w:t>
            </w:r>
            <w:r>
              <w:rPr>
                <w:rFonts w:hint="eastAsia" w:ascii="方正书宋_GBK" w:eastAsia="方正书宋_GBK"/>
              </w:rPr>
              <w:t>元，共需资金</w:t>
            </w:r>
            <w:r>
              <w:rPr>
                <w:rFonts w:ascii="方正书宋_GBK" w:eastAsia="方正书宋_GBK"/>
              </w:rPr>
              <w:t>7.78</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、对三环路两侧进行林带建设，打造道路两侧绿色通行廊道。</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三环路藁城段两侧造林面积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389</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造林合格面积完成率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造林合格面积占完成造林面积的比率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保存面积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保存道路两侧不低于</w:t>
            </w:r>
            <w:r>
              <w:rPr>
                <w:rFonts w:ascii="方正书宋_GBK" w:eastAsia="方正书宋_GBK"/>
              </w:rPr>
              <w:t>50</w:t>
            </w:r>
            <w:r>
              <w:rPr>
                <w:rFonts w:hint="eastAsia" w:ascii="方正书宋_GBK" w:eastAsia="方正书宋_GBK"/>
              </w:rPr>
              <w:t>米宽绿化林带面积不减少</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50</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改善生态环境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改善全区生态环境，对全区经济发展提供生态保障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提高全区绿化水平，保障全区林业事业健康科学持续发展</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24、省县道绿化带占地补绩效目标表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7" w:name="_Toc29735854"/>
      <w:r>
        <w:rPr>
          <w:rFonts w:hint="eastAsia" w:ascii="方正仿宋_GBK" w:eastAsia="方正仿宋_GBK"/>
          <w:b/>
          <w:sz w:val="28"/>
        </w:rPr>
        <w:instrText xml:space="preserve">24、省县道绿化带占地补绩效目标表</w:instrText>
      </w:r>
      <w:bookmarkEnd w:id="2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324-0801-JBN-WCDP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省县道绿化带占地补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248.27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248.27</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对我区辖区内省县道两侧建设</w:t>
            </w:r>
            <w:r>
              <w:rPr>
                <w:rFonts w:ascii="方正书宋_GBK" w:eastAsia="方正书宋_GBK"/>
              </w:rPr>
              <w:t>15-30</w:t>
            </w:r>
            <w:r>
              <w:rPr>
                <w:rFonts w:hint="eastAsia" w:ascii="方正书宋_GBK" w:eastAsia="方正书宋_GBK"/>
              </w:rPr>
              <w:t>米宽绿化林带，绿化面积</w:t>
            </w:r>
            <w:r>
              <w:rPr>
                <w:rFonts w:ascii="方正书宋_GBK" w:eastAsia="方正书宋_GBK"/>
              </w:rPr>
              <w:t>4138</w:t>
            </w:r>
            <w:r>
              <w:rPr>
                <w:rFonts w:hint="eastAsia" w:ascii="方正书宋_GBK" w:eastAsia="方正书宋_GBK"/>
              </w:rPr>
              <w:t>亩。省县道两侧绿化带建设，造林</w:t>
            </w:r>
            <w:r>
              <w:rPr>
                <w:rFonts w:ascii="方正书宋_GBK" w:eastAsia="方正书宋_GBK"/>
              </w:rPr>
              <w:t>0.4138</w:t>
            </w:r>
            <w:r>
              <w:rPr>
                <w:rFonts w:hint="eastAsia" w:ascii="方正书宋_GBK" w:eastAsia="方正书宋_GBK"/>
              </w:rPr>
              <w:t>万亩，每亩每年本级财政补贴</w:t>
            </w:r>
            <w:r>
              <w:rPr>
                <w:rFonts w:ascii="方正书宋_GBK" w:eastAsia="方正书宋_GBK"/>
              </w:rPr>
              <w:t>600</w:t>
            </w:r>
            <w:r>
              <w:rPr>
                <w:rFonts w:hint="eastAsia" w:ascii="方正书宋_GBK" w:eastAsia="方正书宋_GBK"/>
              </w:rPr>
              <w:t>元，共需资金</w:t>
            </w:r>
            <w:r>
              <w:rPr>
                <w:rFonts w:ascii="方正书宋_GBK" w:eastAsia="方正书宋_GBK"/>
              </w:rPr>
              <w:t>248.27</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、对省县道两侧进行林带建设，打造道路两侧绿色通行廊道。</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造林绿化面积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省县道绿化面积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4138</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造林合格面积完成率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造林合格面积占完成造林面积的比率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改善生态环境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改善全区生态环境，对全区经济发展提供生态保障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提高全区绿化水平，保障全区林业事业健康科学持续发展</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25、石黄及307国道绿化带占地补绩效目标表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8" w:name="_Toc29735855"/>
      <w:r>
        <w:rPr>
          <w:rFonts w:hint="eastAsia" w:ascii="方正仿宋_GBK" w:eastAsia="方正仿宋_GBK"/>
          <w:b/>
          <w:sz w:val="28"/>
        </w:rPr>
        <w:instrText xml:space="preserve">25、石黄及307国道绿化带占地补绩效目标表</w:instrText>
      </w:r>
      <w:bookmarkEnd w:id="2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324-0801-JBN-K6AZ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石黄及</w:t>
            </w:r>
            <w:r>
              <w:rPr>
                <w:rFonts w:ascii="方正书宋_GBK" w:eastAsia="方正书宋_GBK"/>
              </w:rPr>
              <w:t>307</w:t>
            </w:r>
            <w:r>
              <w:rPr>
                <w:rFonts w:hint="eastAsia" w:ascii="方正书宋_GBK" w:eastAsia="方正书宋_GBK"/>
              </w:rPr>
              <w:t>国道绿化带占地补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310.14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310.14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石黄及</w:t>
            </w:r>
            <w:r>
              <w:rPr>
                <w:rFonts w:ascii="方正书宋_GBK" w:eastAsia="方正书宋_GBK"/>
              </w:rPr>
              <w:t>307</w:t>
            </w:r>
            <w:r>
              <w:rPr>
                <w:rFonts w:hint="eastAsia" w:ascii="方正书宋_GBK" w:eastAsia="方正书宋_GBK"/>
              </w:rPr>
              <w:t>国道两侧</w:t>
            </w:r>
            <w:r>
              <w:rPr>
                <w:rFonts w:ascii="方正书宋_GBK" w:eastAsia="方正书宋_GBK"/>
              </w:rPr>
              <w:t>50</w:t>
            </w:r>
            <w:r>
              <w:rPr>
                <w:rFonts w:hint="eastAsia" w:ascii="方正书宋_GBK" w:eastAsia="方正书宋_GBK"/>
              </w:rPr>
              <w:t>米绿化带建设，造林</w:t>
            </w:r>
            <w:r>
              <w:rPr>
                <w:rFonts w:ascii="方正书宋_GBK" w:eastAsia="方正书宋_GBK"/>
              </w:rPr>
              <w:t>5169</w:t>
            </w:r>
            <w:r>
              <w:rPr>
                <w:rFonts w:hint="eastAsia" w:ascii="方正书宋_GBK" w:eastAsia="方正书宋_GBK"/>
              </w:rPr>
              <w:t>亩，每亩每年本级财政补贴</w:t>
            </w:r>
            <w:r>
              <w:rPr>
                <w:rFonts w:ascii="方正书宋_GBK" w:eastAsia="方正书宋_GBK"/>
              </w:rPr>
              <w:t>600</w:t>
            </w:r>
            <w:r>
              <w:rPr>
                <w:rFonts w:hint="eastAsia" w:ascii="方正书宋_GBK" w:eastAsia="方正书宋_GBK"/>
              </w:rPr>
              <w:t>元，共需资金</w:t>
            </w:r>
            <w:r>
              <w:rPr>
                <w:rFonts w:ascii="方正书宋_GBK" w:eastAsia="方正书宋_GBK"/>
              </w:rPr>
              <w:t>310.14</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、对我区石黄高速及</w:t>
            </w:r>
            <w:r>
              <w:rPr>
                <w:rFonts w:ascii="方正书宋_GBK" w:eastAsia="方正书宋_GBK"/>
              </w:rPr>
              <w:t>307</w:t>
            </w:r>
            <w:r>
              <w:rPr>
                <w:rFonts w:hint="eastAsia" w:ascii="方正书宋_GBK" w:eastAsia="方正书宋_GBK"/>
              </w:rPr>
              <w:t>国道两侧进行林带建设，打造高速国道两侧绿色通行廊道。</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造林绿化面积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石黄高速及</w:t>
            </w:r>
            <w:r>
              <w:rPr>
                <w:rFonts w:ascii="方正书宋_GBK" w:eastAsia="方正书宋_GBK"/>
              </w:rPr>
              <w:t>307</w:t>
            </w:r>
            <w:r>
              <w:rPr>
                <w:rFonts w:hint="eastAsia" w:ascii="方正书宋_GBK" w:eastAsia="方正书宋_GBK"/>
              </w:rPr>
              <w:t>国道两侧造林面积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0.51</w:t>
            </w:r>
            <w:r>
              <w:rPr>
                <w:rFonts w:hint="eastAsia" w:ascii="方正书宋_GBK" w:eastAsia="方正书宋_GBK"/>
              </w:rPr>
              <w:t>万亩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造林合格面积完成率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造林合格面积占完成造林面积的比率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保存面积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保存道路两侧不低于</w:t>
            </w:r>
            <w:r>
              <w:rPr>
                <w:rFonts w:ascii="方正书宋_GBK" w:eastAsia="方正书宋_GBK"/>
              </w:rPr>
              <w:t>50</w:t>
            </w:r>
            <w:r>
              <w:rPr>
                <w:rFonts w:hint="eastAsia" w:ascii="方正书宋_GBK" w:eastAsia="方正书宋_GBK"/>
              </w:rPr>
              <w:t>米宽绿化林带面积不减少</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50</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改善生态环境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改善全区生态环境，对全区经济发展提供生态保障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提高全区绿化水平，保障全区林业事业健康科学持续发展</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26、事业单位人员经费绩效目标表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9" w:name="_Toc29735856"/>
      <w:r>
        <w:rPr>
          <w:rFonts w:hint="eastAsia" w:ascii="方正仿宋_GBK" w:eastAsia="方正仿宋_GBK"/>
          <w:b/>
          <w:sz w:val="28"/>
        </w:rPr>
        <w:instrText xml:space="preserve">26、事业单位人员经费绩效目标表</w:instrText>
      </w:r>
      <w:bookmarkEnd w:id="2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324-0701-JBN-29DG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事业单位人员经费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用于自收事业单位人员工资、保险、津贴等各项基本开支，自收事业退休人员目标奖、取暖费等补贴。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、年度考核合格后，发放自收事业人员工资、保险、津贴等各项基本开支，自收事业退休人员目标奖、取暖费等补贴。</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工资基金审核完成率（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工资基金审核单位数与应审核单位数之间的比率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事业单位考核工作完成率（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事业单位考核、奖惩、岗位统计等工作完成情况与计划完成情况相比较</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年度考核表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工资准确率（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按年度考核及时准确发放工资、津贴和各保险的上交</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调资表</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27、数字规划系统及城镇实景三维空间数据绩效目标表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0" w:name="_Toc29735857"/>
      <w:r>
        <w:rPr>
          <w:rFonts w:hint="eastAsia" w:ascii="方正仿宋_GBK" w:eastAsia="方正仿宋_GBK"/>
          <w:b/>
          <w:sz w:val="28"/>
        </w:rPr>
        <w:instrText xml:space="preserve">27、数字规划系统及城镇实景三维空间数据绩效目标表</w:instrText>
      </w:r>
      <w:bookmarkEnd w:id="3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324-0601-JBN-G5II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数字规划系统及城镇实景三维空间数据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39.18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39.18</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年完成本项目规划的评审、招投标、规划编制、专家评审工作。加强城乡规划管理信息化建设，依托数字规划系统，建设城镇空间数据和信息平台。区政府决定进行数字规划系统及城镇实景三维空间数据建设。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、三维规划辅助决策系统可对藁城区发展定位、发展目标、发展战略等起到模拟展示、综合分析的重要作用，提升藁城区的城市竞争力和影响力。</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完成规划项目占总项目比率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完成规划设计项目占全年总项目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规划项目完成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规划编制完成率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规划编制实际完成数量占全年计划完成量的比例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规划方案完成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专家评审通过率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通过专家评审的数量占全年规划编制数量的比例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按计划完成规划编制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按规划设计要求完成专项项目</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验收完成</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规划成果图</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28、土地出让评估、公告费绩效目标表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1" w:name="_Toc29735858"/>
      <w:r>
        <w:rPr>
          <w:rFonts w:hint="eastAsia" w:ascii="方正仿宋_GBK" w:eastAsia="方正仿宋_GBK"/>
          <w:b/>
          <w:sz w:val="28"/>
        </w:rPr>
        <w:instrText xml:space="preserve">28、土地出让评估、公告费绩效目标表</w:instrText>
      </w:r>
      <w:bookmarkEnd w:id="3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324-0113-JBN-SK5D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土地出让评估、公告费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年年计划供应土地</w:t>
            </w:r>
            <w:r>
              <w:rPr>
                <w:rFonts w:ascii="方正书宋_GBK" w:eastAsia="方正书宋_GBK"/>
              </w:rPr>
              <w:t>130</w:t>
            </w:r>
            <w:r>
              <w:rPr>
                <w:rFonts w:hint="eastAsia" w:ascii="方正书宋_GBK" w:eastAsia="方正书宋_GBK"/>
              </w:rPr>
              <w:t>公顷，需土地评估费、公告费</w:t>
            </w:r>
            <w:r>
              <w:rPr>
                <w:rFonts w:ascii="方正书宋_GBK" w:eastAsia="方正书宋_GBK"/>
              </w:rPr>
              <w:t>150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、提高全区节约集约用地水平、维护全区土地市良好秩序</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土地出让公示率（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成效的土地公示占全部土地成交的比率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中国土地市场网公告、公示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土地评估应用率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完成土地评估占总土地出让评估的比率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土地评估报告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业务保障能力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保障相关业务、工作等开展的情况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成交公示</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29、土地勘测费绩效目标表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2" w:name="_Toc29735859"/>
      <w:r>
        <w:rPr>
          <w:rFonts w:hint="eastAsia" w:ascii="方正仿宋_GBK" w:eastAsia="方正仿宋_GBK"/>
          <w:b/>
          <w:sz w:val="28"/>
        </w:rPr>
        <w:instrText xml:space="preserve">29、土地勘测费绩效目标表</w:instrText>
      </w:r>
      <w:bookmarkEnd w:id="3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324-0111-JBN-5O09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土地勘测费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2020</w:t>
            </w:r>
            <w:r>
              <w:rPr>
                <w:rFonts w:hint="eastAsia" w:ascii="方正书宋_GBK" w:eastAsia="方正书宋_GBK"/>
              </w:rPr>
              <w:t>年度违法占地和国有土地出让前的勘测定界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、保证测绘面积的准确无误，提高国有土地出让公正性</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测绘成果数据应用率（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测绘成果数据应用占全区土地调整规划测绘成果的比率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勘测定界图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国土勘测次数</w:t>
            </w:r>
            <w:r>
              <w:rPr>
                <w:rFonts w:ascii="方正书宋_GBK" w:eastAsia="方正书宋_GBK"/>
              </w:rPr>
              <w:t>(</w:t>
            </w:r>
            <w:r>
              <w:rPr>
                <w:rFonts w:hint="eastAsia" w:ascii="方正书宋_GBK" w:eastAsia="方正书宋_GBK"/>
              </w:rPr>
              <w:t>次</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当年实际开展国土勘测次数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土地勘测台账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业务保障能力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保障相关业务、工作等开展的情况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勘测报告</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30、汪洋沟绿化带占地补绩效目标表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3" w:name="_Toc29735860"/>
      <w:r>
        <w:rPr>
          <w:rFonts w:hint="eastAsia" w:ascii="方正仿宋_GBK" w:eastAsia="方正仿宋_GBK"/>
          <w:b/>
          <w:sz w:val="28"/>
        </w:rPr>
        <w:instrText xml:space="preserve">30、汪洋沟绿化带占地补绩效目标表</w:instrText>
      </w:r>
      <w:bookmarkEnd w:id="3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324-0801-JBN-GRMZ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汪洋沟绿化带占地补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96.36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96.36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汪洋沟两侧</w:t>
            </w:r>
            <w:r>
              <w:rPr>
                <w:rFonts w:ascii="方正书宋_GBK" w:eastAsia="方正书宋_GBK"/>
              </w:rPr>
              <w:t>30</w:t>
            </w:r>
            <w:r>
              <w:rPr>
                <w:rFonts w:hint="eastAsia" w:ascii="方正书宋_GBK" w:eastAsia="方正书宋_GBK"/>
              </w:rPr>
              <w:t>米绿化带，造林面积</w:t>
            </w:r>
            <w:r>
              <w:rPr>
                <w:rFonts w:ascii="方正书宋_GBK" w:eastAsia="方正书宋_GBK"/>
              </w:rPr>
              <w:t>803</w:t>
            </w:r>
            <w:r>
              <w:rPr>
                <w:rFonts w:hint="eastAsia" w:ascii="方正书宋_GBK" w:eastAsia="方正书宋_GBK"/>
              </w:rPr>
              <w:t>亩，每亩每年本级财政补助</w:t>
            </w:r>
            <w:r>
              <w:rPr>
                <w:rFonts w:ascii="方正书宋_GBK" w:eastAsia="方正书宋_GBK"/>
              </w:rPr>
              <w:t>1200</w:t>
            </w:r>
            <w:r>
              <w:rPr>
                <w:rFonts w:hint="eastAsia" w:ascii="方正书宋_GBK" w:eastAsia="方正书宋_GBK"/>
              </w:rPr>
              <w:t>元，共需资金</w:t>
            </w:r>
            <w:r>
              <w:rPr>
                <w:rFonts w:ascii="方正书宋_GBK" w:eastAsia="方正书宋_GBK"/>
              </w:rPr>
              <w:t>96.36</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、对汪洋沟两侧进行林带建设，打造道路两侧绿色通行廊道。</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造林绿化面积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京港澳高速两侧及环城林带绿化面积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30500</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林相完整率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道路两侧绿化林带树木林相占总绿化带树木的比率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改善生态环境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改善全区生态环境，对全区经济发展提供生态保障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提高全区绿化水平，保障全区林业事业健康科学持续发展</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31、乡镇国土空间规划绩效目标表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4" w:name="_Toc29735861"/>
      <w:r>
        <w:rPr>
          <w:rFonts w:hint="eastAsia" w:ascii="方正仿宋_GBK" w:eastAsia="方正仿宋_GBK"/>
          <w:b/>
          <w:sz w:val="28"/>
        </w:rPr>
        <w:instrText xml:space="preserve">31、乡镇国土空间规划绩效目标表</w:instrText>
      </w:r>
      <w:bookmarkEnd w:id="3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324-0601-YBN-TUPP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乡镇国土空间规划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按照省市文件要求，编制完成藁城区乡镇国土空间规划，指导乡镇建设。共需资金</w:t>
            </w:r>
            <w:r>
              <w:rPr>
                <w:rFonts w:ascii="方正书宋_GBK" w:eastAsia="方正书宋_GBK"/>
              </w:rPr>
              <w:t>500</w:t>
            </w:r>
            <w:r>
              <w:rPr>
                <w:rFonts w:hint="eastAsia" w:ascii="方正书宋_GBK" w:eastAsia="方正书宋_GBK"/>
              </w:rPr>
              <w:t>万元，</w:t>
            </w:r>
            <w:r>
              <w:rPr>
                <w:rFonts w:ascii="方正书宋_GBK" w:eastAsia="方正书宋_GBK"/>
              </w:rPr>
              <w:t>2020</w:t>
            </w:r>
            <w:r>
              <w:rPr>
                <w:rFonts w:hint="eastAsia" w:ascii="方正书宋_GBK" w:eastAsia="方正书宋_GBK"/>
              </w:rPr>
              <w:t>年列入启动资金</w:t>
            </w:r>
            <w:r>
              <w:rPr>
                <w:rFonts w:ascii="方正书宋_GBK" w:eastAsia="方正书宋_GBK"/>
              </w:rPr>
              <w:t>20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、编制完成藁城区乡镇国土空间规划，把各乡镇发展设想纳入到各乡镇的国土空间规划中，并落实实施。</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完成规划项目占总项目比率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完成规划设计项目占全年总项目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规划项目完成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规划编制完成率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规划编制实际完成数量占全年计划完成量的比例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规划方案完成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专家评审通过率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通过专家评审的数量占全年规划编制数量的比例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按计划完成规划编制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按规划设计要求完成专项项目</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图纸</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规划成果图</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32、兴华路两侧城市设计绩效目标表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5" w:name="_Toc29735862"/>
      <w:r>
        <w:rPr>
          <w:rFonts w:hint="eastAsia" w:ascii="方正仿宋_GBK" w:eastAsia="方正仿宋_GBK"/>
          <w:b/>
          <w:sz w:val="28"/>
        </w:rPr>
        <w:instrText xml:space="preserve">32、兴华路两侧城市设计绩效目标表</w:instrText>
      </w:r>
      <w:bookmarkEnd w:id="3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324-0601-YBN-8KUT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兴华路两侧城市设计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省市文件要求，编制兴华路两侧城市设计，指导兴华路两侧街道立面与建筑单体建设，打造藁城的公共服务集聚轴，合理布置藁城的商务聚集区、商贸聚集区、藁城文化馆、体育中心等市级公共服务中心。所需资金</w:t>
            </w:r>
            <w:r>
              <w:rPr>
                <w:rFonts w:ascii="方正书宋_GBK" w:eastAsia="方正书宋_GBK"/>
              </w:rPr>
              <w:t>200</w:t>
            </w:r>
            <w:r>
              <w:rPr>
                <w:rFonts w:hint="eastAsia" w:ascii="方正书宋_GBK" w:eastAsia="方正书宋_GBK"/>
              </w:rPr>
              <w:t>万元，</w:t>
            </w:r>
            <w:r>
              <w:rPr>
                <w:rFonts w:ascii="方正书宋_GBK" w:eastAsia="方正书宋_GBK"/>
              </w:rPr>
              <w:t>2020</w:t>
            </w:r>
            <w:r>
              <w:rPr>
                <w:rFonts w:hint="eastAsia" w:ascii="方正书宋_GBK" w:eastAsia="方正书宋_GBK"/>
              </w:rPr>
              <w:t>年列入启动资金</w:t>
            </w:r>
            <w:r>
              <w:rPr>
                <w:rFonts w:ascii="方正书宋_GBK" w:eastAsia="方正书宋_GBK"/>
              </w:rPr>
              <w:t>20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、指导新华路两侧街道立面与建筑单体建设，打造藁城的公共服务集聚轴，合理布置藁城的商务聚集区、商贸聚集区、藁城文化馆、体育中心等市级公共服务中心。</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完成规划项目占总项目比率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完成规划设计项目占全年总项目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规划项目完成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规划编制完成率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规划编制实际完成数量占全年计划完成量的比例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规划方案完成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专家评审通过率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通过专家评审的数量占全年规划编制数量的比例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按计划完成规划编制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按规划设计要求完成专项项目</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图纸</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规划成果图</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33、义务植树及农村绿化资金绩效目标表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6" w:name="_Toc29735863"/>
      <w:r>
        <w:rPr>
          <w:rFonts w:hint="eastAsia" w:ascii="方正仿宋_GBK" w:eastAsia="方正仿宋_GBK"/>
          <w:b/>
          <w:sz w:val="28"/>
        </w:rPr>
        <w:instrText xml:space="preserve">33、义务植树及农村绿化资金绩效目标表</w:instrText>
      </w:r>
      <w:bookmarkEnd w:id="3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324-0801-JBN-T1C7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义务植树及农村绿化资金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组织全区四大班子领导及区直各部门干部职工</w:t>
            </w:r>
            <w:bookmarkStart w:id="55" w:name="_GoBack"/>
            <w:bookmarkEnd w:id="55"/>
            <w:r>
              <w:rPr>
                <w:rFonts w:ascii="方正书宋_GBK" w:eastAsia="方正书宋_GBK"/>
              </w:rPr>
              <w:t>1000</w:t>
            </w:r>
            <w:r>
              <w:rPr>
                <w:rFonts w:hint="eastAsia" w:ascii="方正书宋_GBK" w:eastAsia="方正书宋_GBK"/>
              </w:rPr>
              <w:t>余人集中参加义务植树活动。义务植树的宣传材料、植树工具、苗木等费用，需资金</w:t>
            </w:r>
            <w:r>
              <w:rPr>
                <w:rFonts w:ascii="方正书宋_GBK" w:eastAsia="方正书宋_GBK"/>
              </w:rPr>
              <w:t>20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、集中参加义务植树活动，植树面积</w:t>
            </w:r>
            <w:r>
              <w:rPr>
                <w:rFonts w:ascii="方正书宋_GBK" w:eastAsia="方正书宋_GBK"/>
              </w:rPr>
              <w:t>200</w:t>
            </w:r>
            <w:r>
              <w:rPr>
                <w:rFonts w:hint="eastAsia" w:ascii="方正书宋_GBK" w:eastAsia="方正书宋_GBK"/>
              </w:rPr>
              <w:t>余亩。</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义务植树面积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全区集中义务植树面积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成活率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种植树木的成活数量占总种植树木成活的比率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改善生态环境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改善全区生态环境，对全区经济发展提供生态保障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提高全区绿化水平，保障全区林业事业健康科学持续发展</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34、造林规划设计抚育管护经费绩效目标表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7" w:name="_Toc29735864"/>
      <w:r>
        <w:rPr>
          <w:rFonts w:hint="eastAsia" w:ascii="方正仿宋_GBK" w:eastAsia="方正仿宋_GBK"/>
          <w:b/>
          <w:sz w:val="28"/>
        </w:rPr>
        <w:instrText xml:space="preserve">34、造林规划设计抚育管护经费绩效目标表</w:instrText>
      </w:r>
      <w:bookmarkEnd w:id="3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324-1009-JBN-GY85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造林规划设计抚育管护经费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临时人员工资；车辆运行费用；造林规划、设计、验收费用，所需资金</w:t>
            </w:r>
            <w:r>
              <w:rPr>
                <w:rFonts w:ascii="方正书宋_GBK" w:eastAsia="方正书宋_GBK"/>
              </w:rPr>
              <w:t>50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、严格进行设计验收，加强幼林抚育管护，确保绿化效果。</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勘查验收率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对工程造林进行全面验收通过率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规划设计率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对全区工程造林进行规划设计通过率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抚育管护率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对林木抚育管护的完成率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35、宅基地、集体建设用地土地确权调查资金绩效目标表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8" w:name="_Toc29735865"/>
      <w:r>
        <w:rPr>
          <w:rFonts w:hint="eastAsia" w:ascii="方正仿宋_GBK" w:eastAsia="方正仿宋_GBK"/>
          <w:b/>
          <w:sz w:val="28"/>
        </w:rPr>
        <w:instrText xml:space="preserve">35、宅基地、集体建设用地土地确权调查资金绩效目标表</w:instrText>
      </w:r>
      <w:bookmarkEnd w:id="3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324-0115-JBN-SUVG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宅基地、集体建设用地土地确权调查资金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宅基地和集体建设用地使用权确权登记数据库主要包括土地权属、土地利用、基础地理、影像、元数据等信息。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、完成土地权属数据包括宗地的权属、位置、界址、面积等及土地利用数据包括行政区（含行政村）图斑的权属、地类、面积、界线等的数据库登记</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农村宅基地、集体建设用地使用权确权完成率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完成农村宅基地、集体建设用地使用权及确权发证占年度工作比率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农村宅基地、集体建设用地使用权发证进度率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完成农村宅基地、集体建设用地使用权发证进度占年计划比率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发证台账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受益群体满意度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受益群体调查中，满意和较满意的人数占全部调查人数的比率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调查表</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36、执法监察办案经费绩效目标表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9" w:name="_Toc29735866"/>
      <w:r>
        <w:rPr>
          <w:rFonts w:hint="eastAsia" w:ascii="方正仿宋_GBK" w:eastAsia="方正仿宋_GBK"/>
          <w:b/>
          <w:sz w:val="28"/>
        </w:rPr>
        <w:instrText xml:space="preserve">36、执法监察办案经费绩效目标表</w:instrText>
      </w:r>
      <w:bookmarkEnd w:id="3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324-0301-JBN-96RS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执法监察办案经费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用于执法人员的办公费、公车运行费、差旅费及国土所日常维修。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、保障执法人员正常开展工作，提升执法质量。</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举报线索处置率（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12336</w:t>
            </w:r>
            <w:r>
              <w:rPr>
                <w:rFonts w:hint="eastAsia" w:ascii="方正书宋_GBK" w:eastAsia="方正书宋_GBK"/>
              </w:rPr>
              <w:t>违法举报处置线索数量占违法线索总量的比率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违法占地案件举报台账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案件办结率（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办结案件数量占立案案件总数的比率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违法占地统计台账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执法办案行为投诉率（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被投诉的执法办案行为次数占执法办案总数的比率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土地信访台账</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37、周汉河两侧绿化占地绩效目标表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0" w:name="_Toc29735867"/>
      <w:r>
        <w:rPr>
          <w:rFonts w:hint="eastAsia" w:ascii="方正仿宋_GBK" w:eastAsia="方正仿宋_GBK"/>
          <w:b/>
          <w:sz w:val="28"/>
        </w:rPr>
        <w:instrText xml:space="preserve">37、周汉河两侧绿化占地绩效目标表</w:instrText>
      </w:r>
      <w:bookmarkEnd w:id="4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324-0801-JBN-4AU3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周汉河两侧绿化占地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111.60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111.60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周汉河两侧绿化带，造林面积</w:t>
            </w:r>
            <w:r>
              <w:rPr>
                <w:rFonts w:ascii="方正书宋_GBK" w:eastAsia="方正书宋_GBK"/>
              </w:rPr>
              <w:t>930</w:t>
            </w:r>
            <w:r>
              <w:rPr>
                <w:rFonts w:hint="eastAsia" w:ascii="方正书宋_GBK" w:eastAsia="方正书宋_GBK"/>
              </w:rPr>
              <w:t>亩，每亩每年本级财政补助</w:t>
            </w:r>
            <w:r>
              <w:rPr>
                <w:rFonts w:ascii="方正书宋_GBK" w:eastAsia="方正书宋_GBK"/>
              </w:rPr>
              <w:t>1200</w:t>
            </w:r>
            <w:r>
              <w:rPr>
                <w:rFonts w:hint="eastAsia" w:ascii="方正书宋_GBK" w:eastAsia="方正书宋_GBK"/>
              </w:rPr>
              <w:t>元，共需资金</w:t>
            </w:r>
            <w:r>
              <w:rPr>
                <w:rFonts w:ascii="方正书宋_GBK" w:eastAsia="方正书宋_GBK"/>
              </w:rPr>
              <w:t>111.6</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、对周汉河两侧进行林带建设，打造道路两侧绿色通行廊道。</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造林绿化面积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京港澳高速两侧及环城林带绿化面积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30500</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林相完整率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道路两侧绿化林带树木林相占总绿化带树木的比率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改善生态环境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改善全区生态环境，对全区经济发展提供生态保障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提高全区绿化水平，保障全区林业事业健康科学持续发展</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造林技术规程</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38、藁城区村庄布局专项规划绩效目标表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1" w:name="_Toc29735868"/>
      <w:r>
        <w:rPr>
          <w:rFonts w:hint="eastAsia" w:ascii="方正仿宋_GBK" w:eastAsia="方正仿宋_GBK"/>
          <w:b/>
          <w:sz w:val="28"/>
        </w:rPr>
        <w:instrText xml:space="preserve">38、藁城区村庄布局专项规划绩效目标表</w:instrText>
      </w:r>
      <w:bookmarkEnd w:id="4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324-0601-YBN-Q8N0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藁城区村庄布局专项规划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按照石家庄市自然资源和规划局关于转发《河北省自然资源厅办公室关于加快推进省级村庄规划试点编制工作的通知》的通知要求，编制完成藁城区村庄布局专项规划。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、指导藁城区乡村空间结构调整，支持经济社会重构，促进可持续发展，提高资源资金利用效率，完善规划体系。</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完成规划项目占总项目比率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完成规划设计项目占全年总项目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规划项目完成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规划编制完成率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规划编制实际完成数量占全年计划完成量的比例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规划方案完成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专家评审通过率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通过专家评审的数量占全年规划编制数量的比例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按计划完成规划编制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按规划设计要求完成专项项目</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图纸</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规划成果图</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39、藁城区第一次全国海洋经济调查项目绩效目标表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2" w:name="_Toc29735869"/>
      <w:r>
        <w:rPr>
          <w:rFonts w:hint="eastAsia" w:ascii="方正仿宋_GBK" w:eastAsia="方正仿宋_GBK"/>
          <w:b/>
          <w:sz w:val="28"/>
        </w:rPr>
        <w:instrText xml:space="preserve">39、藁城区第一次全国海洋经济调查项目绩效目标表</w:instrText>
      </w:r>
      <w:bookmarkEnd w:id="4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324-0115-YBN-GWUX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藁城区第一次全国海洋经济调查项目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17.23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17.23</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涉海单位清查、产业调查、专题调查和平台建设任务，海洋调查约</w:t>
            </w:r>
            <w:r>
              <w:rPr>
                <w:rFonts w:ascii="方正书宋_GBK" w:eastAsia="方正书宋_GBK"/>
              </w:rPr>
              <w:t>580</w:t>
            </w:r>
            <w:r>
              <w:rPr>
                <w:rFonts w:hint="eastAsia" w:ascii="方正书宋_GBK" w:eastAsia="方正书宋_GBK"/>
              </w:rPr>
              <w:t>宗，按照上级要求每宗调查费不低于</w:t>
            </w:r>
            <w:r>
              <w:rPr>
                <w:rFonts w:ascii="方正书宋_GBK" w:eastAsia="方正书宋_GBK"/>
              </w:rPr>
              <w:t>100</w:t>
            </w:r>
            <w:r>
              <w:rPr>
                <w:rFonts w:hint="eastAsia" w:ascii="方正书宋_GBK" w:eastAsia="方正书宋_GBK"/>
              </w:rPr>
              <w:t>元，培训费用</w:t>
            </w:r>
            <w:r>
              <w:rPr>
                <w:rFonts w:ascii="方正书宋_GBK" w:eastAsia="方正书宋_GBK"/>
              </w:rPr>
              <w:t>0.3</w:t>
            </w:r>
            <w:r>
              <w:rPr>
                <w:rFonts w:hint="eastAsia" w:ascii="方正书宋_GBK" w:eastAsia="方正书宋_GBK"/>
              </w:rPr>
              <w:t>万元，宣传费用</w:t>
            </w:r>
            <w:r>
              <w:rPr>
                <w:rFonts w:ascii="方正书宋_GBK" w:eastAsia="方正书宋_GBK"/>
              </w:rPr>
              <w:t>0.9</w:t>
            </w:r>
            <w:r>
              <w:rPr>
                <w:rFonts w:hint="eastAsia" w:ascii="方正书宋_GBK" w:eastAsia="方正书宋_GBK"/>
              </w:rPr>
              <w:t>万元等，共计</w:t>
            </w:r>
            <w:r>
              <w:rPr>
                <w:rFonts w:ascii="方正书宋_GBK" w:eastAsia="方正书宋_GBK"/>
              </w:rPr>
              <w:t>17.2254</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、涉海单位清查、产业调查、专题调查和平台建设任务</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涉海单位统计调查完成率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涉海单位统计调查完成占年计划的比率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冀海发【</w:t>
            </w:r>
            <w:r>
              <w:rPr>
                <w:rFonts w:ascii="方正书宋_GBK" w:eastAsia="方正书宋_GBK"/>
              </w:rPr>
              <w:t>2017</w:t>
            </w:r>
            <w:r>
              <w:rPr>
                <w:rFonts w:hint="eastAsia" w:ascii="方正书宋_GBK" w:eastAsia="方正书宋_GBK"/>
              </w:rPr>
              <w:t>】</w:t>
            </w:r>
            <w:r>
              <w:rPr>
                <w:rFonts w:ascii="方正书宋_GBK" w:eastAsia="方正书宋_GBK"/>
              </w:rPr>
              <w:t>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海洋经济调查软件采购数量（套）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当年采购海洋经济调查软件软件的数量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冀海发【</w:t>
            </w:r>
            <w:r>
              <w:rPr>
                <w:rFonts w:ascii="方正书宋_GBK" w:eastAsia="方正书宋_GBK"/>
              </w:rPr>
              <w:t>2017</w:t>
            </w:r>
            <w:r>
              <w:rPr>
                <w:rFonts w:hint="eastAsia" w:ascii="方正书宋_GBK" w:eastAsia="方正书宋_GBK"/>
              </w:rPr>
              <w:t>】</w:t>
            </w:r>
            <w:r>
              <w:rPr>
                <w:rFonts w:ascii="方正书宋_GBK" w:eastAsia="方正书宋_GBK"/>
              </w:rPr>
              <w:t>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掌握涉海单位信息率（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及时完整掌握的涉海单位信息占所有涉海信息的比率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冀海发【</w:t>
            </w:r>
            <w:r>
              <w:rPr>
                <w:rFonts w:ascii="方正书宋_GBK" w:eastAsia="方正书宋_GBK"/>
              </w:rPr>
              <w:t>2017</w:t>
            </w:r>
            <w:r>
              <w:rPr>
                <w:rFonts w:hint="eastAsia" w:ascii="方正书宋_GBK" w:eastAsia="方正书宋_GBK"/>
              </w:rPr>
              <w:t>】</w:t>
            </w:r>
            <w:r>
              <w:rPr>
                <w:rFonts w:ascii="方正书宋_GBK" w:eastAsia="方正书宋_GBK"/>
              </w:rPr>
              <w:t>6</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40、藁城区划定永久基本农田储备区工作资金绩效目标表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3" w:name="_Toc29735870"/>
      <w:r>
        <w:rPr>
          <w:rFonts w:hint="eastAsia" w:ascii="方正仿宋_GBK" w:eastAsia="方正仿宋_GBK"/>
          <w:b/>
          <w:sz w:val="28"/>
        </w:rPr>
        <w:instrText xml:space="preserve">40、藁城区划定永久基本农田储备区工作资金绩效目标表</w:instrText>
      </w:r>
      <w:bookmarkEnd w:id="4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324-0113-YBN-UDKG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藁城区划定永久基本农田储备区工作资金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19.26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19.26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以</w:t>
            </w:r>
            <w:r>
              <w:rPr>
                <w:rFonts w:ascii="方正书宋_GBK" w:eastAsia="方正书宋_GBK"/>
              </w:rPr>
              <w:t>2017</w:t>
            </w:r>
            <w:r>
              <w:rPr>
                <w:rFonts w:hint="eastAsia" w:ascii="方正书宋_GBK" w:eastAsia="方正书宋_GBK"/>
              </w:rPr>
              <w:t>年度土地变更调查、地理国情监测、耕地质量调查监测与评价等成果为基础，结合第三次土地调查、自然资源督查、土地资源遥感监测，对本区永久基本农田划定成果进行全储备区划定。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拟划入永久基本农田储备区的图斑逐一进行实地核实，按照《储备区核查软件操作手册》要求，填写实地核实情况，查清土地利用现状，并拍摄上传带有定位信息和方位信息的实地照片和视频，确保图、地一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、建立永久基本农田储备区数据库（</w:t>
            </w:r>
            <w:r>
              <w:rPr>
                <w:rFonts w:ascii="方正书宋_GBK" w:eastAsia="方正书宋_GBK"/>
              </w:rPr>
              <w:t>SHP</w:t>
            </w:r>
            <w:r>
              <w:rPr>
                <w:rFonts w:hint="eastAsia" w:ascii="方正书宋_GBK" w:eastAsia="方正书宋_GBK"/>
              </w:rPr>
              <w:t>格式）</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图斑核实准确率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已核实图斑的准确性占总图斑的比率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r>
              <w:rPr>
                <w:rFonts w:ascii="方正书宋_GBK" w:eastAsia="方正书宋_GBK"/>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项目验收通过省厅验收的比率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核定永久基本农田储备区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核定永久基本农田储备区面积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2696.4</w:t>
            </w:r>
            <w:r>
              <w:rPr>
                <w:rFonts w:hint="eastAsia" w:ascii="方正书宋_GBK" w:eastAsia="方正书宋_GBK"/>
              </w:rPr>
              <w:t>公顷</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41、藁城区控制性详细规划动态维护绩效目标表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4" w:name="_Toc29735871"/>
      <w:r>
        <w:rPr>
          <w:rFonts w:hint="eastAsia" w:ascii="方正仿宋_GBK" w:eastAsia="方正仿宋_GBK"/>
          <w:b/>
          <w:sz w:val="28"/>
        </w:rPr>
        <w:instrText xml:space="preserve">41、藁城区控制性详细规划动态维护绩效目标表</w:instrText>
      </w:r>
      <w:bookmarkEnd w:id="4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324-0111-YXN-171O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藁城区控制性详细规划动态维护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年完成本项目规划的评审、招投标、规划编制工作。结合区领导的指示，我区需对中心城区体育场地块、中瑞地块、万达地块等地块进行动态维护工作。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、随着城市建设需要，部分地块开发时序有所调整，对控规进行动态维护，实现城市布局更合理。</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完成规划项目占总项目比率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完成规划设计项目占全年总项目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规划项目完成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规划编制完成率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规划编制实际完成数量占全年计划完成量的比例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规划方案完成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专家评审通过率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通过专家评审的数量占全年规划编制数量的比例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按计划完成规划编制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按规划设计要求完成专项项目</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维护达标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规划成果图</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42、藁城区南部片区城市设计提升绩效目标表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5" w:name="_Toc29735872"/>
      <w:r>
        <w:rPr>
          <w:rFonts w:hint="eastAsia" w:ascii="方正仿宋_GBK" w:eastAsia="方正仿宋_GBK"/>
          <w:b/>
          <w:sz w:val="28"/>
        </w:rPr>
        <w:instrText xml:space="preserve">42、藁城区南部片区城市设计提升绩效目标表</w:instrText>
      </w:r>
      <w:bookmarkEnd w:id="4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324-0601-YBN-PT8T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藁城区南部片区城市设计提升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根据提升县城品质工作方案要求，编制两项详细城市设计，我区拟将</w:t>
            </w:r>
            <w:r>
              <w:rPr>
                <w:rFonts w:ascii="方正书宋_GBK" w:eastAsia="方正书宋_GBK"/>
              </w:rPr>
              <w:t>2016</w:t>
            </w:r>
            <w:r>
              <w:rPr>
                <w:rFonts w:hint="eastAsia" w:ascii="方正书宋_GBK" w:eastAsia="方正书宋_GBK"/>
              </w:rPr>
              <w:t>年编制的南部片区城市设计进行提升。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、指导藁城南部片区建设，打造藁城的公共服务、居住教育区，合理布置藁城的商务聚集区、藁城新公园、藁城文化馆、体育中心等市级公共服务中心、科研文教中心、娱乐消费中心。</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完成规划项目占总项目比率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完成规划设计项目占全年总项目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规划项目完成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规划编制完成率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规划编制实际完成数量占全年计划完成量的比例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规划方案完成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专家评审通过率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通过专家评审的数量占全年规划编制数量的比例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按计划完成规划编制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按规划设计要求完成专项项目</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图纸</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规划成果图</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43、藁城区农村所有权补充调查项目绩效目标表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6" w:name="_Toc29735873"/>
      <w:r>
        <w:rPr>
          <w:rFonts w:hint="eastAsia" w:ascii="方正仿宋_GBK" w:eastAsia="方正仿宋_GBK"/>
          <w:b/>
          <w:sz w:val="28"/>
        </w:rPr>
        <w:instrText xml:space="preserve">43、藁城区农村所有权补充调查项目绩效目标表</w:instrText>
      </w:r>
      <w:bookmarkEnd w:id="4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324-0115-YBN-12LB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藁城区农村所有权补充调查项目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项目概况：涉及</w:t>
            </w:r>
            <w:r>
              <w:rPr>
                <w:rFonts w:ascii="方正书宋_GBK" w:eastAsia="方正书宋_GBK"/>
              </w:rPr>
              <w:t>226</w:t>
            </w:r>
            <w:r>
              <w:rPr>
                <w:rFonts w:hint="eastAsia" w:ascii="方正书宋_GBK" w:eastAsia="方正书宋_GBK"/>
              </w:rPr>
              <w:t>个行政村、面积</w:t>
            </w:r>
            <w:r>
              <w:rPr>
                <w:rFonts w:ascii="方正书宋_GBK" w:eastAsia="方正书宋_GBK"/>
              </w:rPr>
              <w:t>758.87</w:t>
            </w:r>
            <w:r>
              <w:rPr>
                <w:rFonts w:hint="eastAsia" w:ascii="方正书宋_GBK" w:eastAsia="方正书宋_GBK"/>
              </w:rPr>
              <w:t>平方公里，地籍子区调整，所有权数据库更新，所需资金</w:t>
            </w:r>
            <w:r>
              <w:rPr>
                <w:rFonts w:ascii="方正书宋_GBK" w:eastAsia="方正书宋_GBK"/>
              </w:rPr>
              <w:t>20</w:t>
            </w:r>
            <w:r>
              <w:rPr>
                <w:rFonts w:hint="eastAsia" w:ascii="方正书宋_GBK" w:eastAsia="方正书宋_GBK"/>
              </w:rPr>
              <w:t>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、完成所有权补充调查项目被验收</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转换所有权登记数据坐标系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转换地籍区、所有权、征地坐标为</w:t>
            </w:r>
            <w:r>
              <w:rPr>
                <w:rFonts w:ascii="方正书宋_GBK" w:eastAsia="方正书宋_GBK"/>
              </w:rPr>
              <w:t>2000</w:t>
            </w:r>
            <w:r>
              <w:rPr>
                <w:rFonts w:hint="eastAsia" w:ascii="方正书宋_GBK" w:eastAsia="方正书宋_GBK"/>
              </w:rPr>
              <w:t>坐标系</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758Km2</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2012</w:t>
            </w:r>
            <w:r>
              <w:rPr>
                <w:rFonts w:hint="eastAsia" w:ascii="方正书宋_GBK" w:eastAsia="方正书宋_GBK"/>
              </w:rPr>
              <w:t>年所有权数据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开展所有权补充调查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开展所有权外业调查和内业整理、妥善处理争议、</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758Km2</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2012</w:t>
            </w:r>
            <w:r>
              <w:rPr>
                <w:rFonts w:hint="eastAsia" w:ascii="方正书宋_GBK" w:eastAsia="方正书宋_GBK"/>
              </w:rPr>
              <w:t>年所有权数据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成果质量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数据完整规范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满足不动产发证需要</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《农村集体土地所有权补充调查的通知》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节约财政支出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批量开展补充调查，节约财政支出</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20</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《测绘生产成本费用定额</w:t>
            </w:r>
            <w:r>
              <w:rPr>
                <w:rFonts w:ascii="方正书宋_GBK" w:eastAsia="方正书宋_GBK"/>
              </w:rPr>
              <w:t>(2009</w:t>
            </w:r>
            <w:r>
              <w:rPr>
                <w:rFonts w:hint="eastAsia" w:ascii="方正书宋_GBK" w:eastAsia="方正书宋_GBK"/>
              </w:rPr>
              <w:t>年版</w:t>
            </w:r>
            <w:r>
              <w:rPr>
                <w:rFonts w:ascii="方正书宋_GBK" w:eastAsia="方正书宋_GBK"/>
              </w:rPr>
              <w:t>)</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对藁城社会发展起到积极影响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项目的实施为社会创造一定的效益，便民服务进一步加强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保障能力得到提升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社会调查</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44、藁城区生态保护红线评估资金绩效目标表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7" w:name="_Toc29735874"/>
      <w:r>
        <w:rPr>
          <w:rFonts w:hint="eastAsia" w:ascii="方正仿宋_GBK" w:eastAsia="方正仿宋_GBK"/>
          <w:b/>
          <w:sz w:val="28"/>
        </w:rPr>
        <w:instrText xml:space="preserve">44、藁城区生态保护红线评估资金绩效目标表</w:instrText>
      </w:r>
      <w:bookmarkEnd w:id="4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324-0111-JBN-CZ60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藁城区生态保护红线评估资金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根据石家庄市自然资源和规划局、石家庄市生态环境局关于开展生态保护红线评估工作的函，要求各县市区对辖区内的生态红线进行自查，按照冀自然资函</w:t>
            </w:r>
            <w:r>
              <w:rPr>
                <w:rFonts w:ascii="方正书宋_GBK" w:eastAsia="方正书宋_GBK"/>
              </w:rPr>
              <w:t>[2019]432</w:t>
            </w:r>
            <w:r>
              <w:rPr>
                <w:rFonts w:hint="eastAsia" w:ascii="方正书宋_GBK" w:eastAsia="方正书宋_GBK"/>
              </w:rPr>
              <w:t>号要求编制评估报告，因此需要申请生态保护红线预算。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、完成生态保护评估报告</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及时完成上级安排的生态保护红线评估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生态红线调整建议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按照生态红线管控规则，提出生态红线调整建议</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按照生态红线管控规则，提出生态红线调整建议</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提出生态红线调整建议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评估报告完成情况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按照要求编制生态红线自查报告</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按照要求编制生态红线评估报告</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完成生态红线自查报告</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45、藁城区试点村规划、高铁调整沿线村庄规划绩效目标表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8" w:name="_Toc29735875"/>
      <w:r>
        <w:rPr>
          <w:rFonts w:hint="eastAsia" w:ascii="方正仿宋_GBK" w:eastAsia="方正仿宋_GBK"/>
          <w:b/>
          <w:sz w:val="28"/>
        </w:rPr>
        <w:instrText xml:space="preserve">45、藁城区试点村规划、高铁调整沿线村庄规划绩效目标表</w:instrText>
      </w:r>
      <w:bookmarkEnd w:id="4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324-0601-YBN-AT7Q</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藁城区试点村规划、高铁调整沿线村庄规划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按照《河北省自然资源厅办公室关于加快推进京石京雄高速铁路公路沿线村庄规划编制的通知》要求，编制完成藁城区试点村规划、京石高铁高速沿线村庄规划。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、高标准完成京石高铁高速沿线村庄规划（</w:t>
            </w:r>
            <w:r>
              <w:rPr>
                <w:rFonts w:ascii="方正书宋_GBK" w:eastAsia="方正书宋_GBK"/>
              </w:rPr>
              <w:t>43</w:t>
            </w:r>
            <w:r>
              <w:rPr>
                <w:rFonts w:hint="eastAsia" w:ascii="方正书宋_GBK" w:eastAsia="方正书宋_GBK"/>
              </w:rPr>
              <w:t>个村），试点村规划（除京石高铁高速沿线涉及外的</w:t>
            </w:r>
            <w:r>
              <w:rPr>
                <w:rFonts w:ascii="方正书宋_GBK" w:eastAsia="方正书宋_GBK"/>
              </w:rPr>
              <w:t>6</w:t>
            </w:r>
            <w:r>
              <w:rPr>
                <w:rFonts w:hint="eastAsia" w:ascii="方正书宋_GBK" w:eastAsia="方正书宋_GBK"/>
              </w:rPr>
              <w:t>个乡镇，每个镇一个试点）、编制</w:t>
            </w:r>
            <w:r>
              <w:rPr>
                <w:rFonts w:hint="cs" w:ascii="方正书宋_GBK" w:eastAsia="方正书宋_GBK"/>
              </w:rPr>
              <w:t>“</w:t>
            </w:r>
            <w:r>
              <w:rPr>
                <w:rFonts w:hint="eastAsia" w:ascii="方正书宋_GBK" w:eastAsia="方正书宋_GBK"/>
              </w:rPr>
              <w:t>多规合一</w:t>
            </w:r>
            <w:r>
              <w:rPr>
                <w:rFonts w:hint="cs" w:ascii="方正书宋_GBK" w:eastAsia="方正书宋_GBK"/>
              </w:rPr>
              <w:t>”</w:t>
            </w:r>
            <w:r>
              <w:rPr>
                <w:rFonts w:hint="eastAsia" w:ascii="方正书宋_GBK" w:eastAsia="方正书宋_GBK"/>
              </w:rPr>
              <w:t>、能充分保护村民利益、实用易懂、接地气的规划成果。</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完成规划项目占总项目比率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完成规划设计项目占全年总项目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规划项目完成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规划编制完成率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规划编制实际完成数量占全年计划完成量的比例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规划方案完成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专家评审通过率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通过专家评审的数量占全年规划编制数量的比例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按计划完成规划编制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按规划设计要求完成专项项目</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图纸</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规划成果图</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46、藁城区土地利用总体规划（2010-2020年）调整资金绩效目标表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9" w:name="_Toc29735876"/>
      <w:r>
        <w:rPr>
          <w:rFonts w:hint="eastAsia" w:ascii="方正仿宋_GBK" w:eastAsia="方正仿宋_GBK"/>
          <w:b/>
          <w:sz w:val="28"/>
        </w:rPr>
        <w:instrText xml:space="preserve">46、藁城区土地利用总体规划（2010-2020年）调整资金绩效目标表</w:instrText>
      </w:r>
      <w:bookmarkEnd w:id="4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324-0111-YBN-TH2H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藁城区土地利用总体规划（</w:t>
            </w:r>
            <w:r>
              <w:rPr>
                <w:rFonts w:ascii="方正书宋_GBK" w:eastAsia="方正书宋_GBK"/>
              </w:rPr>
              <w:t>2010-2020</w:t>
            </w:r>
            <w:r>
              <w:rPr>
                <w:rFonts w:hint="eastAsia" w:ascii="方正书宋_GBK" w:eastAsia="方正书宋_GBK"/>
              </w:rPr>
              <w:t>年）调整资金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在藁城区土地利用总体规划（</w:t>
            </w:r>
            <w:r>
              <w:rPr>
                <w:rFonts w:ascii="方正书宋_GBK" w:eastAsia="方正书宋_GBK"/>
              </w:rPr>
              <w:t>2010-2020</w:t>
            </w:r>
            <w:r>
              <w:rPr>
                <w:rFonts w:hint="eastAsia" w:ascii="方正书宋_GBK" w:eastAsia="方正书宋_GBK"/>
              </w:rPr>
              <w:t>年）调整方案里，充分衔接城乡规划和生态环境保护规划等规划成果，建设用地规模合理控制，优化土地利用结构和用地布局。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、在藁城区土地利用总体规划（</w:t>
            </w:r>
            <w:r>
              <w:rPr>
                <w:rFonts w:ascii="方正书宋_GBK" w:eastAsia="方正书宋_GBK"/>
              </w:rPr>
              <w:t>2010-2020</w:t>
            </w:r>
            <w:r>
              <w:rPr>
                <w:rFonts w:hint="eastAsia" w:ascii="方正书宋_GBK" w:eastAsia="方正书宋_GBK"/>
              </w:rPr>
              <w:t>年）调整方案中，对本区内地块进行规划调整，进一步优化土地利用结构和用地布局。</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土地规划修改调整完善率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完善的土地规划修改调整占年计划比率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规划方案听证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土地规划编制完成率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完成的土地规划编制占年计划规划比率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上报省厅、石市国土局备案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综合利用率（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修改和调整后土地规划的利用、使用情况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土地规划利用规划图</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47、藁城区一体化综合咨询规划绩效目标表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0" w:name="_Toc29735877"/>
      <w:r>
        <w:rPr>
          <w:rFonts w:hint="eastAsia" w:ascii="方正仿宋_GBK" w:eastAsia="方正仿宋_GBK"/>
          <w:b/>
          <w:sz w:val="28"/>
        </w:rPr>
        <w:instrText xml:space="preserve">47、藁城区一体化综合咨询规划绩效目标表</w:instrText>
      </w:r>
      <w:bookmarkEnd w:id="5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324-0601-JBN-K209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藁城区一体化综合咨询规划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年完成本项目规划的评审、招投标、规划编制工作。编制区级层面的一体化综合咨询规划，和市规划院及中规院项目组全面对接，把藁城区的发展设想纳入到石家庄市国土空间规划中落实实施。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、编制藁城区的一体化综合咨询规划，和市规划院及中规院项目组全面对接，把藁城区的发展设想纳入到石家庄市总体层面的决定规划中落实实施。</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完成规划项目占总项目比率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完成规划设计项目占全年总项目的比例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规划项目完成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规划编制完成率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规划编制实际完成数量占全年计划完成量的比例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规划方案完成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专家评审通过率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通过专家评审的数量占全年规划编制数量的比例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按计划完成规划编制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按规划设计要求完成专项项目</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规划成果图</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48、藁城区永久基本农田摸底调查工作资金绩效目标表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1" w:name="_Toc29735878"/>
      <w:r>
        <w:rPr>
          <w:rFonts w:hint="eastAsia" w:ascii="方正仿宋_GBK" w:eastAsia="方正仿宋_GBK"/>
          <w:b/>
          <w:sz w:val="28"/>
        </w:rPr>
        <w:instrText xml:space="preserve">48、藁城区永久基本农田摸底调查工作资金绩效目标表</w:instrText>
      </w:r>
      <w:bookmarkEnd w:id="5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324-0113-YBN-DVQZ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藁城区永久基本农田摸底调查工作资金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19.78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19.78</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以</w:t>
            </w:r>
            <w:r>
              <w:rPr>
                <w:rFonts w:ascii="方正书宋_GBK" w:eastAsia="方正书宋_GBK"/>
              </w:rPr>
              <w:t>2017</w:t>
            </w:r>
            <w:r>
              <w:rPr>
                <w:rFonts w:hint="eastAsia" w:ascii="方正书宋_GBK" w:eastAsia="方正书宋_GBK"/>
              </w:rPr>
              <w:t>年度土地变更调查、地理国情监测、耕地质量调查监测与评价等成果为基础，结合第三次土地调查、自然资源督查、土地资源遥感监测，对本区永久基本农田划定成果进行汇总</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、找出明确不符合永久基本农田要求地块</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、上报明确不符合永久基本农田要求地块坐标（</w:t>
            </w:r>
            <w:r>
              <w:rPr>
                <w:rFonts w:ascii="方正书宋_GBK" w:eastAsia="方正书宋_GBK"/>
              </w:rPr>
              <w:t>SHP</w:t>
            </w:r>
            <w:r>
              <w:rPr>
                <w:rFonts w:hint="eastAsia" w:ascii="方正书宋_GBK" w:eastAsia="方正书宋_GBK"/>
              </w:rPr>
              <w:t>格式）。</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明确不符合永久基本农田要求地块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明确不符合永久基本农田要求地块面积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1226.8</w:t>
            </w:r>
            <w:r>
              <w:rPr>
                <w:rFonts w:hint="eastAsia" w:ascii="方正书宋_GBK" w:eastAsia="方正书宋_GBK"/>
              </w:rPr>
              <w:t>公顷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通过省厅验收的比率</w:t>
            </w:r>
            <w:r>
              <w:rPr>
                <w:rFonts w:ascii="方正书宋_GBK" w:eastAsia="方正书宋_GBK"/>
              </w:rPr>
              <w:t xml:space="preserve"> </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省厅验收文件</w:t>
            </w:r>
            <w:r>
              <w:rPr>
                <w:rFonts w:ascii="方正书宋_GBK" w:eastAsia="方正书宋_GBK"/>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集约节约，保护耕地红线</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坚持最严格的耕地保护制度和最严格的节约用地制度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确保永久基本农田数量不减少，质量提升，布局稳定。</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自然资规【</w:t>
            </w:r>
            <w:r>
              <w:rPr>
                <w:rFonts w:ascii="方正书宋_GBK" w:eastAsia="方正书宋_GBK"/>
              </w:rPr>
              <w:t>2019</w:t>
            </w:r>
            <w:r>
              <w:rPr>
                <w:rFonts w:hint="eastAsia" w:ascii="方正书宋_GBK" w:eastAsia="方正书宋_GBK"/>
              </w:rPr>
              <w:t>】</w:t>
            </w:r>
            <w:r>
              <w:rPr>
                <w:rFonts w:ascii="方正书宋_GBK" w:eastAsia="方正书宋_GBK"/>
              </w:rPr>
              <w:t>1</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pgNumType w:fmt="decimal"/>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49、藁城区中心城区控制性详细规划修编绩效目标表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2" w:name="_Toc29735879"/>
      <w:r>
        <w:rPr>
          <w:rFonts w:hint="eastAsia" w:ascii="方正仿宋_GBK" w:eastAsia="方正仿宋_GBK"/>
          <w:b/>
          <w:sz w:val="28"/>
        </w:rPr>
        <w:instrText xml:space="preserve">49、藁城区中心城区控制性详细规划修编绩效目标表</w:instrText>
      </w:r>
      <w:bookmarkEnd w:id="5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324002</w:t>
            </w:r>
            <w:r>
              <w:rPr>
                <w:rFonts w:hint="eastAsia" w:ascii="方正书宋_GBK" w:eastAsia="方正书宋_GBK"/>
                <w:b/>
              </w:rPr>
              <w:t>石家庄市藁城区自然资源和规划局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324-0601-JBN-4PBC</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藁城区中心城区控制性详细规划修编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225.40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225.40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年完成本项目规划的评审、招投标。结合区领导的指示，我区需对接中心城区，根据城市总体规划开展我区控制性详细规划修编工作。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、利用城市规划专业技术手段，实现中心城区绿色健康发展。</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完成规划项目占总项目比率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完成规划设计项目占全年总项目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规划项目完成数量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规划编制完成率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规划编制实际完成数量占全年计划完成量的比例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规划方案完成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专家评审通过率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通过专家评审的数量占全年规划编制数量的比例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按计划完成规划编制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按规划设计要求完成专项项目</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验收合格</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规划成果图</w:t>
            </w:r>
          </w:p>
        </w:tc>
      </w:tr>
    </w:tbl>
    <w:p>
      <w:pPr>
        <w:spacing w:line="300" w:lineRule="exact"/>
        <w:jc w:val="left"/>
        <w:rPr>
          <w:rFonts w:hint="eastAsia" w:eastAsia="宋体"/>
          <w:lang w:eastAsia="zh-CN"/>
        </w:rPr>
        <w:sectPr>
          <w:pgSz w:w="11907" w:h="16839"/>
          <w:pgMar w:top="1984" w:right="1304" w:bottom="1134" w:left="1304" w:header="851" w:footer="992" w:gutter="0"/>
          <w:pgNumType w:fmt="decimal"/>
          <w:cols w:space="425" w:num="1"/>
          <w:docGrid w:type="lines" w:linePitch="312" w:charSpace="0"/>
        </w:sectPr>
      </w:pPr>
    </w:p>
    <w:p>
      <w:pPr>
        <w:spacing w:line="300" w:lineRule="exact"/>
        <w:jc w:val="left"/>
        <w:rPr>
          <w:rFonts w:hint="eastAsia" w:eastAsia="宋体"/>
          <w:vanish/>
          <w:lang w:eastAsia="zh-CN"/>
        </w:rPr>
      </w:pPr>
    </w:p>
    <w:p>
      <w:pPr>
        <w:spacing w:line="300" w:lineRule="exact"/>
        <w:jc w:val="left"/>
        <w:rPr>
          <w:rFonts w:hint="eastAsia" w:eastAsia="宋体"/>
          <w:lang w:eastAsia="zh-CN"/>
        </w:rPr>
      </w:pPr>
    </w:p>
    <w:p>
      <w:pPr>
        <w:spacing w:line="300" w:lineRule="exact"/>
        <w:jc w:val="left"/>
        <w:rPr>
          <w:rFonts w:hint="eastAsia" w:eastAsia="宋体"/>
          <w:vanish/>
          <w:lang w:eastAsia="zh-CN"/>
        </w:rPr>
      </w:pPr>
    </w:p>
    <w:p>
      <w:pPr>
        <w:spacing w:line="300" w:lineRule="exact"/>
        <w:jc w:val="left"/>
        <w:rPr>
          <w:rFonts w:hint="eastAsia" w:eastAsia="宋体"/>
          <w:vanish/>
          <w:lang w:eastAsia="zh-CN"/>
        </w:rPr>
      </w:pPr>
    </w:p>
    <w:p>
      <w:pPr>
        <w:spacing w:line="300" w:lineRule="exact"/>
        <w:jc w:val="left"/>
        <w:rPr>
          <w:rFonts w:hint="eastAsia" w:eastAsia="宋体"/>
          <w:vanish/>
          <w:lang w:eastAsia="zh-CN"/>
        </w:rPr>
        <w:sectPr>
          <w:footerReference r:id="rId4" w:type="default"/>
          <w:pgSz w:w="16839" w:h="11907" w:orient="landscape"/>
          <w:pgMar w:top="1304" w:right="1440" w:bottom="1304" w:left="1440" w:header="851" w:footer="992" w:gutter="0"/>
          <w:pgNumType w:fmt="decimal"/>
          <w:cols w:space="0" w:num="1"/>
          <w:rtlGutter w:val="0"/>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53"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1220.71</w:t>
      </w:r>
      <w:r>
        <w:rPr>
          <w:rFonts w:ascii="Times New Roman" w:hAnsi="Times New Roman" w:eastAsia="仿宋" w:cs="Times New Roman"/>
          <w:sz w:val="32"/>
          <w:szCs w:val="24"/>
        </w:rPr>
        <w:t>万元。具体内容见下表。</w:t>
      </w:r>
      <w:bookmarkEnd w:id="53"/>
    </w:p>
    <w:p>
      <w:pPr>
        <w:ind w:firstLine="640" w:firstLineChars="200"/>
        <w:jc w:val="center"/>
        <w:outlineLvl w:val="0"/>
        <w:rPr>
          <w:rFonts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54" w:name="_Toc29742393"/>
      <w:r>
        <w:rPr>
          <w:rFonts w:hint="eastAsia" w:ascii="方正小标宋_GBK" w:eastAsia="方正小标宋_GBK"/>
          <w:sz w:val="32"/>
        </w:rPr>
        <w:instrText xml:space="preserve">部门政府采购预算</w:instrText>
      </w:r>
      <w:bookmarkEnd w:id="54"/>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507"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324</w:t>
            </w:r>
            <w:r>
              <w:rPr>
                <w:rFonts w:hint="eastAsia" w:ascii="方正小标宋_GBK" w:eastAsia="方正小标宋_GBK"/>
                <w:sz w:val="24"/>
              </w:rPr>
              <w:t>石家庄市藁城区自然资源和规划局</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outlineLvl w:val="0"/>
              <w:rPr>
                <w:rFonts w:eastAsia="方正仿宋_GBK"/>
                <w:sz w:val="28"/>
              </w:rPr>
            </w:pPr>
          </w:p>
        </w:tc>
        <w:tc>
          <w:tcPr>
            <w:tcW w:w="1531" w:type="dxa"/>
            <w:vMerge w:val="continue"/>
            <w:shd w:val="clear" w:color="auto" w:fill="auto"/>
            <w:vAlign w:val="center"/>
          </w:tcPr>
          <w:p>
            <w:pPr>
              <w:spacing w:line="300" w:lineRule="exact"/>
              <w:jc w:val="left"/>
              <w:outlineLvl w:val="0"/>
              <w:rPr>
                <w:rFonts w:eastAsia="方正仿宋_GBK"/>
                <w:sz w:val="28"/>
              </w:rPr>
            </w:pPr>
          </w:p>
        </w:tc>
        <w:tc>
          <w:tcPr>
            <w:tcW w:w="709" w:type="dxa"/>
            <w:vMerge w:val="continue"/>
            <w:shd w:val="clear" w:color="auto" w:fill="auto"/>
            <w:vAlign w:val="center"/>
          </w:tcPr>
          <w:p>
            <w:pPr>
              <w:spacing w:line="300" w:lineRule="exact"/>
              <w:jc w:val="left"/>
              <w:outlineLvl w:val="0"/>
              <w:rPr>
                <w:rFonts w:eastAsia="方正仿宋_GBK"/>
                <w:sz w:val="28"/>
              </w:rPr>
            </w:pPr>
          </w:p>
        </w:tc>
        <w:tc>
          <w:tcPr>
            <w:tcW w:w="907" w:type="dxa"/>
            <w:vMerge w:val="continue"/>
            <w:shd w:val="clear" w:color="auto" w:fill="auto"/>
            <w:vAlign w:val="center"/>
          </w:tcPr>
          <w:p>
            <w:pPr>
              <w:spacing w:line="300" w:lineRule="exact"/>
              <w:jc w:val="left"/>
              <w:outlineLvl w:val="0"/>
              <w:rPr>
                <w:rFonts w:eastAsia="方正仿宋_GBK"/>
                <w:sz w:val="28"/>
              </w:rPr>
            </w:pPr>
          </w:p>
        </w:tc>
        <w:tc>
          <w:tcPr>
            <w:tcW w:w="907" w:type="dxa"/>
            <w:vMerge w:val="continue"/>
            <w:shd w:val="clear" w:color="auto" w:fill="auto"/>
            <w:vAlign w:val="center"/>
          </w:tcPr>
          <w:p>
            <w:pPr>
              <w:spacing w:line="300" w:lineRule="exact"/>
              <w:jc w:val="left"/>
              <w:outlineLvl w:val="0"/>
              <w:rPr>
                <w:rFonts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石家庄市藁城区自然资源和规划局小计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1220.71</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1220.71</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第三次全国土地调查耕地质量分等定级专项调查资金</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40.37</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测绘服务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C0904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40.37</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40.37</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40.37</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宅基地、集体建设用地土地确权调查资金</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其他专业技术服务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C0908</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数字规划系统及城镇实景三维空间数据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39.18</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城市规划和设计服务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C1301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39.18</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39.18</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39.18</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年藁城区控制性详细规划动态维护</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城市规划和设计服务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C1301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80.00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兴华路两侧城市设计</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城市规划和设计服务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C1301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藁城区一体化综合咨询规划</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城市规划和设计服务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C1301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不动产数据整合尾款</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数据加工处理服务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C020302</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藁城区中心城区控制性详细规划修编</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225.40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城市规划和设计服务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C1301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225.40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225.40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225.40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11</w:t>
            </w:r>
            <w:r>
              <w:rPr>
                <w:rFonts w:hint="eastAsia" w:ascii="方正书宋_GBK" w:eastAsia="方正书宋_GBK"/>
              </w:rPr>
              <w:t>个乡镇过渡期规划费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城市规划和设计服务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C1301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藁城区控制性详细规划动态维护</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42.00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城市规划和设计服务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C1301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42.00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42.00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42.00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乡镇国土空间规划</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城市规划和设计服务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C1301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不动产交易登记互联网综合平台建设资金</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基础环境集成实施服务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C020201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城中村改造城市设计</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城市规划和设计服务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C1301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藁城区试点村规划、高铁调整沿线村庄规划</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城市规划和设计服务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C1301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京港澳高速景观林带管护费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63.76</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林木抚育管理服务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C210202</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63.76</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63.76</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63.76</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藁城区农村所有权补充调查项目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测绘服务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C0904</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藁城区土地利用总体规划（</w:t>
            </w:r>
            <w:r>
              <w:rPr>
                <w:rFonts w:ascii="方正书宋_GBK" w:eastAsia="方正书宋_GBK"/>
              </w:rPr>
              <w:t>2010-2020</w:t>
            </w:r>
            <w:r>
              <w:rPr>
                <w:rFonts w:hint="eastAsia" w:ascii="方正书宋_GBK" w:eastAsia="方正书宋_GBK"/>
              </w:rPr>
              <w:t>年）调整资金</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其他专业技术服务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C0908</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全国土地变更调查与遥感监测资金（</w:t>
            </w:r>
            <w:r>
              <w:rPr>
                <w:rFonts w:ascii="方正书宋_GBK" w:eastAsia="方正书宋_GBK"/>
              </w:rPr>
              <w:t>2019</w:t>
            </w:r>
            <w:r>
              <w:rPr>
                <w:rFonts w:hint="eastAsia" w:ascii="方正书宋_GBK" w:eastAsia="方正书宋_GBK"/>
              </w:rPr>
              <w:t>年度）</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测绘服务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C0904</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全国第三次土地调查项目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测绘服务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C0904</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不动产数据成果更新完善及登记系统维护费用</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基础环境运维服务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C020601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0"/>
        <w:rPr>
          <w:rFonts w:eastAsia="方正仿宋_GBK"/>
          <w:sz w:val="28"/>
        </w:rPr>
        <w:sectPr>
          <w:pgSz w:w="16839" w:h="11907" w:orient="landscape"/>
          <w:pgMar w:top="1361" w:right="1020" w:bottom="1361" w:left="1020" w:header="851" w:footer="992" w:gutter="0"/>
          <w:pgNumType w:fmt="decimal"/>
          <w:cols w:space="425" w:num="1"/>
          <w:docGrid w:type="lines" w:linePitch="312" w:charSpace="0"/>
        </w:sectPr>
      </w:pPr>
    </w:p>
    <w:p>
      <w:pPr>
        <w:outlineLvl w:val="0"/>
        <w:rPr>
          <w:rFonts w:ascii="Times New Roman" w:hAnsi="Times New Roman" w:eastAsia="仿宋" w:cs="Times New Roman"/>
          <w:sz w:val="32"/>
          <w:szCs w:val="24"/>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auto"/>
          <w:sz w:val="32"/>
          <w:szCs w:val="32"/>
          <w:highlight w:val="none"/>
        </w:rPr>
      </w:pPr>
      <w:r>
        <w:rPr>
          <w:rFonts w:hint="eastAsia" w:ascii="Times New Roman" w:hAnsi="Times New Roman" w:eastAsia="仿宋" w:cs="Times New Roman"/>
          <w:color w:val="auto"/>
          <w:sz w:val="32"/>
          <w:szCs w:val="32"/>
          <w:highlight w:val="none"/>
          <w:lang w:val="en-US" w:eastAsia="zh-CN"/>
        </w:rPr>
        <w:t>石家庄市藁城区自然资源和规划局</w:t>
      </w:r>
      <w:r>
        <w:rPr>
          <w:rFonts w:hint="eastAsia" w:ascii="Times New Roman" w:hAnsi="Times New Roman" w:eastAsia="仿宋" w:cs="Times New Roman"/>
          <w:color w:val="auto"/>
          <w:sz w:val="32"/>
          <w:szCs w:val="32"/>
          <w:highlight w:val="none"/>
        </w:rPr>
        <w:t>201</w:t>
      </w:r>
      <w:r>
        <w:rPr>
          <w:rFonts w:hint="eastAsia" w:ascii="Times New Roman" w:hAnsi="Times New Roman" w:eastAsia="仿宋" w:cs="Times New Roman"/>
          <w:color w:val="auto"/>
          <w:sz w:val="32"/>
          <w:szCs w:val="32"/>
          <w:highlight w:val="none"/>
          <w:lang w:val="en-US" w:eastAsia="zh-CN"/>
        </w:rPr>
        <w:t>9</w:t>
      </w:r>
      <w:r>
        <w:rPr>
          <w:rFonts w:ascii="Times New Roman" w:hAnsi="Times New Roman" w:eastAsia="仿宋" w:cs="Times New Roman"/>
          <w:color w:val="auto"/>
          <w:sz w:val="32"/>
          <w:szCs w:val="32"/>
          <w:highlight w:val="none"/>
        </w:rPr>
        <w:t>年末固定资产金额为</w:t>
      </w:r>
      <w:r>
        <w:rPr>
          <w:rFonts w:hint="eastAsia" w:ascii="Times New Roman" w:hAnsi="Times New Roman" w:eastAsia="仿宋" w:cs="Times New Roman"/>
          <w:color w:val="auto"/>
          <w:sz w:val="32"/>
          <w:szCs w:val="32"/>
          <w:highlight w:val="none"/>
          <w:lang w:val="en-US" w:eastAsia="zh-CN"/>
        </w:rPr>
        <w:t>1852.82</w:t>
      </w:r>
      <w:r>
        <w:rPr>
          <w:rFonts w:ascii="Times New Roman" w:hAnsi="Times New Roman" w:eastAsia="仿宋" w:cs="Times New Roman"/>
          <w:color w:val="auto"/>
          <w:sz w:val="32"/>
          <w:szCs w:val="32"/>
          <w:highlight w:val="none"/>
        </w:rPr>
        <w:t>万元（详见下表），本年度各单位</w:t>
      </w:r>
      <w:r>
        <w:rPr>
          <w:rFonts w:hint="eastAsia" w:ascii="Times New Roman" w:hAnsi="Times New Roman" w:eastAsia="仿宋" w:cs="Times New Roman"/>
          <w:color w:val="auto"/>
          <w:sz w:val="32"/>
          <w:szCs w:val="32"/>
          <w:highlight w:val="none"/>
        </w:rPr>
        <w:t>（处室）</w:t>
      </w:r>
      <w:r>
        <w:rPr>
          <w:rFonts w:ascii="Times New Roman" w:hAnsi="Times New Roman" w:eastAsia="仿宋" w:cs="Times New Roman"/>
          <w:color w:val="auto"/>
          <w:sz w:val="32"/>
          <w:szCs w:val="32"/>
          <w:highlight w:val="none"/>
        </w:rPr>
        <w:t>拟购置固定资产</w:t>
      </w:r>
      <w:r>
        <w:rPr>
          <w:rFonts w:hint="eastAsia" w:ascii="Times New Roman" w:hAnsi="Times New Roman" w:eastAsia="仿宋" w:cs="Times New Roman"/>
          <w:color w:val="auto"/>
          <w:sz w:val="32"/>
          <w:szCs w:val="32"/>
          <w:highlight w:val="none"/>
        </w:rPr>
        <w:t>总额为</w:t>
      </w:r>
      <w:r>
        <w:rPr>
          <w:rFonts w:hint="eastAsia" w:ascii="Times New Roman" w:hAnsi="Times New Roman" w:eastAsia="仿宋" w:cs="Times New Roman"/>
          <w:color w:val="auto"/>
          <w:sz w:val="32"/>
          <w:szCs w:val="32"/>
          <w:highlight w:val="none"/>
          <w:lang w:val="en-US" w:eastAsia="zh-CN"/>
        </w:rPr>
        <w:t>20</w:t>
      </w:r>
      <w:r>
        <w:rPr>
          <w:rFonts w:ascii="Times New Roman" w:hAnsi="Times New Roman" w:eastAsia="仿宋" w:cs="Times New Roman"/>
          <w:color w:val="auto"/>
          <w:sz w:val="32"/>
          <w:szCs w:val="32"/>
          <w:highlight w:val="none"/>
        </w:rPr>
        <w:t>万元，主要为计算机、一体机、打印机、投影仪等，已列入政府采购预算表</w:t>
      </w:r>
      <w:r>
        <w:rPr>
          <w:rFonts w:hint="eastAsia" w:ascii="Times New Roman" w:hAnsi="Times New Roman" w:eastAsia="仿宋" w:cs="Times New Roman"/>
          <w:color w:val="auto"/>
          <w:sz w:val="32"/>
          <w:szCs w:val="32"/>
          <w:highlight w:val="none"/>
        </w:rPr>
        <w:t>不动产数据成果更新完善及登记系统维护费用，详见政府采购预算表。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color w:val="auto"/>
                <w:kern w:val="0"/>
                <w:sz w:val="32"/>
                <w:szCs w:val="32"/>
                <w:highlight w:val="none"/>
              </w:rPr>
            </w:pPr>
            <w:r>
              <w:rPr>
                <w:rFonts w:hint="eastAsia" w:ascii="宋体" w:hAnsi="宋体" w:cs="宋体"/>
                <w:b/>
                <w:bCs/>
                <w:color w:val="auto"/>
                <w:kern w:val="0"/>
                <w:sz w:val="32"/>
                <w:szCs w:val="32"/>
                <w:highlight w:val="none"/>
                <w:lang w:val="en-US" w:eastAsia="zh-CN"/>
              </w:rPr>
              <w:t>石家庄市藁城区自然资源和规划局</w:t>
            </w:r>
            <w:r>
              <w:rPr>
                <w:rFonts w:hint="eastAsia" w:ascii="宋体" w:hAnsi="宋体" w:cs="宋体"/>
                <w:b/>
                <w:bCs/>
                <w:color w:val="auto"/>
                <w:kern w:val="0"/>
                <w:sz w:val="32"/>
                <w:szCs w:val="32"/>
                <w:highlight w:val="none"/>
              </w:rPr>
              <w:t>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default" w:ascii="Times New Roman" w:hAnsi="Times New Roman" w:eastAsia="仿宋" w:cs="Times New Roman"/>
                <w:color w:val="auto"/>
                <w:kern w:val="0"/>
                <w:sz w:val="22"/>
                <w:highlight w:val="none"/>
                <w:lang w:val="en-US" w:eastAsia="zh-CN"/>
              </w:rPr>
            </w:pPr>
            <w:r>
              <w:rPr>
                <w:rFonts w:ascii="Times New Roman" w:hAnsi="Times New Roman" w:eastAsia="仿宋" w:cs="Times New Roman"/>
                <w:color w:val="auto"/>
                <w:kern w:val="0"/>
                <w:sz w:val="22"/>
                <w:highlight w:val="none"/>
              </w:rPr>
              <w:t>编制部门：</w:t>
            </w:r>
            <w:r>
              <w:rPr>
                <w:rFonts w:hint="eastAsia" w:ascii="Times New Roman" w:hAnsi="Times New Roman" w:eastAsia="仿宋" w:cs="Times New Roman"/>
                <w:color w:val="auto"/>
                <w:kern w:val="0"/>
                <w:sz w:val="22"/>
                <w:highlight w:val="none"/>
                <w:lang w:eastAsia="zh-CN"/>
              </w:rPr>
              <w:t>石家庄市</w:t>
            </w:r>
            <w:r>
              <w:rPr>
                <w:rFonts w:hint="eastAsia" w:ascii="Times New Roman" w:hAnsi="Times New Roman" w:eastAsia="仿宋" w:cs="Times New Roman"/>
                <w:color w:val="auto"/>
                <w:kern w:val="0"/>
                <w:sz w:val="22"/>
                <w:highlight w:val="none"/>
                <w:lang w:val="en-US" w:eastAsia="zh-CN"/>
              </w:rPr>
              <w:t>藁城区自然资源和规划局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color w:val="auto"/>
                <w:kern w:val="0"/>
                <w:sz w:val="22"/>
                <w:highlight w:val="none"/>
              </w:rPr>
            </w:pPr>
            <w:r>
              <w:rPr>
                <w:rFonts w:ascii="Times New Roman" w:hAnsi="Times New Roman" w:eastAsia="仿宋" w:cs="Times New Roman"/>
                <w:color w:val="auto"/>
                <w:kern w:val="0"/>
                <w:sz w:val="22"/>
                <w:highlight w:val="none"/>
              </w:rPr>
              <w:t>截止时间：201</w:t>
            </w:r>
            <w:r>
              <w:rPr>
                <w:rFonts w:hint="eastAsia" w:ascii="Times New Roman" w:hAnsi="Times New Roman" w:eastAsia="仿宋" w:cs="Times New Roman"/>
                <w:color w:val="auto"/>
                <w:kern w:val="0"/>
                <w:sz w:val="22"/>
                <w:highlight w:val="none"/>
                <w:lang w:val="en-US" w:eastAsia="zh-CN"/>
              </w:rPr>
              <w:t>9</w:t>
            </w:r>
            <w:r>
              <w:rPr>
                <w:rFonts w:ascii="Times New Roman" w:hAnsi="Times New Roman" w:eastAsia="仿宋" w:cs="Times New Roman"/>
                <w:color w:val="auto"/>
                <w:kern w:val="0"/>
                <w:sz w:val="22"/>
                <w:highlight w:val="none"/>
              </w:rPr>
              <w:t>年12月31日</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auto"/>
                <w:kern w:val="0"/>
                <w:sz w:val="22"/>
                <w:lang w:val="en-US" w:eastAsia="zh-CN"/>
              </w:rPr>
              <w:t>1852.82</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12298.63</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1303.92</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10803.31</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1078.84</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8</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65.78</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483.12</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区县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区县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5" w:type="default"/>
      <w:pgSz w:w="16838" w:h="11906" w:orient="landscape"/>
      <w:pgMar w:top="1440" w:right="1304" w:bottom="1440" w:left="1304"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3000509000000000000"/>
    <w:charset w:val="86"/>
    <w:family w:val="script"/>
    <w:pitch w:val="default"/>
    <w:sig w:usb0="00000000" w:usb1="00000000" w:usb2="00000010" w:usb3="00000000" w:csb0="00040000" w:csb1="00000000"/>
  </w:font>
  <w:font w:name="方正书宋_GBK">
    <w:altName w:val="微软雅黑"/>
    <w:panose1 w:val="03000509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Style w:val="11"/>
                            </w:rPr>
                          </w:pPr>
                          <w:r>
                            <w:fldChar w:fldCharType="begin"/>
                          </w:r>
                          <w:r>
                            <w:rPr>
                              <w:rStyle w:val="11"/>
                            </w:rPr>
                            <w:instrText xml:space="preserve">PAGE  </w:instrText>
                          </w:r>
                          <w:r>
                            <w:fldChar w:fldCharType="separate"/>
                          </w:r>
                          <w:r>
                            <w:rPr>
                              <w:rStyle w:val="11"/>
                            </w:rP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2"/>
                      <w:rPr>
                        <w:rStyle w:val="11"/>
                      </w:rPr>
                    </w:pPr>
                    <w:r>
                      <w:fldChar w:fldCharType="begin"/>
                    </w:r>
                    <w:r>
                      <w:rPr>
                        <w:rStyle w:val="11"/>
                      </w:rPr>
                      <w:instrText xml:space="preserve">PAGE  </w:instrText>
                    </w:r>
                    <w:r>
                      <w:fldChar w:fldCharType="separate"/>
                    </w:r>
                    <w:r>
                      <w:rPr>
                        <w:rStyle w:val="11"/>
                      </w:rPr>
                      <w:t>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Style w:val="11"/>
                            </w:rPr>
                          </w:pPr>
                          <w:r>
                            <w:fldChar w:fldCharType="begin"/>
                          </w:r>
                          <w:r>
                            <w:rPr>
                              <w:rStyle w:val="11"/>
                            </w:rPr>
                            <w:instrText xml:space="preserve">PAGE  </w:instrText>
                          </w:r>
                          <w:r>
                            <w:fldChar w:fldCharType="separate"/>
                          </w:r>
                          <w:r>
                            <w:rPr>
                              <w:rStyle w:val="11"/>
                            </w:rPr>
                            <w:t>12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v:fill on="f" focussize="0,0"/>
              <v:stroke on="f" weight="0.5pt"/>
              <v:imagedata o:title=""/>
              <o:lock v:ext="edit" aspectratio="f"/>
              <v:textbox inset="0mm,0mm,0mm,0mm" style="mso-fit-shape-to-text:t;">
                <w:txbxContent>
                  <w:p>
                    <w:pPr>
                      <w:pStyle w:val="2"/>
                      <w:rPr>
                        <w:rStyle w:val="11"/>
                      </w:rPr>
                    </w:pPr>
                    <w:r>
                      <w:fldChar w:fldCharType="begin"/>
                    </w:r>
                    <w:r>
                      <w:rPr>
                        <w:rStyle w:val="11"/>
                      </w:rPr>
                      <w:instrText xml:space="preserve">PAGE  </w:instrText>
                    </w:r>
                    <w:r>
                      <w:fldChar w:fldCharType="separate"/>
                    </w:r>
                    <w:r>
                      <w:rPr>
                        <w:rStyle w:val="11"/>
                      </w:rPr>
                      <w:t>12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73BA390"/>
    <w:multiLevelType w:val="singleLevel"/>
    <w:tmpl w:val="873BA390"/>
    <w:lvl w:ilvl="0" w:tentative="0">
      <w:start w:val="3"/>
      <w:numFmt w:val="chineseCounting"/>
      <w:suff w:val="nothing"/>
      <w:lvlText w:val="（%1）"/>
      <w:lvlJc w:val="left"/>
      <w:rPr>
        <w:rFonts w:hint="eastAsia"/>
      </w:rPr>
    </w:lvl>
  </w:abstractNum>
  <w:abstractNum w:abstractNumId="1">
    <w:nsid w:val="CFA95913"/>
    <w:multiLevelType w:val="singleLevel"/>
    <w:tmpl w:val="CFA95913"/>
    <w:lvl w:ilvl="0" w:tentative="0">
      <w:start w:val="2"/>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C7140"/>
    <w:rsid w:val="00323B29"/>
    <w:rsid w:val="0039059E"/>
    <w:rsid w:val="007F0341"/>
    <w:rsid w:val="009A521C"/>
    <w:rsid w:val="00D607DA"/>
    <w:rsid w:val="00DC6EE5"/>
    <w:rsid w:val="00EE71BA"/>
    <w:rsid w:val="00F867E4"/>
    <w:rsid w:val="01A3708B"/>
    <w:rsid w:val="032F0A51"/>
    <w:rsid w:val="034B71F3"/>
    <w:rsid w:val="056D17C0"/>
    <w:rsid w:val="0621571C"/>
    <w:rsid w:val="073A1859"/>
    <w:rsid w:val="099843D9"/>
    <w:rsid w:val="0AA22A8B"/>
    <w:rsid w:val="136E7D07"/>
    <w:rsid w:val="19BF53CF"/>
    <w:rsid w:val="1ACE318C"/>
    <w:rsid w:val="1ED6372A"/>
    <w:rsid w:val="222C48FB"/>
    <w:rsid w:val="22494859"/>
    <w:rsid w:val="246613EC"/>
    <w:rsid w:val="26BC17F0"/>
    <w:rsid w:val="28EB754C"/>
    <w:rsid w:val="29393E89"/>
    <w:rsid w:val="2DFC7293"/>
    <w:rsid w:val="302974B3"/>
    <w:rsid w:val="3339417D"/>
    <w:rsid w:val="38C9041E"/>
    <w:rsid w:val="3C4F057C"/>
    <w:rsid w:val="40E9773D"/>
    <w:rsid w:val="41791F8B"/>
    <w:rsid w:val="466F5E6B"/>
    <w:rsid w:val="4AF52504"/>
    <w:rsid w:val="4CC76276"/>
    <w:rsid w:val="4FAA623B"/>
    <w:rsid w:val="4FCE65BD"/>
    <w:rsid w:val="516F5A60"/>
    <w:rsid w:val="533C3314"/>
    <w:rsid w:val="543A7216"/>
    <w:rsid w:val="565F46FA"/>
    <w:rsid w:val="59C56C07"/>
    <w:rsid w:val="5A660BD8"/>
    <w:rsid w:val="66B44977"/>
    <w:rsid w:val="690E1453"/>
    <w:rsid w:val="6AB97B8D"/>
    <w:rsid w:val="6CC84640"/>
    <w:rsid w:val="6D32750B"/>
    <w:rsid w:val="787D2182"/>
    <w:rsid w:val="7CB33FAD"/>
    <w:rsid w:val="7EAD755D"/>
    <w:rsid w:val="7EB829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uiPriority w:val="99"/>
    <w:tblPr>
      <w:tblLayout w:type="fixed"/>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1</TotalTime>
  <ScaleCrop>false</ScaleCrop>
  <LinksUpToDate>false</LinksUpToDate>
  <CharactersWithSpaces>8841</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1</cp:lastModifiedBy>
  <cp:lastPrinted>2020-01-10T15:53:00Z</cp:lastPrinted>
  <dcterms:modified xsi:type="dcterms:W3CDTF">2024-02-23T08:47:30Z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