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7" w:name="_GoBack"/>
      <w:bookmarkEnd w:id="7"/>
      <w:r>
        <w:rPr>
          <w:rFonts w:hint="eastAsia" w:ascii="方正小标宋_GBK" w:hAnsi="Times New Roman" w:eastAsia="方正小标宋_GBK" w:cs="Times New Roman"/>
          <w:bCs/>
          <w:sz w:val="44"/>
          <w:szCs w:val="44"/>
        </w:rPr>
        <w:t>石家庄市藁城区人民法院</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按照《预算法》、《地方预决算公开操作规程》和《河北省省级预算公开办法》规定，现将石家庄市藁城区人民法院2020年部门预算公开如下：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jc w:val="left"/>
        <w:rPr>
          <w:rFonts w:ascii="仿宋" w:hAnsi="仿宋" w:eastAsia="仿宋"/>
          <w:sz w:val="32"/>
          <w:szCs w:val="32"/>
        </w:rPr>
      </w:pPr>
      <w:r>
        <w:rPr>
          <w:rFonts w:ascii="仿宋" w:hAnsi="仿宋" w:eastAsia="仿宋"/>
          <w:sz w:val="32"/>
          <w:szCs w:val="32"/>
        </w:rPr>
        <w:t>(一)</w:t>
      </w:r>
      <w:r>
        <w:rPr>
          <w:rFonts w:ascii="仿宋" w:hAnsi="仿宋" w:eastAsia="仿宋"/>
          <w:sz w:val="32"/>
          <w:szCs w:val="32"/>
        </w:rPr>
        <w:tab/>
      </w:r>
      <w:r>
        <w:rPr>
          <w:rFonts w:ascii="仿宋" w:hAnsi="仿宋" w:eastAsia="仿宋"/>
          <w:sz w:val="32"/>
          <w:szCs w:val="32"/>
        </w:rPr>
        <w:t>部门职责1：案件审判管理和执行依法审判一审刑事、民事、行政案件和上级法院交由审判的案件。</w:t>
      </w:r>
      <w:r>
        <w:rPr>
          <w:rFonts w:ascii="仿宋" w:hAnsi="仿宋" w:eastAsia="仿宋"/>
          <w:sz w:val="32"/>
          <w:szCs w:val="32"/>
        </w:rPr>
        <w:tab/>
      </w:r>
      <w:r>
        <w:rPr>
          <w:rFonts w:ascii="仿宋" w:hAnsi="仿宋" w:eastAsia="仿宋"/>
          <w:sz w:val="32"/>
          <w:szCs w:val="32"/>
        </w:rPr>
        <w:t>依法惩治刑事犯罪，监督行政机关依法行政，促进社会和谐，维护社会稳定，服务全区工作大局，发挥服务保障职能。</w:t>
      </w:r>
    </w:p>
    <w:p>
      <w:pPr>
        <w:jc w:val="left"/>
        <w:rPr>
          <w:rFonts w:ascii="仿宋" w:hAnsi="仿宋" w:eastAsia="仿宋"/>
          <w:sz w:val="32"/>
          <w:szCs w:val="32"/>
        </w:rPr>
      </w:pPr>
      <w:r>
        <w:rPr>
          <w:rFonts w:ascii="仿宋" w:hAnsi="仿宋" w:eastAsia="仿宋"/>
          <w:sz w:val="32"/>
          <w:szCs w:val="32"/>
        </w:rPr>
        <w:t>(二)</w:t>
      </w:r>
      <w:r>
        <w:rPr>
          <w:rFonts w:ascii="仿宋" w:hAnsi="仿宋" w:eastAsia="仿宋"/>
          <w:sz w:val="32"/>
          <w:szCs w:val="32"/>
        </w:rPr>
        <w:tab/>
      </w:r>
      <w:r>
        <w:rPr>
          <w:rFonts w:ascii="仿宋" w:hAnsi="仿宋" w:eastAsia="仿宋"/>
          <w:sz w:val="32"/>
          <w:szCs w:val="32"/>
        </w:rPr>
        <w:t>部门职责2：司法救助和国家赔偿完成涉法涉诉类案件的息诉罢访工作，做好“两会”、重大活动期间的维稳工作，接待分流越级进京上访人员、协助处理到最高院等上级法院的集体访和闹访人员的稳控遣返工作。</w:t>
      </w:r>
      <w:r>
        <w:rPr>
          <w:rFonts w:ascii="仿宋" w:hAnsi="仿宋" w:eastAsia="仿宋"/>
          <w:sz w:val="32"/>
          <w:szCs w:val="32"/>
        </w:rPr>
        <w:tab/>
      </w:r>
      <w:r>
        <w:rPr>
          <w:rFonts w:ascii="仿宋" w:hAnsi="仿宋" w:eastAsia="仿宋"/>
          <w:sz w:val="32"/>
          <w:szCs w:val="32"/>
        </w:rPr>
        <w:t>保障信访工作正常进行，提高信访案件结案率、信访受理满意度，维护国家机关的正常工作秩序，做好稳控工作。</w:t>
      </w:r>
    </w:p>
    <w:p>
      <w:pPr>
        <w:jc w:val="left"/>
        <w:outlineLvl w:val="0"/>
        <w:rPr>
          <w:rFonts w:ascii="仿宋" w:hAnsi="仿宋" w:eastAsia="仿宋"/>
          <w:sz w:val="32"/>
          <w:szCs w:val="32"/>
        </w:rPr>
      </w:pPr>
      <w:r>
        <w:rPr>
          <w:rFonts w:ascii="仿宋" w:hAnsi="仿宋" w:eastAsia="仿宋"/>
          <w:sz w:val="32"/>
          <w:szCs w:val="32"/>
        </w:rPr>
        <w:t>(三)</w:t>
      </w:r>
      <w:r>
        <w:rPr>
          <w:rFonts w:ascii="仿宋" w:hAnsi="仿宋" w:eastAsia="仿宋"/>
          <w:sz w:val="32"/>
          <w:szCs w:val="32"/>
        </w:rPr>
        <w:tab/>
      </w:r>
      <w:r>
        <w:rPr>
          <w:rFonts w:ascii="仿宋" w:hAnsi="仿宋" w:eastAsia="仿宋"/>
          <w:sz w:val="32"/>
          <w:szCs w:val="32"/>
        </w:rPr>
        <w:t>部门职责3：法院事务管理</w:t>
      </w:r>
      <w:r>
        <w:rPr>
          <w:rFonts w:ascii="仿宋" w:hAnsi="仿宋" w:eastAsia="仿宋"/>
          <w:sz w:val="32"/>
          <w:szCs w:val="32"/>
        </w:rPr>
        <w:tab/>
      </w:r>
      <w:r>
        <w:rPr>
          <w:rFonts w:ascii="仿宋" w:hAnsi="仿宋" w:eastAsia="仿宋"/>
          <w:sz w:val="32"/>
          <w:szCs w:val="32"/>
        </w:rPr>
        <w:t>加强法院系统队伍建设，加强法院基础设施及信息化建设，加强培训及法院文化建设；总结人民法院审判业务工作经验，建立绩效考核制度，加强对外宣传以及舆论引导，树立法院良好形象。</w:t>
      </w:r>
      <w:r>
        <w:rPr>
          <w:rFonts w:ascii="仿宋" w:hAnsi="仿宋" w:eastAsia="仿宋"/>
          <w:sz w:val="32"/>
          <w:szCs w:val="32"/>
        </w:rPr>
        <w:tab/>
      </w:r>
      <w:r>
        <w:rPr>
          <w:rFonts w:ascii="仿宋" w:hAnsi="仿宋" w:eastAsia="仿宋"/>
          <w:sz w:val="32"/>
          <w:szCs w:val="32"/>
        </w:rPr>
        <w:t>不断提高队伍素质和执法能力，推进信息公开，提升审判质效，改进司法工作作风，树立法院良好形象。</w:t>
      </w:r>
    </w:p>
    <w:p>
      <w:pPr>
        <w:ind w:firstLine="642"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石家庄市藁城区人民法院</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副处级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反映本部门当年全部收入。2020年预算收入3997.11万元，其中：一般公共预算收入3997.11万元，基金预算收入0万元，财政专户核拨收入0万元，其他来源收入0万元。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人民法院预算中支出预算的总体情况。2020年部门支出预算为3997.11万元，其中基本支出2508.97万元，包括人员经费2264.28万元和日常公用经费244.69万元；项目支出1488.14万元，</w:t>
      </w:r>
      <w:r>
        <w:rPr>
          <w:rFonts w:hint="eastAsia" w:ascii="仿宋" w:hAnsi="仿宋" w:eastAsia="仿宋"/>
          <w:sz w:val="32"/>
          <w:szCs w:val="32"/>
        </w:rPr>
        <w:t>主要为案卷印刷邮寄、维修费、办公设备购置660万元，临时工工资400万元，诉调经费27万元等</w:t>
      </w: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3997.11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较2019年增加251.78万元，其中：基本支出增加122.9万元，主要是人员增加，相应费用会计人员经费和日常公用经费；项目支出增加128.88万元，主要是增加临时聘用人员的工资及保险费用；其他支出无增减变化。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244.69万元，主要用于保证机关正常运转的办公及印刷费、邮电费、差旅费、会议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83.6万元，其中：因公出国（境）费0万元，与上年持平，无增减变化；公务用车购置及运维费83.6万元（其中：公务用车购置费39.6万元，较上年增加39.6万元，原因是新购置一辆公务用车；公务用车运行维护费44万元，与上年持平，无增减变化)；公务接待费0万元，较上年减少2万元，。“三公”经费较上年增加39.6万元，同比上升90%，主要是2020年需购置两辆</w:t>
      </w:r>
      <w:r>
        <w:rPr>
          <w:rFonts w:hint="eastAsia" w:ascii="Times New Roman" w:hAnsi="Times New Roman" w:eastAsia="仿宋" w:cs="Times New Roman"/>
          <w:color w:val="000000"/>
          <w:sz w:val="32"/>
          <w:szCs w:val="32"/>
        </w:rPr>
        <w:t>人民法院特种专业技术用车</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autoSpaceDE w:val="0"/>
        <w:autoSpaceDN w:val="0"/>
        <w:adjustRightInd w:val="0"/>
        <w:ind w:left="198"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仿宋" w:cs="Times New Roman"/>
          <w:sz w:val="32"/>
          <w:szCs w:val="32"/>
        </w:rPr>
        <w:t>第一部分  部门整体绩效目标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（一）总体绩效目标</w:t>
      </w:r>
      <w:r>
        <w:rPr>
          <w:rFonts w:hint="eastAsia" w:ascii="Times New Roman" w:hAnsi="Times New Roman" w:eastAsia="仿宋" w:cs="Times New Roman"/>
          <w:sz w:val="32"/>
          <w:szCs w:val="32"/>
        </w:rPr>
        <w:fldChar w:fldCharType="begin"/>
      </w:r>
      <w:r>
        <w:rPr>
          <w:rFonts w:hint="eastAsia" w:ascii="Times New Roman" w:hAnsi="Times New Roman" w:eastAsia="仿宋" w:cs="Times New Roman"/>
          <w:sz w:val="32"/>
          <w:szCs w:val="32"/>
        </w:rPr>
        <w:instrText xml:space="preserve"> TC </w:instrText>
      </w:r>
      <w:bookmarkStart w:id="1" w:name="_Toc29484628"/>
      <w:r>
        <w:rPr>
          <w:rFonts w:hint="eastAsia" w:ascii="Times New Roman" w:hAnsi="Times New Roman" w:eastAsia="仿宋" w:cs="Times New Roman"/>
          <w:sz w:val="32"/>
          <w:szCs w:val="32"/>
        </w:rPr>
        <w:instrText xml:space="preserve">总体绩效目标</w:instrText>
      </w:r>
      <w:bookmarkEnd w:id="1"/>
      <w:r>
        <w:rPr>
          <w:rFonts w:hint="eastAsia" w:ascii="Times New Roman" w:hAnsi="Times New Roman" w:eastAsia="仿宋" w:cs="Times New Roman"/>
          <w:sz w:val="32"/>
          <w:szCs w:val="32"/>
        </w:rPr>
        <w:instrText xml:space="preserve"> \f A \l 1 </w:instrText>
      </w:r>
      <w:r>
        <w:rPr>
          <w:rFonts w:hint="eastAsia" w:ascii="Times New Roman" w:hAnsi="Times New Roman" w:eastAsia="仿宋" w:cs="Times New Roman"/>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深入贯彻习近平新时代中国特色社会主义思想，深入贯彻党的路线方针政策和决策部署，坚持党对法院工作的绝对领导，坚决维护习近平总书记的核心地位，坚决维护党中央权威和集中统一领导。坚持以人民为中心，不断满足新时代人民群众司法需求，坚定不移推进司法改革，使司法改革不断深入；创新执行工作方式方法和机制，着力解决执行难题；提高执行专项行动精准性，利用现代网络、媒体等信息技术，精准出击“老赖”。2020年预计收案11000件，员额法官37名，平均每名法官结案270件。结案率要求达到95%以上，公开平台公开案件95%以上，公开上网文书不低于50%。总结人民法院审判业务工作经验，建立绩效考核制度，加强对外宣传以及舆论引导，树立法院良好形象。</w:t>
      </w:r>
    </w:p>
    <w:p>
      <w:pPr>
        <w:autoSpaceDE w:val="0"/>
        <w:autoSpaceDN w:val="0"/>
        <w:adjustRightInd w:val="0"/>
        <w:ind w:left="198"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（一）坚决解决执行难，聚力破解执行危机</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开展执行攻坚百日专项行动，着力防范信访领域风险，助力让</w:t>
      </w:r>
      <w:r>
        <w:rPr>
          <w:rFonts w:hint="eastAsia" w:ascii="Times New Roman" w:hAnsi="Times New Roman" w:eastAsia="仿宋" w:cs="Times New Roman"/>
          <w:sz w:val="32"/>
          <w:szCs w:val="32"/>
          <w:lang w:eastAsia="zh-CN"/>
        </w:rPr>
        <w:t>人民群众</w:t>
      </w:r>
      <w:r>
        <w:rPr>
          <w:rFonts w:hint="eastAsia" w:ascii="Times New Roman" w:hAnsi="Times New Roman" w:eastAsia="仿宋" w:cs="Times New Roman"/>
          <w:sz w:val="32"/>
          <w:szCs w:val="32"/>
        </w:rPr>
        <w:t>在每一个司法案件中感受到公平正义。</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绩效指标：坚决解决执行难，执行结案率达到95%以上。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（二）努力提质增效，全面提升结案率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绩效目标：重点关注办案提质增效，加强技能训练</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绩效指标：着力提升办案水平，定期开展一线法官专业知识技能培训，着力提升结案率，法定审限内结案率达到100%，全年结案率达到96%以上。</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（三）消除信访隐患，及时攻克问题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绩效目标：关注信访难题，凝心聚力让群众满意</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绩效指标：按月开展“院长接访日”，破除涉诉信访，倾听群众诉求，对其合理合法的诉求及时解决。</w:t>
      </w:r>
    </w:p>
    <w:p>
      <w:pPr>
        <w:autoSpaceDE w:val="0"/>
        <w:autoSpaceDN w:val="0"/>
        <w:adjustRightInd w:val="0"/>
        <w:ind w:left="198"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eastAsia="方正仿宋_GBK"/>
          <w:sz w:val="32"/>
          <w:szCs w:val="32"/>
        </w:rPr>
      </w:pPr>
      <w:r>
        <w:rPr>
          <w:rFonts w:hint="eastAsia" w:ascii="Times New Roman" w:hAnsi="Times New Roman" w:eastAsia="仿宋" w:cs="Times New Roman"/>
          <w:sz w:val="32"/>
          <w:szCs w:val="32"/>
        </w:rP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r>
        <w:rPr>
          <w:rFonts w:hint="eastAsia" w:ascii="Times New Roman" w:hAnsi="Times New Roman" w:eastAsia="仿宋" w:cs="Times New Roman"/>
          <w:sz w:val="32"/>
          <w:szCs w:val="32"/>
        </w:rPr>
        <w:br w:type="textWrapping"/>
      </w:r>
      <w:r>
        <w:rPr>
          <w:rFonts w:hint="eastAsia" w:ascii="Times New Roman" w:hAnsi="Times New Roman" w:eastAsia="仿宋" w:cs="Times New Roman"/>
          <w:sz w:val="32"/>
          <w:szCs w:val="32"/>
        </w:rPr>
        <w:t xml:space="preserve">    紧盯重点难点，提速工作进度。将2020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r>
        <w:rPr>
          <w:rFonts w:hint="eastAsia" w:ascii="Times New Roman" w:hAnsi="Times New Roman" w:eastAsia="仿宋" w:cs="Times New Roman"/>
          <w:sz w:val="32"/>
          <w:szCs w:val="32"/>
        </w:rPr>
        <w:br w:type="textWrapping"/>
      </w:r>
      <w:r>
        <w:rPr>
          <w:rFonts w:hint="eastAsia" w:ascii="Times New Roman" w:hAnsi="Times New Roman" w:eastAsia="仿宋" w:cs="Times New Roman"/>
          <w:sz w:val="32"/>
          <w:szCs w:val="32"/>
        </w:rPr>
        <w:t xml:space="preserve">    坚持底线思维，科学防控风险。针对当审判领域、执行领域存在的风险隐患，逐一研究制定行之有效的防范措施，防范化解突出问题，逐项消除风险隐患，全力维护全市政法系统安全稳定。</w:t>
      </w:r>
      <w:r>
        <w:rPr>
          <w:rFonts w:hint="eastAsia" w:ascii="Times New Roman" w:hAnsi="Times New Roman" w:eastAsia="仿宋" w:cs="Times New Roman"/>
          <w:sz w:val="32"/>
          <w:szCs w:val="32"/>
        </w:rPr>
        <w:br w:type="textWrapping"/>
      </w:r>
      <w:r>
        <w:rPr>
          <w:rFonts w:hint="eastAsia" w:ascii="Times New Roman" w:hAnsi="Times New Roman" w:eastAsia="仿宋" w:cs="Times New Roman"/>
          <w:sz w:val="32"/>
          <w:szCs w:val="32"/>
        </w:rPr>
        <w:t xml:space="preserve">    加强市县联动，形成工作合力。加强信息沟通，充分发挥法院门户网站的载体作用，及时宣传发布各县（市、区）工作动态、典型经验和先进事迹，增强工作互动，实现信息共享。加强协调联动，建立月报告、季调度、半年总结制度，及时掌握工作情况，交流工作经验，力争在各个方面争先进、创一流、做表率，聚力推动各项工作走在全省前列。</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方正仿宋_GBK" w:eastAsia="方正仿宋_GBK"/>
          <w:b/>
          <w:sz w:val="28"/>
        </w:rPr>
        <w:t xml:space="preserve">  1、第三方评价工作经费绩效目标表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11"/>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p>
        </w:tc>
      </w:tr>
    </w:tbl>
    <w:p>
      <w:pPr>
        <w:spacing w:line="580" w:lineRule="exact"/>
        <w:rPr>
          <w:rFonts w:eastAsia="方正仿宋_GBK"/>
          <w:sz w:val="32"/>
          <w:szCs w:val="32"/>
        </w:rPr>
      </w:pPr>
      <w:r>
        <w:rPr>
          <w:rFonts w:hint="eastAsia" w:eastAsia="方正仿宋_GBK"/>
          <w:sz w:val="32"/>
          <w:szCs w:val="32"/>
        </w:rPr>
        <w:t>1.  案卷印刷邮寄、维修费、办公设备购置预算项目资金绩效表</w:t>
      </w:r>
    </w:p>
    <w:tbl>
      <w:tblPr>
        <w:tblStyle w:val="7"/>
        <w:tblW w:w="0" w:type="auto"/>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tblPrEx>
          <w:tblCellMar>
            <w:top w:w="15" w:type="dxa"/>
            <w:left w:w="15" w:type="dxa"/>
            <w:bottom w:w="15" w:type="dxa"/>
            <w:right w:w="15" w:type="dxa"/>
          </w:tblCellMar>
        </w:tblPrEx>
        <w:trPr>
          <w:trHeight w:val="507" w:hRule="atLeast"/>
        </w:trPr>
        <w:tc>
          <w:tcPr>
            <w:tcW w:w="64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161-0302-JBN-Z15P</w:t>
            </w:r>
          </w:p>
        </w:tc>
        <w:tc>
          <w:tcPr>
            <w:tcW w:w="14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案卷印刷邮寄、维修费、办公设备购置</w:t>
            </w:r>
          </w:p>
        </w:tc>
      </w:tr>
      <w:tr>
        <w:tblPrEx>
          <w:tblCellMar>
            <w:top w:w="15" w:type="dxa"/>
            <w:left w:w="15" w:type="dxa"/>
            <w:bottom w:w="15" w:type="dxa"/>
            <w:right w:w="15" w:type="dxa"/>
          </w:tblCellMar>
        </w:tblPrEx>
        <w:trPr>
          <w:trHeight w:val="458"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660</w:t>
            </w:r>
          </w:p>
        </w:tc>
        <w:tc>
          <w:tcPr>
            <w:tcW w:w="1435"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660</w:t>
            </w:r>
          </w:p>
        </w:tc>
        <w:tc>
          <w:tcPr>
            <w:tcW w:w="141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r>
      <w:tr>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4月份开始对全院办公业务进行支付，9月份完成支付80%，12月进全部支付完成，保障全院干警办案及办公的正常运行。</w:t>
            </w:r>
          </w:p>
        </w:tc>
      </w:tr>
      <w:tr>
        <w:tblPrEx>
          <w:tblCellMar>
            <w:top w:w="15" w:type="dxa"/>
            <w:left w:w="15" w:type="dxa"/>
            <w:bottom w:w="15" w:type="dxa"/>
            <w:right w:w="15" w:type="dxa"/>
          </w:tblCellMar>
        </w:tblPrEx>
        <w:trPr>
          <w:trHeight w:val="513"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12月底</w:t>
            </w:r>
          </w:p>
        </w:tc>
      </w:tr>
      <w:tr>
        <w:tblPrEx>
          <w:tblCellMar>
            <w:top w:w="15" w:type="dxa"/>
            <w:left w:w="15" w:type="dxa"/>
            <w:bottom w:w="15" w:type="dxa"/>
            <w:right w:w="15" w:type="dxa"/>
          </w:tblCellMar>
        </w:tblPrEx>
        <w:trPr>
          <w:trHeight w:val="539"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0</w:t>
            </w:r>
          </w:p>
        </w:tc>
        <w:tc>
          <w:tcPr>
            <w:tcW w:w="143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30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90</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r>
      <w:tr>
        <w:tblPrEx>
          <w:tblCellMar>
            <w:top w:w="15" w:type="dxa"/>
            <w:left w:w="15" w:type="dxa"/>
            <w:bottom w:w="15" w:type="dxa"/>
            <w:right w:w="15" w:type="dxa"/>
          </w:tblCellMar>
        </w:tblPrEx>
        <w:trPr>
          <w:trHeight w:val="42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保障全院干警办案及办公的正常运行</w:t>
            </w:r>
          </w:p>
        </w:tc>
      </w:tr>
      <w:tr>
        <w:tblPrEx>
          <w:tblCellMar>
            <w:top w:w="15" w:type="dxa"/>
            <w:left w:w="15" w:type="dxa"/>
            <w:bottom w:w="15" w:type="dxa"/>
            <w:right w:w="15" w:type="dxa"/>
          </w:tblCellMar>
        </w:tblPrEx>
        <w:trPr>
          <w:trHeight w:val="317"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目标2</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45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绩效指标描述</w:t>
            </w:r>
          </w:p>
        </w:tc>
        <w:tc>
          <w:tcPr>
            <w:tcW w:w="1001"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指标值确定依据</w:t>
            </w:r>
          </w:p>
        </w:tc>
      </w:tr>
      <w:tr>
        <w:tblPrEx>
          <w:tblCellMar>
            <w:top w:w="15" w:type="dxa"/>
            <w:left w:w="15" w:type="dxa"/>
            <w:bottom w:w="15" w:type="dxa"/>
            <w:right w:w="15" w:type="dxa"/>
          </w:tblCellMar>
        </w:tblPrEx>
        <w:trPr>
          <w:trHeight w:val="312"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001" w:type="dxa"/>
            <w:vMerge w:val="continue"/>
            <w:tcBorders>
              <w:top w:val="single" w:color="000000" w:sz="4" w:space="0"/>
              <w:left w:val="single" w:color="000000" w:sz="4" w:space="0"/>
              <w:bottom w:val="single" w:color="000000" w:sz="4" w:space="0"/>
            </w:tcBorders>
            <w:vAlign w:val="center"/>
          </w:tcPr>
          <w:p>
            <w:pPr>
              <w:jc w:val="center"/>
              <w:rPr>
                <w:rFonts w:ascii="黑体" w:hAnsi="宋体" w:eastAsia="黑体"/>
                <w:b/>
                <w:color w:val="000000"/>
                <w:sz w:val="20"/>
                <w:szCs w:val="20"/>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r>
      <w:tr>
        <w:tblPrEx>
          <w:tblCellMar>
            <w:top w:w="15" w:type="dxa"/>
            <w:left w:w="15" w:type="dxa"/>
            <w:bottom w:w="15" w:type="dxa"/>
            <w:right w:w="15" w:type="dxa"/>
          </w:tblCellMar>
        </w:tblPrEx>
        <w:trPr>
          <w:trHeight w:val="259"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产出指标 </w:t>
            </w:r>
          </w:p>
        </w:tc>
        <w:tc>
          <w:tcPr>
            <w:tcW w:w="1008"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327"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color w:val="000000"/>
                <w:sz w:val="20"/>
                <w:szCs w:val="20"/>
              </w:rPr>
            </w:pP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p>
        </w:tc>
        <w:tc>
          <w:tcPr>
            <w:tcW w:w="100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344"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资金支出进度（%）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支付资金占全年总量的比率</w:t>
            </w: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kern w:val="0"/>
                <w:sz w:val="20"/>
                <w:szCs w:val="20"/>
              </w:rPr>
              <w:t>≥95</w:t>
            </w: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9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案件结案率（%）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案件判决数与审判案件的比率</w:t>
            </w: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kern w:val="0"/>
                <w:sz w:val="20"/>
                <w:szCs w:val="20"/>
              </w:rPr>
              <w:t>≥90</w:t>
            </w: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531" w:hRule="atLeast"/>
        </w:trPr>
        <w:tc>
          <w:tcPr>
            <w:tcW w:w="647"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效果指标</w:t>
            </w:r>
          </w:p>
        </w:tc>
        <w:tc>
          <w:tcPr>
            <w:tcW w:w="1008"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7"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社会效益指标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r>
              <w:rPr>
                <w:rFonts w:hint="eastAsia" w:ascii="宋体" w:hAnsi="宋体" w:cs="宋体"/>
                <w:color w:val="000000"/>
                <w:sz w:val="20"/>
                <w:szCs w:val="20"/>
              </w:rPr>
              <w:t>案件流程合规率（%）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纳入审判管理流程案件与全部案件的比例</w:t>
            </w: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kern w:val="0"/>
                <w:sz w:val="20"/>
                <w:szCs w:val="20"/>
              </w:rPr>
              <w:t>≥95</w:t>
            </w: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614" w:hRule="atLeast"/>
        </w:trPr>
        <w:tc>
          <w:tcPr>
            <w:tcW w:w="647"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生态效益指标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bl>
    <w:p>
      <w:pPr>
        <w:spacing w:line="580" w:lineRule="exact"/>
        <w:rPr>
          <w:rFonts w:eastAsia="方正仿宋_GBK"/>
          <w:sz w:val="32"/>
          <w:szCs w:val="32"/>
        </w:rPr>
      </w:pPr>
      <w:r>
        <w:rPr>
          <w:rFonts w:hint="eastAsia" w:eastAsia="方正仿宋_GBK"/>
          <w:sz w:val="32"/>
          <w:szCs w:val="32"/>
        </w:rPr>
        <w:t>2.  法院工作人员工作日之外加班补贴预算项目资金绩效表</w:t>
      </w:r>
    </w:p>
    <w:tbl>
      <w:tblPr>
        <w:tblStyle w:val="7"/>
        <w:tblW w:w="0" w:type="auto"/>
        <w:tblInd w:w="0" w:type="dxa"/>
        <w:tblLayout w:type="fixed"/>
        <w:tblCellMar>
          <w:top w:w="15" w:type="dxa"/>
          <w:left w:w="15" w:type="dxa"/>
          <w:bottom w:w="15" w:type="dxa"/>
          <w:right w:w="15" w:type="dxa"/>
        </w:tblCellMar>
      </w:tblPr>
      <w:tblGrid>
        <w:gridCol w:w="647"/>
        <w:gridCol w:w="1008"/>
        <w:gridCol w:w="1320"/>
        <w:gridCol w:w="1435"/>
        <w:gridCol w:w="948"/>
        <w:gridCol w:w="1414"/>
        <w:gridCol w:w="1001"/>
        <w:gridCol w:w="982"/>
      </w:tblGrid>
      <w:tr>
        <w:tblPrEx>
          <w:tblCellMar>
            <w:top w:w="15" w:type="dxa"/>
            <w:left w:w="15" w:type="dxa"/>
            <w:bottom w:w="15" w:type="dxa"/>
            <w:right w:w="15" w:type="dxa"/>
          </w:tblCellMar>
        </w:tblPrEx>
        <w:trPr>
          <w:trHeight w:val="615" w:hRule="atLeast"/>
        </w:trPr>
        <w:tc>
          <w:tcPr>
            <w:tcW w:w="64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项目编码</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161-0302-JBN-GLM3</w:t>
            </w:r>
          </w:p>
        </w:tc>
        <w:tc>
          <w:tcPr>
            <w:tcW w:w="14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专项资金名称</w:t>
            </w:r>
          </w:p>
        </w:tc>
        <w:tc>
          <w:tcPr>
            <w:tcW w:w="4345"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法院工作人员工作日之外加班补贴</w:t>
            </w:r>
          </w:p>
        </w:tc>
      </w:tr>
      <w:tr>
        <w:tblPrEx>
          <w:tblCellMar>
            <w:top w:w="15" w:type="dxa"/>
            <w:left w:w="15" w:type="dxa"/>
            <w:bottom w:w="15" w:type="dxa"/>
            <w:right w:w="15" w:type="dxa"/>
          </w:tblCellMar>
        </w:tblPrEx>
        <w:trPr>
          <w:trHeight w:val="55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预算规模及资金用途</w:t>
            </w: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 xml:space="preserve">预算数    </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39.6</w:t>
            </w:r>
          </w:p>
        </w:tc>
        <w:tc>
          <w:tcPr>
            <w:tcW w:w="1435"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其中：财政资金</w:t>
            </w:r>
          </w:p>
        </w:tc>
        <w:tc>
          <w:tcPr>
            <w:tcW w:w="948"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39.6</w:t>
            </w:r>
          </w:p>
        </w:tc>
        <w:tc>
          <w:tcPr>
            <w:tcW w:w="141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其他资金</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r>
      <w:tr>
        <w:tblPrEx>
          <w:tblCellMar>
            <w:top w:w="15" w:type="dxa"/>
            <w:left w:w="15" w:type="dxa"/>
            <w:bottom w:w="15" w:type="dxa"/>
            <w:right w:w="15" w:type="dxa"/>
          </w:tblCellMar>
        </w:tblPrEx>
        <w:trPr>
          <w:trHeight w:val="60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8108"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我院公务员110名，每人每月300元，加班补贴每季度发放一次，确保我院审判案件按时结案。</w:t>
            </w:r>
          </w:p>
        </w:tc>
      </w:tr>
      <w:tr>
        <w:tblPrEx>
          <w:tblCellMar>
            <w:top w:w="15" w:type="dxa"/>
            <w:left w:w="15" w:type="dxa"/>
            <w:bottom w:w="15" w:type="dxa"/>
            <w:right w:w="15" w:type="dxa"/>
          </w:tblCellMar>
        </w:tblPrEx>
        <w:trPr>
          <w:trHeight w:val="615"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资金支出计划（%）</w:t>
            </w: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3月底</w:t>
            </w:r>
          </w:p>
        </w:tc>
        <w:tc>
          <w:tcPr>
            <w:tcW w:w="14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6月底</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10月底</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12月底</w:t>
            </w:r>
          </w:p>
        </w:tc>
      </w:tr>
      <w:tr>
        <w:tblPrEx>
          <w:tblCellMar>
            <w:top w:w="15" w:type="dxa"/>
            <w:left w:w="15" w:type="dxa"/>
            <w:bottom w:w="15" w:type="dxa"/>
            <w:right w:w="15" w:type="dxa"/>
          </w:tblCellMar>
        </w:tblPrEx>
        <w:trPr>
          <w:trHeight w:val="615"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2328"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25</w:t>
            </w:r>
          </w:p>
        </w:tc>
        <w:tc>
          <w:tcPr>
            <w:tcW w:w="143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50</w:t>
            </w:r>
          </w:p>
        </w:tc>
        <w:tc>
          <w:tcPr>
            <w:tcW w:w="236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75</w:t>
            </w:r>
          </w:p>
        </w:tc>
        <w:tc>
          <w:tcPr>
            <w:tcW w:w="198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r>
      <w:tr>
        <w:tblPrEx>
          <w:tblCellMar>
            <w:top w:w="15" w:type="dxa"/>
            <w:left w:w="15" w:type="dxa"/>
            <w:bottom w:w="15" w:type="dxa"/>
            <w:right w:w="15" w:type="dxa"/>
          </w:tblCellMar>
        </w:tblPrEx>
        <w:trPr>
          <w:trHeight w:val="42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绩效目标</w:t>
            </w: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目标1</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确保我院审判案件按时结案</w:t>
            </w: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目标2</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达到省法院要求结案率</w:t>
            </w: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目标3</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w:t>
            </w:r>
          </w:p>
        </w:tc>
        <w:tc>
          <w:tcPr>
            <w:tcW w:w="7100"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45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一级指标</w:t>
            </w:r>
          </w:p>
        </w:tc>
        <w:tc>
          <w:tcPr>
            <w:tcW w:w="100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二级指标</w:t>
            </w:r>
          </w:p>
        </w:tc>
        <w:tc>
          <w:tcPr>
            <w:tcW w:w="132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三级指标</w:t>
            </w:r>
          </w:p>
        </w:tc>
        <w:tc>
          <w:tcPr>
            <w:tcW w:w="3797"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绩效指标描述</w:t>
            </w:r>
          </w:p>
        </w:tc>
        <w:tc>
          <w:tcPr>
            <w:tcW w:w="1001"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w:t>
            </w:r>
          </w:p>
        </w:tc>
        <w:tc>
          <w:tcPr>
            <w:tcW w:w="982"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指标值确定依据</w:t>
            </w:r>
          </w:p>
        </w:tc>
      </w:tr>
      <w:tr>
        <w:tblPrEx>
          <w:tblCellMar>
            <w:top w:w="15" w:type="dxa"/>
            <w:left w:w="15" w:type="dxa"/>
            <w:bottom w:w="15" w:type="dxa"/>
            <w:right w:w="15" w:type="dxa"/>
          </w:tblCellMar>
        </w:tblPrEx>
        <w:trPr>
          <w:trHeight w:val="312"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32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3797"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001" w:type="dxa"/>
            <w:vMerge w:val="continue"/>
            <w:tcBorders>
              <w:top w:val="single" w:color="000000" w:sz="4" w:space="0"/>
              <w:left w:val="single" w:color="000000" w:sz="4" w:space="0"/>
              <w:bottom w:val="single" w:color="000000" w:sz="4" w:space="0"/>
            </w:tcBorders>
            <w:vAlign w:val="center"/>
          </w:tcPr>
          <w:p>
            <w:pPr>
              <w:jc w:val="center"/>
              <w:rPr>
                <w:rFonts w:ascii="黑体" w:hAnsi="宋体" w:eastAsia="黑体"/>
                <w:b/>
                <w:color w:val="000000"/>
                <w:sz w:val="20"/>
                <w:szCs w:val="20"/>
              </w:rPr>
            </w:pPr>
          </w:p>
        </w:tc>
        <w:tc>
          <w:tcPr>
            <w:tcW w:w="98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r>
      <w:tr>
        <w:tblPrEx>
          <w:tblCellMar>
            <w:top w:w="15" w:type="dxa"/>
            <w:left w:w="15" w:type="dxa"/>
            <w:bottom w:w="15" w:type="dxa"/>
            <w:right w:w="15" w:type="dxa"/>
          </w:tblCellMar>
        </w:tblPrEx>
        <w:trPr>
          <w:trHeight w:val="420" w:hRule="atLeast"/>
        </w:trPr>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产出指标 </w:t>
            </w:r>
          </w:p>
        </w:tc>
        <w:tc>
          <w:tcPr>
            <w:tcW w:w="1008"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补贴人员数量</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享受补贴政策的人数</w:t>
            </w:r>
          </w:p>
        </w:tc>
        <w:tc>
          <w:tcPr>
            <w:tcW w:w="100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=110</w:t>
            </w: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color w:val="000000"/>
                <w:sz w:val="20"/>
                <w:szCs w:val="20"/>
              </w:rPr>
            </w:pP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补助金发放率</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实际发放的补助金金额占计划发放金额的比率</w:t>
            </w:r>
          </w:p>
        </w:tc>
        <w:tc>
          <w:tcPr>
            <w:tcW w:w="100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420" w:hRule="atLeast"/>
        </w:trPr>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成本指标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7"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效果指标</w:t>
            </w:r>
          </w:p>
        </w:tc>
        <w:tc>
          <w:tcPr>
            <w:tcW w:w="1008"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经济效益指标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7"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社会效益指标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7"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生态效益指标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720" w:hRule="atLeast"/>
        </w:trPr>
        <w:tc>
          <w:tcPr>
            <w:tcW w:w="64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满意度指标</w:t>
            </w:r>
          </w:p>
        </w:tc>
        <w:tc>
          <w:tcPr>
            <w:tcW w:w="100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1320"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r>
              <w:rPr>
                <w:rFonts w:hint="eastAsia" w:ascii="宋体" w:hAnsi="宋体" w:cs="宋体"/>
                <w:color w:val="000000"/>
                <w:sz w:val="20"/>
                <w:szCs w:val="20"/>
              </w:rPr>
              <w:t>服务对象满意度</w:t>
            </w:r>
          </w:p>
        </w:tc>
        <w:tc>
          <w:tcPr>
            <w:tcW w:w="3797"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通过问卷调查，满意和较满意的受益对象占全部服务对象的比率</w:t>
            </w:r>
          </w:p>
        </w:tc>
        <w:tc>
          <w:tcPr>
            <w:tcW w:w="100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=100%</w:t>
            </w:r>
          </w:p>
        </w:tc>
        <w:tc>
          <w:tcPr>
            <w:tcW w:w="982"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bl>
    <w:p>
      <w:pPr>
        <w:spacing w:line="580" w:lineRule="exact"/>
        <w:rPr>
          <w:rFonts w:eastAsia="方正仿宋_GBK"/>
          <w:sz w:val="32"/>
          <w:szCs w:val="32"/>
        </w:rPr>
      </w:pPr>
      <w:r>
        <w:rPr>
          <w:rFonts w:hint="eastAsia" w:ascii="方正小标宋_GBK" w:eastAsia="方正小标宋_GBK"/>
          <w:sz w:val="44"/>
          <w:szCs w:val="44"/>
        </w:rPr>
        <w:br w:type="page"/>
      </w:r>
      <w:r>
        <w:rPr>
          <w:rFonts w:hint="eastAsia" w:eastAsia="方正仿宋_GBK"/>
          <w:sz w:val="32"/>
          <w:szCs w:val="32"/>
        </w:rPr>
        <w:t>3. 临时工工资预算项目资金绩效表</w:t>
      </w:r>
    </w:p>
    <w:tbl>
      <w:tblPr>
        <w:tblStyle w:val="7"/>
        <w:tblW w:w="0" w:type="auto"/>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161-0103-JBN-VV7N</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临时工工资</w:t>
            </w: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400</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400</w:t>
            </w:r>
          </w:p>
        </w:tc>
        <w:tc>
          <w:tcPr>
            <w:tcW w:w="142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  </w:t>
            </w:r>
          </w:p>
        </w:tc>
      </w:tr>
      <w:tr>
        <w:tblPrEx>
          <w:tblCellMar>
            <w:top w:w="15" w:type="dxa"/>
            <w:left w:w="15" w:type="dxa"/>
            <w:bottom w:w="15" w:type="dxa"/>
            <w:right w:w="15" w:type="dxa"/>
          </w:tblCellMar>
        </w:tblPrEx>
        <w:trPr>
          <w:trHeight w:val="579"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每月15号发放上月工资及保险缴纳费用，保障临时工作人员工资按时发放。</w:t>
            </w:r>
          </w:p>
        </w:tc>
      </w:tr>
      <w:tr>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12月底</w:t>
            </w:r>
          </w:p>
        </w:tc>
      </w:tr>
      <w:tr>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25</w:t>
            </w:r>
          </w:p>
        </w:tc>
        <w:tc>
          <w:tcPr>
            <w:tcW w:w="144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50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75</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r>
      <w:tr>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保障工作人员工资正常发放</w:t>
            </w:r>
          </w:p>
        </w:tc>
      </w:tr>
      <w:tr>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确保司法改革的进行</w:t>
            </w:r>
          </w:p>
        </w:tc>
      </w:tr>
      <w:tr>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绩效指标描述</w:t>
            </w:r>
          </w:p>
        </w:tc>
        <w:tc>
          <w:tcPr>
            <w:tcW w:w="979"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指标值确定依据</w:t>
            </w:r>
          </w:p>
        </w:tc>
      </w:tr>
      <w:tr>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工资发放人数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每月工资按时发放的人数</w:t>
            </w:r>
          </w:p>
        </w:tc>
        <w:tc>
          <w:tcPr>
            <w:tcW w:w="97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3"/>
                <w:szCs w:val="13"/>
              </w:rPr>
            </w:pPr>
            <w:r>
              <w:rPr>
                <w:rFonts w:hint="eastAsia" w:ascii="宋体" w:hAnsi="宋体" w:cs="宋体"/>
                <w:color w:val="000000"/>
                <w:sz w:val="13"/>
                <w:szCs w:val="13"/>
              </w:rPr>
              <w:t>河北省法官助理、检察官助理和书记员职务层次确定办法</w:t>
            </w: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工资发放及时率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工资发放时间是否每月在15号到账</w:t>
            </w:r>
          </w:p>
        </w:tc>
        <w:tc>
          <w:tcPr>
            <w:tcW w:w="9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3"/>
                <w:szCs w:val="13"/>
              </w:rPr>
            </w:pPr>
            <w:r>
              <w:rPr>
                <w:rFonts w:hint="eastAsia" w:ascii="宋体" w:hAnsi="宋体" w:cs="宋体"/>
                <w:color w:val="000000"/>
                <w:sz w:val="13"/>
                <w:szCs w:val="13"/>
              </w:rPr>
              <w:t>河北省法官助理、检察官助理和书记员职务层次确定办法</w:t>
            </w: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效果指标</w:t>
            </w: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经济效益指标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r>
              <w:rPr>
                <w:rFonts w:hint="eastAsia" w:ascii="宋体" w:hAnsi="宋体" w:cs="宋体"/>
                <w:color w:val="000000"/>
                <w:sz w:val="20"/>
                <w:szCs w:val="20"/>
              </w:rPr>
              <w:t>人员工资满意度</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人员对工资到账时间是否存在延长，发放时间的满意程度</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13"/>
                <w:szCs w:val="13"/>
              </w:rPr>
              <w:t>河北省法官助理、检察官助理和书记员职务层次确定办法</w:t>
            </w:r>
          </w:p>
        </w:tc>
      </w:tr>
    </w:tbl>
    <w:p>
      <w:pPr>
        <w:spacing w:line="580" w:lineRule="exact"/>
        <w:rPr>
          <w:rFonts w:eastAsia="方正仿宋_GBK"/>
          <w:sz w:val="32"/>
          <w:szCs w:val="32"/>
        </w:rPr>
      </w:pPr>
      <w:r>
        <w:rPr>
          <w:rFonts w:hint="eastAsia" w:eastAsia="方正仿宋_GBK"/>
          <w:sz w:val="32"/>
          <w:szCs w:val="32"/>
        </w:rPr>
        <w:t>4.  陪审员经费预算项目资金绩效表</w:t>
      </w:r>
    </w:p>
    <w:tbl>
      <w:tblPr>
        <w:tblStyle w:val="7"/>
        <w:tblW w:w="8952" w:type="dxa"/>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161-0103-JBN-SIGS</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陪审员经费</w:t>
            </w: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5</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5</w:t>
            </w:r>
          </w:p>
        </w:tc>
        <w:tc>
          <w:tcPr>
            <w:tcW w:w="142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  </w:t>
            </w:r>
          </w:p>
        </w:tc>
      </w:tr>
      <w:tr>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7月份支付1-6月陪审案件的工资，12月中旬支付本年度7-12月陪审案件的工资，按时完成陪审员工资的发放，保证每个案件审判过程中的公平公正。</w:t>
            </w:r>
          </w:p>
        </w:tc>
      </w:tr>
      <w:tr>
        <w:tblPrEx>
          <w:tblCellMar>
            <w:top w:w="15" w:type="dxa"/>
            <w:left w:w="15" w:type="dxa"/>
            <w:bottom w:w="15" w:type="dxa"/>
            <w:right w:w="15" w:type="dxa"/>
          </w:tblCellMar>
        </w:tblPrEx>
        <w:trPr>
          <w:trHeight w:val="48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12月底</w:t>
            </w:r>
          </w:p>
        </w:tc>
      </w:tr>
      <w:tr>
        <w:tblPrEx>
          <w:tblCellMar>
            <w:top w:w="15" w:type="dxa"/>
            <w:left w:w="15" w:type="dxa"/>
            <w:bottom w:w="15" w:type="dxa"/>
            <w:right w:w="15" w:type="dxa"/>
          </w:tblCellMar>
        </w:tblPrEx>
        <w:trPr>
          <w:trHeight w:val="471"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44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50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r>
      <w:tr>
        <w:tblPrEx>
          <w:tblCellMar>
            <w:top w:w="15" w:type="dxa"/>
            <w:left w:w="15" w:type="dxa"/>
            <w:bottom w:w="15" w:type="dxa"/>
            <w:right w:w="15" w:type="dxa"/>
          </w:tblCellMar>
        </w:tblPrEx>
        <w:trPr>
          <w:trHeight w:val="449"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按时完成陪审员工资的发放</w:t>
            </w:r>
          </w:p>
        </w:tc>
      </w:tr>
      <w:tr>
        <w:tblPrEx>
          <w:tblCellMar>
            <w:top w:w="15" w:type="dxa"/>
            <w:left w:w="15" w:type="dxa"/>
            <w:bottom w:w="15" w:type="dxa"/>
            <w:right w:w="15" w:type="dxa"/>
          </w:tblCellMar>
        </w:tblPrEx>
        <w:trPr>
          <w:trHeight w:val="436"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保证每个案件审判过程中的公平公正</w:t>
            </w:r>
          </w:p>
        </w:tc>
      </w:tr>
      <w:tr>
        <w:tblPrEx>
          <w:tblCellMar>
            <w:top w:w="15" w:type="dxa"/>
            <w:left w:w="15" w:type="dxa"/>
            <w:bottom w:w="15" w:type="dxa"/>
            <w:right w:w="15" w:type="dxa"/>
          </w:tblCellMar>
        </w:tblPrEx>
        <w:trPr>
          <w:trHeight w:val="39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34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绩效指标描述</w:t>
            </w:r>
          </w:p>
        </w:tc>
        <w:tc>
          <w:tcPr>
            <w:tcW w:w="979"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指标值确定依据</w:t>
            </w:r>
          </w:p>
        </w:tc>
      </w:tr>
      <w:tr>
        <w:tblPrEx>
          <w:tblCellMar>
            <w:top w:w="15" w:type="dxa"/>
            <w:left w:w="15" w:type="dxa"/>
            <w:bottom w:w="15" w:type="dxa"/>
            <w:right w:w="15" w:type="dxa"/>
          </w:tblCellMar>
        </w:tblPrEx>
        <w:trPr>
          <w:trHeight w:val="312"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r>
      <w:tr>
        <w:tblPrEx>
          <w:tblCellMar>
            <w:top w:w="15" w:type="dxa"/>
            <w:left w:w="15" w:type="dxa"/>
            <w:bottom w:w="15" w:type="dxa"/>
            <w:right w:w="15" w:type="dxa"/>
          </w:tblCellMar>
        </w:tblPrEx>
        <w:trPr>
          <w:trHeight w:val="531"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工资发放人数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陪审员人数</w:t>
            </w:r>
          </w:p>
        </w:tc>
        <w:tc>
          <w:tcPr>
            <w:tcW w:w="97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=120个</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3"/>
                <w:szCs w:val="13"/>
              </w:rPr>
            </w:pPr>
            <w:r>
              <w:rPr>
                <w:rFonts w:hint="eastAsia" w:ascii="宋体" w:hAnsi="宋体" w:cs="宋体"/>
                <w:color w:val="000000"/>
                <w:sz w:val="13"/>
                <w:szCs w:val="13"/>
              </w:rPr>
              <w:t>全国人大常委会关于完善人民陪审员制度的决定</w:t>
            </w:r>
          </w:p>
        </w:tc>
      </w:tr>
      <w:tr>
        <w:tblPrEx>
          <w:tblCellMar>
            <w:top w:w="15" w:type="dxa"/>
            <w:left w:w="15" w:type="dxa"/>
            <w:bottom w:w="15" w:type="dxa"/>
            <w:right w:w="15" w:type="dxa"/>
          </w:tblCellMar>
        </w:tblPrEx>
        <w:trPr>
          <w:trHeight w:val="35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3"/>
                <w:szCs w:val="13"/>
              </w:rPr>
            </w:pPr>
          </w:p>
        </w:tc>
      </w:tr>
      <w:tr>
        <w:tblPrEx>
          <w:tblCellMar>
            <w:top w:w="15" w:type="dxa"/>
            <w:left w:w="15" w:type="dxa"/>
            <w:bottom w:w="15" w:type="dxa"/>
            <w:right w:w="15" w:type="dxa"/>
          </w:tblCellMar>
        </w:tblPrEx>
        <w:trPr>
          <w:trHeight w:val="367"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3"/>
                <w:szCs w:val="13"/>
              </w:rPr>
            </w:pPr>
          </w:p>
        </w:tc>
      </w:tr>
      <w:tr>
        <w:tblPrEx>
          <w:tblCellMar>
            <w:top w:w="15" w:type="dxa"/>
            <w:left w:w="15" w:type="dxa"/>
            <w:bottom w:w="15" w:type="dxa"/>
            <w:right w:w="15" w:type="dxa"/>
          </w:tblCellMar>
        </w:tblPrEx>
        <w:trPr>
          <w:trHeight w:val="477"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陪审员出庭率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陪审员出庭次数占全年开庭总量的比率</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3"/>
                <w:szCs w:val="13"/>
              </w:rPr>
            </w:pPr>
            <w:r>
              <w:rPr>
                <w:rFonts w:hint="eastAsia" w:ascii="宋体" w:hAnsi="宋体" w:cs="宋体"/>
                <w:color w:val="000000"/>
                <w:sz w:val="13"/>
                <w:szCs w:val="13"/>
              </w:rPr>
              <w:t>全国人大常委会关于完善人民陪审员制度的决定</w:t>
            </w:r>
          </w:p>
        </w:tc>
      </w:tr>
      <w:tr>
        <w:tblPrEx>
          <w:tblCellMar>
            <w:top w:w="15" w:type="dxa"/>
            <w:left w:w="15" w:type="dxa"/>
            <w:bottom w:w="15" w:type="dxa"/>
            <w:right w:w="15" w:type="dxa"/>
          </w:tblCellMar>
        </w:tblPrEx>
        <w:trPr>
          <w:trHeight w:val="695" w:hRule="atLeast"/>
        </w:trPr>
        <w:tc>
          <w:tcPr>
            <w:tcW w:w="648" w:type="dxa"/>
            <w:vMerge w:val="continue"/>
            <w:tcBorders>
              <w:left w:val="single" w:color="000000" w:sz="4" w:space="0"/>
              <w:bottom w:val="single" w:color="000000" w:sz="4" w:space="0"/>
              <w:right w:val="single" w:color="000000" w:sz="4" w:space="0"/>
            </w:tcBorders>
            <w:vAlign w:val="center"/>
          </w:tcPr>
          <w:p/>
        </w:tc>
        <w:tc>
          <w:tcPr>
            <w:tcW w:w="1106" w:type="dxa"/>
            <w:vMerge w:val="continue"/>
            <w:tcBorders>
              <w:left w:val="single" w:color="000000" w:sz="4" w:space="0"/>
              <w:bottom w:val="single" w:color="000000" w:sz="4" w:space="0"/>
              <w:right w:val="single" w:color="000000" w:sz="4" w:space="0"/>
            </w:tcBorders>
            <w:vAlign w:val="center"/>
          </w:tcP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18"/>
                <w:szCs w:val="18"/>
              </w:rPr>
              <w:t>工资发放及时率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陪审员工资是否及时支付</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13"/>
                <w:szCs w:val="13"/>
              </w:rPr>
            </w:pPr>
            <w:r>
              <w:rPr>
                <w:rFonts w:hint="eastAsia" w:ascii="方正仿宋_GBK" w:hAnsi="方正仿宋_GBK" w:eastAsia="方正仿宋_GBK" w:cs="方正仿宋_GBK"/>
                <w:color w:val="000000"/>
                <w:sz w:val="13"/>
                <w:szCs w:val="13"/>
              </w:rPr>
              <w:t>全国人大常委会关于完善人民陪审员制度的决定</w:t>
            </w:r>
          </w:p>
        </w:tc>
      </w:tr>
      <w:tr>
        <w:tblPrEx>
          <w:tblCellMar>
            <w:top w:w="15" w:type="dxa"/>
            <w:left w:w="15" w:type="dxa"/>
            <w:bottom w:w="15" w:type="dxa"/>
            <w:right w:w="15" w:type="dxa"/>
          </w:tblCellMar>
        </w:tblPrEx>
        <w:trPr>
          <w:trHeight w:val="476"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效果指标</w:t>
            </w: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经济效益指标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627"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r>
              <w:rPr>
                <w:rFonts w:hint="eastAsia" w:ascii="宋体" w:hAnsi="宋体" w:cs="宋体"/>
                <w:color w:val="000000"/>
                <w:sz w:val="20"/>
                <w:szCs w:val="20"/>
              </w:rPr>
              <w:t>服务对象满意度</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陪审员对发放工资的满意度</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bl>
    <w:p>
      <w:pPr>
        <w:spacing w:line="580" w:lineRule="exact"/>
        <w:rPr>
          <w:rFonts w:eastAsia="方正仿宋_GBK"/>
          <w:sz w:val="32"/>
          <w:szCs w:val="32"/>
        </w:rPr>
      </w:pPr>
      <w:r>
        <w:rPr>
          <w:rFonts w:hint="eastAsia" w:eastAsia="方正仿宋_GBK"/>
          <w:sz w:val="32"/>
          <w:szCs w:val="32"/>
        </w:rPr>
        <w:t>5.  诉调经费预算项目资金绩效表</w:t>
      </w:r>
    </w:p>
    <w:tbl>
      <w:tblPr>
        <w:tblStyle w:val="7"/>
        <w:tblW w:w="0" w:type="auto"/>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161-0101-JBN-O0P3</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诉调经费</w:t>
            </w: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30</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30</w:t>
            </w:r>
          </w:p>
        </w:tc>
        <w:tc>
          <w:tcPr>
            <w:tcW w:w="142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  </w:t>
            </w:r>
          </w:p>
        </w:tc>
      </w:tr>
      <w:tr>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4月支付1-3月诉前调解人员的工资，4-12月份保证每月工资按时发放，使每个诉前调解案件能够快速解决。</w:t>
            </w:r>
          </w:p>
        </w:tc>
      </w:tr>
      <w:tr>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12月底</w:t>
            </w:r>
          </w:p>
        </w:tc>
      </w:tr>
      <w:tr>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44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50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80</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r>
      <w:tr>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按时完成诉前调解员工资的发放</w:t>
            </w:r>
          </w:p>
        </w:tc>
      </w:tr>
      <w:tr>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保证每个诉前调解案件快速解决</w:t>
            </w:r>
          </w:p>
        </w:tc>
      </w:tr>
      <w:tr>
        <w:tblPrEx>
          <w:tblCellMar>
            <w:top w:w="15" w:type="dxa"/>
            <w:left w:w="15" w:type="dxa"/>
            <w:bottom w:w="15" w:type="dxa"/>
            <w:right w:w="15" w:type="dxa"/>
          </w:tblCellMar>
        </w:tblPrEx>
        <w:trPr>
          <w:trHeight w:val="436"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39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绩效指标描述</w:t>
            </w:r>
          </w:p>
        </w:tc>
        <w:tc>
          <w:tcPr>
            <w:tcW w:w="979"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指标值确定依据</w:t>
            </w:r>
          </w:p>
        </w:tc>
      </w:tr>
      <w:tr>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r>
      <w:tr>
        <w:tblPrEx>
          <w:tblCellMar>
            <w:top w:w="15" w:type="dxa"/>
            <w:left w:w="15" w:type="dxa"/>
            <w:bottom w:w="15" w:type="dxa"/>
            <w:right w:w="15" w:type="dxa"/>
          </w:tblCellMar>
        </w:tblPrEx>
        <w:trPr>
          <w:trHeight w:val="462"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工资发放人数</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诉前调解人数</w:t>
            </w:r>
          </w:p>
        </w:tc>
        <w:tc>
          <w:tcPr>
            <w:tcW w:w="979" w:type="dxa"/>
            <w:tcBorders>
              <w:top w:val="single" w:color="000000" w:sz="4" w:space="0"/>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sz w:val="20"/>
                <w:szCs w:val="20"/>
              </w:rPr>
              <w:t>=10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226"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367"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诉前调解案件开庭率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诉前调解开庭次数占全年正常立案总量的比率（反向指标）</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&gt;=95%</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531"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效果指标</w:t>
            </w: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经济效益指标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r>
              <w:rPr>
                <w:rFonts w:hint="eastAsia" w:ascii="宋体" w:hAnsi="宋体" w:cs="宋体"/>
                <w:color w:val="000000"/>
                <w:sz w:val="20"/>
                <w:szCs w:val="20"/>
              </w:rPr>
              <w:t>工资发放及时率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诉前调解员工资是否及时支付</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517"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bl>
    <w:p>
      <w:pPr>
        <w:spacing w:line="580" w:lineRule="exact"/>
        <w:rPr>
          <w:rFonts w:eastAsia="方正仿宋_GBK"/>
          <w:sz w:val="32"/>
          <w:szCs w:val="32"/>
        </w:rPr>
      </w:pPr>
    </w:p>
    <w:p>
      <w:pPr>
        <w:spacing w:line="580" w:lineRule="exact"/>
        <w:rPr>
          <w:rFonts w:eastAsia="方正仿宋_GBK"/>
          <w:sz w:val="32"/>
          <w:szCs w:val="32"/>
        </w:rPr>
      </w:pPr>
      <w:r>
        <w:rPr>
          <w:rFonts w:hint="eastAsia" w:eastAsia="方正仿宋_GBK"/>
          <w:sz w:val="32"/>
          <w:szCs w:val="32"/>
        </w:rPr>
        <w:t>6.  法警法定工作日之外加班及执勤补贴预算项目资金绩效表</w:t>
      </w:r>
    </w:p>
    <w:tbl>
      <w:tblPr>
        <w:tblStyle w:val="7"/>
        <w:tblW w:w="0" w:type="auto"/>
        <w:tblInd w:w="0" w:type="dxa"/>
        <w:tblLayout w:type="fixed"/>
        <w:tblCellMar>
          <w:top w:w="15" w:type="dxa"/>
          <w:left w:w="15" w:type="dxa"/>
          <w:bottom w:w="15" w:type="dxa"/>
          <w:right w:w="15" w:type="dxa"/>
        </w:tblCellMar>
      </w:tblPr>
      <w:tblGrid>
        <w:gridCol w:w="648"/>
        <w:gridCol w:w="1106"/>
        <w:gridCol w:w="1315"/>
        <w:gridCol w:w="1442"/>
        <w:gridCol w:w="1078"/>
        <w:gridCol w:w="1423"/>
        <w:gridCol w:w="979"/>
        <w:gridCol w:w="961"/>
      </w:tblGrid>
      <w:tr>
        <w:tblPrEx>
          <w:tblCellMar>
            <w:top w:w="15" w:type="dxa"/>
            <w:left w:w="15" w:type="dxa"/>
            <w:bottom w:w="15" w:type="dxa"/>
            <w:right w:w="15" w:type="dxa"/>
          </w:tblCellMar>
        </w:tblPrEx>
        <w:trPr>
          <w:trHeight w:val="615"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项目编码</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161-0101-JBN-6FG6</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项目名称</w:t>
            </w:r>
          </w:p>
        </w:tc>
        <w:tc>
          <w:tcPr>
            <w:tcW w:w="4441" w:type="dxa"/>
            <w:gridSpan w:val="4"/>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法警法定工作日之外加班及执勤补贴</w:t>
            </w: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预算规模及资金用途</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 xml:space="preserve">预算数    </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9.54</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其中：财政资金</w:t>
            </w:r>
          </w:p>
        </w:tc>
        <w:tc>
          <w:tcPr>
            <w:tcW w:w="1078"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color w:val="000000"/>
                <w:sz w:val="20"/>
                <w:szCs w:val="20"/>
              </w:rPr>
            </w:pPr>
            <w:r>
              <w:rPr>
                <w:rFonts w:hint="eastAsia" w:ascii="宋体" w:hAnsi="宋体" w:cs="宋体"/>
                <w:b/>
                <w:color w:val="000000"/>
                <w:sz w:val="20"/>
                <w:szCs w:val="20"/>
              </w:rPr>
              <w:t>9.54</w:t>
            </w:r>
          </w:p>
        </w:tc>
        <w:tc>
          <w:tcPr>
            <w:tcW w:w="1423"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其他资金</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  </w:t>
            </w:r>
          </w:p>
        </w:tc>
      </w:tr>
      <w:tr>
        <w:tblPrEx>
          <w:tblCellMar>
            <w:top w:w="15" w:type="dxa"/>
            <w:left w:w="15" w:type="dxa"/>
            <w:bottom w:w="15" w:type="dxa"/>
            <w:right w:w="15" w:type="dxa"/>
          </w:tblCellMar>
        </w:tblPrEx>
        <w:trPr>
          <w:trHeight w:val="60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8304" w:type="dxa"/>
            <w:gridSpan w:val="7"/>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我院法警5名，每人每月执勤补贴710元，每人每月岗位pumh880fqb，执勤及加班补贴每季度发放一次，确保我院审判案件按时结案。</w:t>
            </w:r>
          </w:p>
        </w:tc>
      </w:tr>
      <w:tr>
        <w:tblPrEx>
          <w:tblCellMar>
            <w:top w:w="15" w:type="dxa"/>
            <w:left w:w="15" w:type="dxa"/>
            <w:bottom w:w="15" w:type="dxa"/>
            <w:right w:w="15" w:type="dxa"/>
          </w:tblCellMar>
        </w:tblPrEx>
        <w:trPr>
          <w:trHeight w:val="61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资金支出计划（%）</w:t>
            </w: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3月底</w:t>
            </w:r>
          </w:p>
        </w:tc>
        <w:tc>
          <w:tcPr>
            <w:tcW w:w="144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6月底</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10月底</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12月底</w:t>
            </w:r>
          </w:p>
        </w:tc>
      </w:tr>
      <w:tr>
        <w:tblPrEx>
          <w:tblCellMar>
            <w:top w:w="15" w:type="dxa"/>
            <w:left w:w="15" w:type="dxa"/>
            <w:bottom w:w="15" w:type="dxa"/>
            <w:right w:w="15" w:type="dxa"/>
          </w:tblCellMar>
        </w:tblPrEx>
        <w:trPr>
          <w:trHeight w:val="61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242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r>
              <w:rPr>
                <w:rFonts w:hint="eastAsia" w:ascii="宋体" w:hAnsi="宋体" w:cs="宋体"/>
                <w:b/>
                <w:color w:val="000000"/>
                <w:sz w:val="20"/>
                <w:szCs w:val="20"/>
              </w:rPr>
              <w:t>25</w:t>
            </w:r>
          </w:p>
        </w:tc>
        <w:tc>
          <w:tcPr>
            <w:tcW w:w="144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50</w:t>
            </w:r>
          </w:p>
        </w:tc>
        <w:tc>
          <w:tcPr>
            <w:tcW w:w="250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75</w:t>
            </w:r>
          </w:p>
        </w:tc>
        <w:tc>
          <w:tcPr>
            <w:tcW w:w="194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r>
              <w:rPr>
                <w:rFonts w:hint="eastAsia" w:ascii="宋体" w:hAnsi="宋体" w:cs="宋体"/>
                <w:color w:val="000000"/>
                <w:sz w:val="20"/>
                <w:szCs w:val="20"/>
              </w:rPr>
              <w:t>100</w:t>
            </w:r>
          </w:p>
        </w:tc>
      </w:tr>
      <w:tr>
        <w:tblPrEx>
          <w:tblCellMar>
            <w:top w:w="15" w:type="dxa"/>
            <w:left w:w="15" w:type="dxa"/>
            <w:bottom w:w="15" w:type="dxa"/>
            <w:right w:w="15" w:type="dxa"/>
          </w:tblCellMar>
        </w:tblPrEx>
        <w:trPr>
          <w:trHeight w:val="52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绩效目标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目标1</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确保我院受理案件及时完成结案</w:t>
            </w:r>
          </w:p>
        </w:tc>
      </w:tr>
      <w:tr>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目标2</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达到省法院要求结案率</w:t>
            </w:r>
          </w:p>
        </w:tc>
      </w:tr>
      <w:tr>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目标3</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525"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b/>
                <w:color w:val="000000"/>
                <w:kern w:val="0"/>
                <w:sz w:val="20"/>
                <w:szCs w:val="20"/>
              </w:rPr>
              <w:t>......</w:t>
            </w:r>
          </w:p>
        </w:tc>
        <w:tc>
          <w:tcPr>
            <w:tcW w:w="7198" w:type="dxa"/>
            <w:gridSpan w:val="6"/>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r>
      <w:tr>
        <w:tblPrEx>
          <w:tblCellMar>
            <w:top w:w="15" w:type="dxa"/>
            <w:left w:w="15" w:type="dxa"/>
            <w:bottom w:w="15" w:type="dxa"/>
            <w:right w:w="15" w:type="dxa"/>
          </w:tblCellMar>
        </w:tblPrEx>
        <w:trPr>
          <w:trHeight w:val="450"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一级指标</w:t>
            </w:r>
          </w:p>
        </w:tc>
        <w:tc>
          <w:tcPr>
            <w:tcW w:w="110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二级指标</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三级指标</w:t>
            </w:r>
          </w:p>
        </w:tc>
        <w:tc>
          <w:tcPr>
            <w:tcW w:w="3943"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绩效指标描述</w:t>
            </w:r>
          </w:p>
        </w:tc>
        <w:tc>
          <w:tcPr>
            <w:tcW w:w="979" w:type="dxa"/>
            <w:vMerge w:val="restart"/>
            <w:tcBorders>
              <w:top w:val="single" w:color="000000" w:sz="4" w:space="0"/>
              <w:left w:val="single" w:color="000000" w:sz="4" w:space="0"/>
              <w:bottom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w:t>
            </w:r>
          </w:p>
        </w:tc>
        <w:tc>
          <w:tcPr>
            <w:tcW w:w="9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黑体" w:hAnsi="宋体" w:eastAsia="黑体"/>
                <w:b/>
                <w:color w:val="000000"/>
                <w:sz w:val="20"/>
                <w:szCs w:val="20"/>
              </w:rPr>
            </w:pPr>
            <w:r>
              <w:rPr>
                <w:rFonts w:hint="eastAsia" w:ascii="黑体" w:hAnsi="宋体" w:eastAsia="黑体"/>
                <w:b/>
                <w:color w:val="000000"/>
                <w:kern w:val="0"/>
                <w:sz w:val="20"/>
                <w:szCs w:val="20"/>
              </w:rPr>
              <w:t>指标值确定依据</w:t>
            </w:r>
          </w:p>
        </w:tc>
      </w:tr>
      <w:tr>
        <w:tblPrEx>
          <w:tblCellMar>
            <w:top w:w="15" w:type="dxa"/>
            <w:left w:w="15" w:type="dxa"/>
            <w:bottom w:w="15" w:type="dxa"/>
            <w:right w:w="15" w:type="dxa"/>
          </w:tblCellMar>
        </w:tblPrEx>
        <w:trPr>
          <w:trHeight w:val="36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10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c>
          <w:tcPr>
            <w:tcW w:w="979" w:type="dxa"/>
            <w:vMerge w:val="continue"/>
            <w:tcBorders>
              <w:top w:val="single" w:color="000000" w:sz="4" w:space="0"/>
              <w:left w:val="single" w:color="000000" w:sz="4" w:space="0"/>
              <w:bottom w:val="single" w:color="000000" w:sz="4" w:space="0"/>
            </w:tcBorders>
            <w:vAlign w:val="center"/>
          </w:tcPr>
          <w:p>
            <w:pPr>
              <w:jc w:val="center"/>
              <w:rPr>
                <w:rFonts w:ascii="黑体" w:hAnsi="宋体" w:eastAsia="黑体"/>
                <w:b/>
                <w:color w:val="000000"/>
                <w:sz w:val="20"/>
                <w:szCs w:val="20"/>
              </w:rPr>
            </w:pPr>
          </w:p>
        </w:tc>
        <w:tc>
          <w:tcPr>
            <w:tcW w:w="9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黑体" w:hAnsi="宋体" w:eastAsia="黑体"/>
                <w:b/>
                <w:color w:val="000000"/>
                <w:sz w:val="20"/>
                <w:szCs w:val="20"/>
              </w:rPr>
            </w:pPr>
          </w:p>
        </w:tc>
      </w:tr>
      <w:tr>
        <w:tblPrEx>
          <w:tblCellMar>
            <w:top w:w="15" w:type="dxa"/>
            <w:left w:w="15" w:type="dxa"/>
            <w:bottom w:w="15" w:type="dxa"/>
            <w:right w:w="15" w:type="dxa"/>
          </w:tblCellMar>
        </w:tblPrEx>
        <w:trPr>
          <w:trHeight w:val="555" w:hRule="atLeast"/>
        </w:trPr>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 xml:space="preserve">产出指标 </w:t>
            </w:r>
          </w:p>
        </w:tc>
        <w:tc>
          <w:tcPr>
            <w:tcW w:w="1106"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r>
              <w:rPr>
                <w:rFonts w:hint="eastAsia" w:ascii="宋体" w:hAnsi="宋体" w:cs="宋体"/>
                <w:color w:val="000000"/>
                <w:sz w:val="18"/>
                <w:szCs w:val="18"/>
              </w:rPr>
              <w:t>补贴人员数量</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r>
              <w:rPr>
                <w:rFonts w:hint="eastAsia" w:ascii="宋体" w:hAnsi="宋体" w:cs="宋体"/>
                <w:color w:val="000000"/>
                <w:sz w:val="18"/>
                <w:szCs w:val="18"/>
              </w:rPr>
              <w:t>享受补贴政策的人数5人</w:t>
            </w:r>
          </w:p>
        </w:tc>
        <w:tc>
          <w:tcPr>
            <w:tcW w:w="97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=5人</w:t>
            </w:r>
          </w:p>
        </w:tc>
        <w:tc>
          <w:tcPr>
            <w:tcW w:w="961" w:type="dxa"/>
            <w:tcBorders>
              <w:top w:val="single" w:color="000000" w:sz="4" w:space="0"/>
              <w:left w:val="single" w:color="000000" w:sz="4" w:space="0"/>
              <w:bottom w:val="single" w:color="000000" w:sz="4" w:space="0"/>
              <w:right w:val="single" w:color="000000" w:sz="4" w:space="0"/>
            </w:tcBorders>
            <w:vAlign w:val="center"/>
          </w:tcPr>
          <w:p>
            <w:pPr>
              <w:tabs>
                <w:tab w:val="left" w:pos="373"/>
              </w:tabs>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color w:val="000000"/>
                <w:sz w:val="20"/>
                <w:szCs w:val="20"/>
              </w:rPr>
            </w:pP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18"/>
                <w:szCs w:val="18"/>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18"/>
                <w:szCs w:val="18"/>
              </w:rPr>
            </w:pPr>
          </w:p>
        </w:tc>
        <w:tc>
          <w:tcPr>
            <w:tcW w:w="97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r>
              <w:rPr>
                <w:rFonts w:hint="eastAsia" w:ascii="方正仿宋_GBK" w:hAnsi="方正仿宋_GBK" w:eastAsia="方正仿宋_GBK" w:cs="方正仿宋_GBK"/>
                <w:color w:val="000000"/>
                <w:sz w:val="20"/>
                <w:szCs w:val="20"/>
              </w:rPr>
              <w:t>补助发放率</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实际发放的补助金金额占计划发放金额的比率</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成本指标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方正仿宋_GBK" w:hAnsi="方正仿宋_GBK" w:eastAsia="方正仿宋_GBK" w:cs="方正仿宋_GBK"/>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restart"/>
            <w:tcBorders>
              <w:top w:val="single" w:color="000000" w:sz="4" w:space="0"/>
              <w:left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效果指标</w:t>
            </w: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经济效益指标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社会效益指标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510" w:hRule="atLeast"/>
        </w:trPr>
        <w:tc>
          <w:tcPr>
            <w:tcW w:w="648" w:type="dxa"/>
            <w:vMerge w:val="continue"/>
            <w:tcBorders>
              <w:top w:val="single" w:color="000000" w:sz="4" w:space="0"/>
              <w:left w:val="single" w:color="000000" w:sz="4" w:space="0"/>
              <w:right w:val="single" w:color="000000" w:sz="4" w:space="0"/>
            </w:tcBorders>
            <w:vAlign w:val="center"/>
          </w:tcPr>
          <w:p>
            <w:pPr>
              <w:jc w:val="center"/>
              <w:rPr>
                <w:rFonts w:ascii="宋体" w:hAnsi="宋体" w:cs="宋体"/>
                <w:b/>
                <w:color w:val="000000"/>
                <w:sz w:val="20"/>
                <w:szCs w:val="20"/>
              </w:rPr>
            </w:pP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生态效益指标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p>
        </w:tc>
      </w:tr>
      <w:tr>
        <w:tblPrEx>
          <w:tblCellMar>
            <w:top w:w="15" w:type="dxa"/>
            <w:left w:w="15" w:type="dxa"/>
            <w:bottom w:w="15" w:type="dxa"/>
            <w:right w:w="15" w:type="dxa"/>
          </w:tblCellMar>
        </w:tblPrEx>
        <w:trPr>
          <w:trHeight w:val="720" w:hRule="atLeast"/>
        </w:trPr>
        <w:tc>
          <w:tcPr>
            <w:tcW w:w="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满意度指标</w:t>
            </w:r>
          </w:p>
        </w:tc>
        <w:tc>
          <w:tcPr>
            <w:tcW w:w="1106"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1315"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0"/>
                <w:szCs w:val="20"/>
              </w:rPr>
            </w:pPr>
            <w:r>
              <w:rPr>
                <w:rFonts w:hint="eastAsia" w:ascii="宋体" w:hAnsi="宋体" w:cs="宋体"/>
                <w:color w:val="000000"/>
                <w:sz w:val="20"/>
                <w:szCs w:val="20"/>
              </w:rPr>
              <w:t>受益对象满意度</w:t>
            </w:r>
          </w:p>
        </w:tc>
        <w:tc>
          <w:tcPr>
            <w:tcW w:w="3943"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r>
              <w:rPr>
                <w:rFonts w:hint="eastAsia" w:ascii="宋体" w:hAnsi="宋体" w:cs="宋体"/>
                <w:color w:val="000000"/>
                <w:sz w:val="20"/>
                <w:szCs w:val="20"/>
              </w:rPr>
              <w:t>通过问卷调查，满意和较满意的受益对象占全部调研对象的比率</w:t>
            </w:r>
          </w:p>
        </w:tc>
        <w:tc>
          <w:tcPr>
            <w:tcW w:w="979"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=100%</w:t>
            </w:r>
          </w:p>
        </w:tc>
        <w:tc>
          <w:tcPr>
            <w:tcW w:w="961" w:type="dxa"/>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color w:val="000000"/>
                <w:sz w:val="24"/>
              </w:rPr>
            </w:pPr>
            <w:r>
              <w:rPr>
                <w:rFonts w:hint="eastAsia" w:ascii="宋体" w:hAnsi="宋体" w:cs="宋体"/>
                <w:color w:val="000000"/>
                <w:sz w:val="24"/>
              </w:rPr>
              <w:t>领导批示</w:t>
            </w:r>
          </w:p>
        </w:tc>
      </w:tr>
    </w:tbl>
    <w:p>
      <w:pPr>
        <w:spacing w:line="580" w:lineRule="exact"/>
        <w:rPr>
          <w:rFonts w:eastAsia="方正仿宋_GBK"/>
          <w:sz w:val="32"/>
          <w:szCs w:val="32"/>
        </w:rPr>
      </w:pPr>
    </w:p>
    <w:p>
      <w:pPr>
        <w:spacing w:line="300" w:lineRule="exact"/>
        <w:ind w:firstLine="420" w:firstLineChars="200"/>
        <w:jc w:val="left"/>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39.6</w:t>
      </w:r>
      <w:r>
        <w:rPr>
          <w:rFonts w:ascii="Times New Roman" w:hAnsi="Times New Roman" w:eastAsia="仿宋" w:cs="Times New Roman"/>
          <w:sz w:val="32"/>
          <w:szCs w:val="24"/>
        </w:rPr>
        <w:t>万元。具体内容见下表。</w:t>
      </w:r>
      <w:bookmarkEnd w:id="5"/>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6" w:name="_Toc28848395"/>
      <w:r>
        <w:rPr>
          <w:rFonts w:hint="eastAsia" w:ascii="方正小标宋_GBK" w:eastAsia="方正小标宋_GBK"/>
          <w:sz w:val="32"/>
        </w:rPr>
        <w:instrText xml:space="preserve">部门政府采购预算</w:instrText>
      </w:r>
      <w:bookmarkEnd w:id="6"/>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161石家庄市藁城区人民法院</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39.6</w:t>
            </w:r>
          </w:p>
        </w:tc>
        <w:tc>
          <w:tcPr>
            <w:tcW w:w="992"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39.6</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石财行[2019]61号  关于提前下达2020年中央政法纪检监察转移支付资金的通知（法院）</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39.6</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[A02030724]人民法院特种专业技术用车</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161-0302-JBN-RUWC</w:t>
            </w:r>
          </w:p>
        </w:tc>
        <w:tc>
          <w:tcPr>
            <w:tcW w:w="709" w:type="dxa"/>
            <w:vAlign w:val="center"/>
          </w:tcPr>
          <w:p>
            <w:pPr>
              <w:spacing w:line="300" w:lineRule="exact"/>
              <w:jc w:val="left"/>
              <w:rPr>
                <w:rFonts w:ascii="方正书宋_GBK" w:eastAsia="方正书宋_GBK"/>
              </w:rPr>
            </w:pPr>
            <w:r>
              <w:rPr>
                <w:rFonts w:hint="eastAsia" w:ascii="方正书宋_GBK" w:eastAsia="方正书宋_GBK"/>
              </w:rPr>
              <w:t>辆</w:t>
            </w:r>
          </w:p>
        </w:tc>
        <w:tc>
          <w:tcPr>
            <w:tcW w:w="851" w:type="dxa"/>
            <w:vAlign w:val="center"/>
          </w:tcPr>
          <w:p>
            <w:pPr>
              <w:spacing w:line="300" w:lineRule="exact"/>
              <w:jc w:val="right"/>
              <w:rPr>
                <w:rFonts w:ascii="方正书宋_GBK" w:eastAsia="方正书宋_GBK"/>
              </w:rPr>
            </w:pPr>
            <w:r>
              <w:rPr>
                <w:rFonts w:hint="eastAsia" w:ascii="方正书宋_GBK" w:eastAsia="方正书宋_GBK"/>
              </w:rPr>
              <w:t>2</w:t>
            </w:r>
            <w:r>
              <w:rPr>
                <w:rFonts w:ascii="方正书宋_GBK" w:eastAsia="方正书宋_GBK"/>
              </w:rPr>
              <w:t>.00</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19.8</w:t>
            </w:r>
            <w:r>
              <w:rPr>
                <w:rFonts w:ascii="方正书宋_GBK" w:eastAsia="方正书宋_GBK"/>
              </w:rPr>
              <w:t>.00</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39.6</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39.6</w:t>
            </w: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石家庄市藁城区人民法院2019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2378.44</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总额为39.6</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rPr>
        <w:t>人民法院特种专业技术用车</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石家庄市藁城区人民法院固定资产占用情况表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石家庄市藁城区人民法院</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2378.44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10200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1170.71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10200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1170.71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286.33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921.4</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2"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宋体-方正超大字符集">
    <w:altName w:val="方正书宋_GBK"/>
    <w:panose1 w:val="00000000000000000000"/>
    <w:charset w:val="86"/>
    <w:family w:val="auto"/>
    <w:pitch w:val="default"/>
    <w:sig w:usb0="00000000" w:usb1="00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4</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true"/>
  <w:bordersDoNotSurroundFooter w:val="true"/>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EE71BA"/>
    <w:rsid w:val="00051E01"/>
    <w:rsid w:val="000C7140"/>
    <w:rsid w:val="000E7B44"/>
    <w:rsid w:val="0028390F"/>
    <w:rsid w:val="002D1E15"/>
    <w:rsid w:val="002F2053"/>
    <w:rsid w:val="00310BCA"/>
    <w:rsid w:val="00323B29"/>
    <w:rsid w:val="0039059E"/>
    <w:rsid w:val="004879C6"/>
    <w:rsid w:val="004A2766"/>
    <w:rsid w:val="00536043"/>
    <w:rsid w:val="00656427"/>
    <w:rsid w:val="006D4014"/>
    <w:rsid w:val="00713796"/>
    <w:rsid w:val="00792F97"/>
    <w:rsid w:val="007F0341"/>
    <w:rsid w:val="009A521C"/>
    <w:rsid w:val="009D21EA"/>
    <w:rsid w:val="00B7647E"/>
    <w:rsid w:val="00BD12C9"/>
    <w:rsid w:val="00C11770"/>
    <w:rsid w:val="00C92798"/>
    <w:rsid w:val="00D42583"/>
    <w:rsid w:val="00D607DA"/>
    <w:rsid w:val="00D86E01"/>
    <w:rsid w:val="00DC6EE5"/>
    <w:rsid w:val="00E446E9"/>
    <w:rsid w:val="00EE71BA"/>
    <w:rsid w:val="00F039FB"/>
    <w:rsid w:val="00F867E4"/>
    <w:rsid w:val="00FC1C7C"/>
    <w:rsid w:val="056D17C0"/>
    <w:rsid w:val="222C48FB"/>
    <w:rsid w:val="473532E9"/>
    <w:rsid w:val="749756A2"/>
    <w:rsid w:val="EF3F0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1094</Words>
  <Characters>6239</Characters>
  <Lines>51</Lines>
  <Paragraphs>14</Paragraphs>
  <TotalTime>60</TotalTime>
  <ScaleCrop>false</ScaleCrop>
  <LinksUpToDate>false</LinksUpToDate>
  <CharactersWithSpaces>7319</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uos</cp:lastModifiedBy>
  <cp:lastPrinted>2020-01-10T23:53:00Z</cp:lastPrinted>
  <dcterms:modified xsi:type="dcterms:W3CDTF">2024-02-23T11:07:40Z</dcterms:modified>
  <dc:title>o</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